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of Abbreviations</w:t>
      </w:r>
    </w:p>
    <w:p>
      <w:pPr>
        <w:ind w:left="1701" w:hanging="1701"/>
      </w:pPr>
      <w:r>
        <w:rPr>
          <w:b/>
        </w:rPr>
        <w:t>AMIRIS</w:t>
        <w:tab/>
      </w:r>
      <w:r>
        <w:t>Agent-based Market model for the Investigation of Renewable and Integrated energy Systems</w:t>
      </w:r>
    </w:p>
    <w:p>
      <w:pPr>
        <w:ind w:left="1701" w:hanging="1701"/>
      </w:pPr>
      <w:r>
        <w:rPr>
          <w:b/>
        </w:rPr>
        <w:t>BNetzA</w:t>
        <w:tab/>
      </w:r>
      <w:r>
        <w:t>Bundesnetzagentur (German Federal Network Agency)</w:t>
      </w:r>
    </w:p>
    <w:p>
      <w:pPr>
        <w:ind w:left="1701" w:hanging="1701"/>
      </w:pPr>
      <w:r>
        <w:rPr>
          <w:b/>
        </w:rPr>
        <w:t>CF</w:t>
        <w:tab/>
      </w:r>
      <w:r>
        <w:t>Capacity factor</w:t>
      </w:r>
    </w:p>
    <w:p>
      <w:pPr>
        <w:ind w:left="1701" w:hanging="1701"/>
      </w:pPr>
      <w:r>
        <w:rPr>
          <w:b/>
        </w:rPr>
        <w:t>DE</w:t>
        <w:tab/>
      </w:r>
      <w:r>
        <w:t>Germany (Deutschland)</w:t>
      </w:r>
    </w:p>
    <w:p>
      <w:pPr>
        <w:ind w:left="1701" w:hanging="1701"/>
      </w:pPr>
      <w:r>
        <w:rPr>
          <w:b/>
        </w:rPr>
        <w:t>DLR</w:t>
        <w:tab/>
      </w:r>
      <w:r>
        <w:t>Deutsches Zentrum fur Luft- und Raumfahrt (German Aerospace Center)</w:t>
      </w:r>
    </w:p>
    <w:p>
      <w:pPr>
        <w:ind w:left="1701" w:hanging="1701"/>
      </w:pPr>
      <w:r>
        <w:rPr>
          <w:b/>
        </w:rPr>
        <w:t>EEG</w:t>
        <w:tab/>
      </w:r>
      <w:r>
        <w:t>Erneuerbare-Energien-Gesetz (German Renewable Energy Sources Act)</w:t>
      </w:r>
    </w:p>
    <w:p>
      <w:pPr>
        <w:ind w:left="1701" w:hanging="1701"/>
      </w:pPr>
      <w:r>
        <w:rPr>
          <w:b/>
        </w:rPr>
        <w:t>ENTSO-E</w:t>
        <w:tab/>
      </w:r>
      <w:r>
        <w:t>European Network of Transmission System Operators for Electricity</w:t>
      </w:r>
    </w:p>
    <w:p>
      <w:pPr>
        <w:ind w:left="1701" w:hanging="1701"/>
      </w:pPr>
      <w:r>
        <w:rPr>
          <w:b/>
        </w:rPr>
        <w:t>EPEX SPOT</w:t>
        <w:tab/>
      </w:r>
      <w:r>
        <w:t>European Power Exchange</w:t>
      </w:r>
    </w:p>
    <w:p>
      <w:pPr>
        <w:ind w:left="1701" w:hanging="1701"/>
      </w:pPr>
      <w:r>
        <w:rPr>
          <w:b/>
        </w:rPr>
        <w:t>ERAA</w:t>
        <w:tab/>
      </w:r>
      <w:r>
        <w:t>European Resource Adequacy Assessment</w:t>
      </w:r>
    </w:p>
    <w:p>
      <w:pPr>
        <w:ind w:left="1701" w:hanging="1701"/>
      </w:pPr>
      <w:r>
        <w:rPr>
          <w:b/>
        </w:rPr>
        <w:t>EUR/MWh</w:t>
        <w:tab/>
      </w:r>
      <w:r>
        <w:t>Euro per megawatt-hour</w:t>
      </w:r>
    </w:p>
    <w:p>
      <w:pPr>
        <w:ind w:left="1701" w:hanging="1701"/>
      </w:pPr>
      <w:r>
        <w:rPr>
          <w:b/>
        </w:rPr>
        <w:t>FIT</w:t>
        <w:tab/>
      </w:r>
      <w:r>
        <w:t>Feed-in tariff</w:t>
      </w:r>
    </w:p>
    <w:p>
      <w:pPr>
        <w:ind w:left="1701" w:hanging="1701"/>
      </w:pPr>
      <w:r>
        <w:rPr>
          <w:b/>
        </w:rPr>
        <w:t>HSN</w:t>
        <w:tab/>
      </w:r>
      <w:r>
        <w:t>Hochschule Nordhausen</w:t>
      </w:r>
    </w:p>
    <w:p>
      <w:pPr>
        <w:ind w:left="1701" w:hanging="1701"/>
      </w:pPr>
      <w:r>
        <w:rPr>
          <w:b/>
        </w:rPr>
        <w:t>M. Eng.</w:t>
        <w:tab/>
      </w:r>
      <w:r>
        <w:t>Master of Engineering</w:t>
      </w:r>
    </w:p>
    <w:p>
      <w:pPr>
        <w:ind w:left="1701" w:hanging="1701"/>
      </w:pPr>
      <w:r>
        <w:rPr>
          <w:b/>
        </w:rPr>
        <w:t>MAE</w:t>
        <w:tab/>
      </w:r>
      <w:r>
        <w:t>Mean absolute error</w:t>
      </w:r>
    </w:p>
    <w:p>
      <w:pPr>
        <w:ind w:left="1701" w:hanging="1701"/>
      </w:pPr>
      <w:r>
        <w:rPr>
          <w:b/>
        </w:rPr>
        <w:t>MPVAR</w:t>
        <w:tab/>
      </w:r>
      <w:r>
        <w:t>Market premium, variable (AMIRIS renewable support-policy type)</w:t>
      </w:r>
    </w:p>
    <w:p>
      <w:pPr>
        <w:ind w:left="1701" w:hanging="1701"/>
      </w:pPr>
      <w:r>
        <w:rPr>
          <w:b/>
        </w:rPr>
        <w:t>MW / MWh</w:t>
        <w:tab/>
      </w:r>
      <w:r>
        <w:t>Megawatt / megawatt-hour</w:t>
      </w:r>
    </w:p>
    <w:p>
      <w:pPr>
        <w:ind w:left="1701" w:hanging="1701"/>
      </w:pPr>
      <w:r>
        <w:rPr>
          <w:b/>
        </w:rPr>
        <w:t>NEMO</w:t>
        <w:tab/>
      </w:r>
      <w:r>
        <w:t>Nominated Electricity Market Operator</w:t>
      </w:r>
    </w:p>
    <w:p>
      <w:pPr>
        <w:ind w:left="1701" w:hanging="1701"/>
      </w:pPr>
      <w:r>
        <w:rPr>
          <w:b/>
        </w:rPr>
        <w:t>NTC</w:t>
        <w:tab/>
      </w:r>
      <w:r>
        <w:t>Net transfer capacity</w:t>
      </w:r>
    </w:p>
    <w:p>
      <w:pPr>
        <w:ind w:left="1701" w:hanging="1701"/>
      </w:pPr>
      <w:r>
        <w:rPr>
          <w:b/>
        </w:rPr>
        <w:t>PECD</w:t>
        <w:tab/>
      </w:r>
      <w:r>
        <w:t>Pan-European Climate Database</w:t>
      </w:r>
    </w:p>
    <w:p>
      <w:pPr>
        <w:ind w:left="1701" w:hanging="1701"/>
      </w:pPr>
      <w:r>
        <w:rPr>
          <w:b/>
        </w:rPr>
        <w:t>PEMMDB</w:t>
        <w:tab/>
      </w:r>
      <w:r>
        <w:t>Pan-European Market Modelling Database</w:t>
      </w:r>
    </w:p>
    <w:p>
      <w:pPr>
        <w:ind w:left="1701" w:hanging="1701"/>
      </w:pPr>
      <w:r>
        <w:rPr>
          <w:b/>
        </w:rPr>
        <w:t>PSR</w:t>
        <w:tab/>
      </w:r>
      <w:r>
        <w:t>Production/source-type (ENTSO-E generation-type classification)</w:t>
      </w:r>
    </w:p>
    <w:p>
      <w:pPr>
        <w:ind w:left="1701" w:hanging="1701"/>
      </w:pPr>
      <w:r>
        <w:rPr>
          <w:b/>
        </w:rPr>
        <w:t>ROE</w:t>
        <w:tab/>
      </w:r>
      <w:r>
        <w:t>Rest-of-Europe (this thesis's aggregate non-German market-coupling zone)</w:t>
      </w:r>
    </w:p>
    <w:p>
      <w:pPr>
        <w:ind w:left="1701" w:hanging="1701"/>
      </w:pPr>
      <w:r>
        <w:rPr>
          <w:b/>
        </w:rPr>
        <w:t>RMSE</w:t>
        <w:tab/>
      </w:r>
      <w:r>
        <w:t>Root mean square error</w:t>
      </w:r>
    </w:p>
    <w:p>
      <w:pPr>
        <w:ind w:left="1701" w:hanging="1701"/>
      </w:pPr>
      <w:r>
        <w:rPr>
          <w:b/>
        </w:rPr>
        <w:t>SDAC</w:t>
        <w:tab/>
      </w:r>
      <w:r>
        <w:t>Single Day-Ahead Coupling</w:t>
      </w:r>
    </w:p>
    <w:p>
      <w:pPr>
        <w:ind w:left="1701" w:hanging="1701"/>
      </w:pPr>
      <w:r>
        <w:rPr>
          <w:b/>
        </w:rPr>
        <w:t>TWh / GWh</w:t>
        <w:tab/>
      </w:r>
      <w:r>
        <w:t>Terawatt-hour / gigawatt-hour</w:t>
      </w:r>
    </w:p>
    <w:p>
      <w:pPr>
        <w:ind w:left="1701" w:hanging="1701"/>
      </w:pPr>
      <w:r>
        <w:rPr>
          <w:b/>
        </w:rPr>
        <w:t>VoLL</w:t>
        <w:tab/>
      </w:r>
      <w:r>
        <w:t>Value of lost load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