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Figures</w:t>
      </w:r>
    </w:p>
    <w:p>
      <w:pPr>
        <w:ind w:left="1247" w:hanging="1247"/>
      </w:pPr>
      <w:r>
        <w:rPr>
          <w:b/>
        </w:rPr>
        <w:t>Figure 2.1</w:t>
        <w:tab/>
      </w:r>
      <w:r>
        <w:t>Merit order and uniform pricing (schematic illustration of the mechanism described above, not measured plant-level bid data).</w:t>
      </w:r>
    </w:p>
    <w:p>
      <w:pPr>
        <w:ind w:left="1247" w:hanging="1247"/>
      </w:pPr>
      <w:r>
        <w:rPr>
          <w:b/>
        </w:rPr>
        <w:t>Figure 2.2</w:t>
        <w:tab/>
      </w:r>
      <w:r>
        <w:t>AMIRIS agent architecture: how the agent types described above interact with the day-ahead market and, for multi-zone scenarios, the market-coupling and forecasting components.</w:t>
      </w:r>
    </w:p>
    <w:p>
      <w:pPr>
        <w:ind w:left="1247" w:hanging="1247"/>
      </w:pPr>
      <w:r>
        <w:rPr>
          <w:b/>
        </w:rPr>
        <w:t>Figure 2.3</w:t>
        <w:tab/>
      </w:r>
      <w:r>
        <w:t>Implicit auctioning under market coupling: a single joint optimisation sets both zones' prices and the cross-border flow between them simultaneously.</w:t>
      </w:r>
    </w:p>
    <w:p>
      <w:pPr>
        <w:ind w:left="1247" w:hanging="1247"/>
      </w:pPr>
      <w:r>
        <w:rPr>
          <w:b/>
        </w:rPr>
        <w:t>Figure 3.1</w:t>
        <w:tab/>
      </w:r>
      <w:r>
        <w:t>The aggregate topology: Germany coupled to a single pooled Rest-of-Europe market via one transmission link.</w:t>
      </w:r>
    </w:p>
    <w:p>
      <w:pPr>
        <w:ind w:left="1247" w:hanging="1247"/>
      </w:pPr>
      <w:r>
        <w:rPr>
          <w:b/>
        </w:rPr>
        <w:t>Figure 4.1</w:t>
        <w:tab/>
      </w:r>
      <w:r>
        <w:t>The star topology: every disaggregated zone trades only with Germany, never directly with its own real neighbours.</w:t>
      </w:r>
    </w:p>
    <w:p>
      <w:pPr>
        <w:ind w:left="1247" w:hanging="1247"/>
      </w:pPr>
      <w:r>
        <w:rPr>
          <w:b/>
        </w:rPr>
        <w:t>Figure 4.2</w:t>
        <w:tab/>
      </w:r>
      <w:r>
        <w:t>The mesh topology: the 24 new real bilateral connections added on top of the original star topology's Germany-to-country links.</w:t>
      </w:r>
    </w:p>
    <w:p>
      <w:pPr>
        <w:ind w:left="1247" w:hanging="1247"/>
      </w:pPr>
      <w:r>
        <w:rPr>
          <w:b/>
        </w:rPr>
        <w:t>Figure 4.3</w:t>
        <w:tab/>
      </w:r>
      <w:r>
        <w:t>Excl-shortage correlation and bias vs. Brainpool across the four topology variants tested in this chapter.</w:t>
      </w:r>
    </w:p>
    <w:p>
      <w:pPr>
        <w:ind w:left="1247" w:hanging="1247"/>
      </w:pPr>
      <w:r>
        <w:rPr>
          <w:b/>
        </w:rPr>
        <w:t>Figure 5.1</w:t>
        <w:tab/>
      </w:r>
      <w:r>
        <w:t>AMIRIS's headline 2027 build against Brainpool's forecast across the full year.</w:t>
      </w:r>
    </w:p>
    <w:p>
      <w:pPr>
        <w:ind w:left="1247" w:hanging="1247"/>
      </w:pPr>
      <w:r>
        <w:rPr>
          <w:b/>
        </w:rPr>
        <w:t>Figure 5.2</w:t>
        <w:tab/>
      </w:r>
      <w:r>
        <w:t>AMIRIS vs. Brainpool price, excl-shortage hours, with the Pearson correlation recomputed directly from the raw result data as a cross-check.</w:t>
      </w:r>
    </w:p>
    <w:p>
      <w:pPr>
        <w:ind w:left="1247" w:hanging="1247"/>
      </w:pPr>
      <w:r>
        <w:rPr>
          <w:b/>
        </w:rPr>
        <w:t>Figure 5.3</w:t>
        <w:tab/>
      </w:r>
      <w:r>
        <w:t>Shortage-hour count across every build reported in this thesis.</w:t>
      </w:r>
    </w:p>
    <w:p>
      <w:pPr>
        <w:ind w:left="1247" w:hanging="1247"/>
      </w:pPr>
      <w:r>
        <w:rPr>
          <w:b/>
        </w:rPr>
        <w:t>Figure 5.4</w:t>
        <w:tab/>
      </w:r>
      <w:r>
        <w:t>Germany's real hourly price against Rest-of-Europe's own real price on 17 December 2027.</w:t>
      </w:r>
    </w:p>
    <w:p>
      <w:pPr>
        <w:jc w:val="left"/>
      </w:pPr>
      <w:r>
        <w:rPr>
          <w:b w:val="0"/>
          <w:i w:val="0"/>
        </w:rPr>
      </w:r>
    </w:p>
    <w:p>
      <w:pPr>
        <w:jc w:val="both"/>
      </w:pPr>
      <w:r>
        <w:rPr>
          <w:b w:val="0"/>
          <w:i/>
          <w:sz w:val="20"/>
        </w:rPr>
        <w:t>Page numbers are omitted here since they depend on final pagination once the document is opened in Word; use References &gt; Insert Caption for these figures going forward and References &gt; Table of Figures to regenerate this list with live page numbers.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