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List of Tables</w:t>
      </w:r>
    </w:p>
    <w:p>
      <w:pPr>
        <w:ind w:left="1247" w:hanging="1247"/>
      </w:pPr>
      <w:r>
        <w:rPr>
          <w:b/>
        </w:rPr>
        <w:t>Table 4.1</w:t>
        <w:tab/>
      </w:r>
      <w:r>
        <w:t>Headline result vs. the France disaggregation pilot.</w:t>
      </w:r>
    </w:p>
    <w:p>
      <w:pPr>
        <w:ind w:left="1247" w:hanging="1247"/>
      </w:pPr>
      <w:r>
        <w:rPr>
          <w:b/>
        </w:rPr>
        <w:t>Table 4.2</w:t>
        <w:tab/>
      </w:r>
      <w:r>
        <w:t>Aggregate baseline vs. France-only and full ten-zone star-topology disaggregation.</w:t>
      </w:r>
    </w:p>
    <w:p>
      <w:pPr>
        <w:ind w:left="1247" w:hanging="1247"/>
      </w:pPr>
      <w:r>
        <w:rPr>
          <w:b/>
        </w:rPr>
        <w:t>Table 4.3</w:t>
        <w:tab/>
      </w:r>
      <w:r>
        <w:t>Source-instrumented breakdown of why the coupling algorithm stopped shifting demand, all 76 real 2029 shortage hours.</w:t>
      </w:r>
    </w:p>
    <w:p>
      <w:pPr>
        <w:ind w:left="1247" w:hanging="1247"/>
      </w:pPr>
      <w:r>
        <w:rPr>
          <w:b/>
        </w:rPr>
        <w:t>Table 4.4</w:t>
        <w:tab/>
      </w:r>
      <w:r>
        <w:t>Aggregate, star, and mesh topology compared, isolating topology as the only variable.</w:t>
      </w:r>
    </w:p>
    <w:p>
      <w:pPr>
        <w:ind w:left="1247" w:hanging="1247"/>
      </w:pPr>
      <w:r>
        <w:rPr>
          <w:b/>
        </w:rPr>
        <w:t>Table 5.1</w:t>
        <w:tab/>
      </w:r>
      <w:r>
        <w:t>Germany 2027 headline result, from the pre-coupling baseline to the final ROEFlex build.</w:t>
      </w:r>
    </w:p>
    <w:p>
      <w:pPr>
        <w:ind w:left="1247" w:hanging="1247"/>
      </w:pPr>
      <w:r>
        <w:rPr>
          <w:b/>
        </w:rPr>
        <w:t>Table 5.2</w:t>
        <w:tab/>
      </w:r>
      <w:r>
        <w:t>Out-of-sample results for 2028 and 2029 under the frozen-Rest-of-Europe methodology.</w:t>
      </w:r>
    </w:p>
    <w:p>
      <w:pPr>
        <w:ind w:left="1247" w:hanging="1247"/>
      </w:pPr>
      <w:r>
        <w:rPr>
          <w:b/>
        </w:rPr>
        <w:t>Table 5.3</w:t>
        <w:tab/>
      </w:r>
      <w:r>
        <w:t>Three robustness checks against potentially arbitrary modelling choices.</w:t>
      </w:r>
    </w:p>
    <w:p>
      <w:pPr>
        <w:ind w:left="1247" w:hanging="1247"/>
      </w:pPr>
      <w:r>
        <w:rPr>
          <w:b/>
        </w:rPr>
        <w:t>Table 5.4</w:t>
        <w:tab/>
      </w:r>
      <w:r>
        <w:t>Reservoir Hydro's own price forecast against real DE/ROE prices during the 17 December 2027 shortage episode.</w:t>
      </w:r>
    </w:p>
    <w:p>
      <w:pPr>
        <w:ind w:left="1247" w:hanging="1247"/>
      </w:pPr>
      <w:r>
        <w:rPr>
          <w:b/>
        </w:rPr>
        <w:t>Table 5.5</w:t>
        <w:tab/>
      </w:r>
      <w:r>
        <w:t>ValueOfLostLoad vs. LastSupplyPrice shortage-pricing conventions, 2027 headline build.</w:t>
      </w:r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36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36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 w:line="360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