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SUPERFICIES DE RIEMANN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Código: 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Créditos: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4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Tipología: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Disciplinar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Validable: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No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Intensidad: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4 horas de clase y 8 horas de trabajo extra clase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Prerrequisito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(2015158)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Topología General, (2015159) Variable Compleja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Descripción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Las superficies de Riemann son un objeto fundamental en las matemáticas moderna. Su estudio está en el cruce entre geometría compleja, geometría algebraica, análisis complejo, geometría hiperbólica, topología algebraica y diferencial y fisíca matemática. Por lo tanto, estudiar las superficies de Riemann permite entender la unidad de las matemáticas, las implicaciones que una técnica de un área tiene en otra y como una visión global se puede utilizar para resolver problemas difíciles. La capacidad de enfrentar un problema desde diferentes perspectivas, con herramientas provenientes de distintas áreas, contribuye a la creación de profesionales matemáticos de gran talante y es de suma importancia en el mundo laboral. La investigación en esta área es muy activa y forma una comunidad internacional y muy diversa.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Objetivos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Analizar ejemplos elementales de superficies de Riemann.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Calcular el género de ejemplos básicos de superficies de Riemann.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Construir funciones y diferenciales meromorfos en ejemplos clásicos de superficies de Riemann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Calcular el divisor de un 1-forma diferencial en un superficie de Riemann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Utilizar la fórmula de Riemann-Roch</w:t>
      </w:r>
    </w:p>
    <w:p>
      <w:pPr>
        <w:pStyle w:val="Normal"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Explicar resultados fundamentales de las superficies de Riemann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Metodología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</w:rPr>
        <w:t xml:space="preserve">Clases magistrales, con explicaciones, ejemplos y ejercicios propuestos. Participación activa de los estudiantes en el desarrollo de la clase. Se dejarán ejercicios que los estudiantes deben realizar fuera de clase para generar luego discusiones en torno a los temas estudiados.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Contenido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Definiciones de bases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Definición de superficie de Riemann.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Primeros ejemplos.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Curvas proyectivas.</w:t>
      </w:r>
    </w:p>
    <w:p>
      <w:pPr>
        <w:pStyle w:val="Normal"/>
        <w:pBdr/>
        <w:spacing w:before="0" w:after="0"/>
        <w:ind w:left="72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Funciones y aplicaciones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Funciones en una superficie de Riemann.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Funciones meromorfas.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Aplicaciones holomorfas entre superficies de Riemann.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Propiedades globales de superficies de Riemann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spacing w:before="0" w:after="0"/>
        <w:ind w:left="108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Más ejemplos de superficies de Riemann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Cónicas y superficies hiperelipticas.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Curvas planas, nudos y género.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Acciones de grupos, teorema de Hurwitz.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Monodromía.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Geometría Proyectiva.</w:t>
      </w:r>
    </w:p>
    <w:p>
      <w:pPr>
        <w:pStyle w:val="Normal"/>
        <w:pBdr/>
        <w:spacing w:before="0" w:after="0"/>
        <w:ind w:left="108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Integración en superficies de Riemann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Formas diferenciales.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Operaciones sobre formas.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Integración de formas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"/>
        <w:pBdr/>
        <w:spacing w:before="0" w:after="0"/>
        <w:ind w:left="108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Divisores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Definición y ejemplos.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Equivalencia lineal de divisores.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Espacios de funciones y formas asociadas a divisores.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Divisores y mapas al espacio proyectivo.</w:t>
      </w:r>
    </w:p>
    <w:p>
      <w:pPr>
        <w:pStyle w:val="Normal"/>
        <w:pBdr/>
        <w:spacing w:before="0" w:after="0"/>
        <w:ind w:left="108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Curvas Algebraicas y Riemann-Roch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Curvas algebraicas.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El problema de Mittag-Leffler.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Riemann-Roch y dualidad de Serre.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/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Aplicaciones de Riemann-Roch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Aplicaciones elementales.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La aplicación canónica,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Grado de una curva proyectiva.</w:t>
      </w:r>
    </w:p>
    <w:p>
      <w:pPr>
        <w:pStyle w:val="Normal"/>
        <w:numPr>
          <w:ilvl w:val="1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Puntos de inflexión y de Weierstrass.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Evaluación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Artículo 27 del </w:t>
      </w:r>
      <w:hyperlink r:id="rId2">
        <w:r>
          <w:rPr>
            <w:rStyle w:val="ListLabel19"/>
            <w:rFonts w:eastAsia="Times New Roman" w:cs="Times New Roman" w:ascii="Times New Roman" w:hAnsi="Times New Roman"/>
            <w:b/>
            <w:color w:val="1155CC"/>
            <w:u w:val="single"/>
          </w:rPr>
          <w:t>Acuerdo 008 de 2008 del Consejo Superior Universitario</w:t>
        </w:r>
      </w:hyperlink>
      <w:r>
        <w:rPr>
          <w:rFonts w:eastAsia="Times New Roman" w:cs="Times New Roman" w:ascii="Times New Roman" w:hAnsi="Times New Roman"/>
          <w:b/>
        </w:rPr>
        <w:t>: “</w:t>
      </w:r>
      <w:r>
        <w:rPr>
          <w:rFonts w:eastAsia="Times New Roman" w:cs="Times New Roman" w:ascii="Times New Roman" w:hAnsi="Times New Roman"/>
          <w:highlight w:val="white"/>
        </w:rPr>
        <w:t>Evaluaciones ordinarias. Son las que se realizan en el transcurso de cada período académico y se establecen en el programa-calendario. En el pregrado se debe realizar tres (3) como mínimo en cada asignatura, con excepción de aquellas cuyo programa-asignatura así lo especifique</w:t>
      </w:r>
      <w:r>
        <w:rPr>
          <w:rFonts w:eastAsia="Times New Roman" w:cs="Times New Roman" w:ascii="Times New Roman" w:hAnsi="Times New Roman"/>
          <w:b/>
          <w:highlight w:val="white"/>
        </w:rPr>
        <w:t>”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Tareas (50%): 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cada dos semanas a lo largo del curso.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bCs/>
        </w:rPr>
        <w:t xml:space="preserve">Propuesta Proyecto final (20%): </w:t>
      </w:r>
      <w:r>
        <w:rPr>
          <w:rFonts w:eastAsia="Times New Roman" w:cs="Times New Roman" w:ascii="Times New Roman" w:hAnsi="Times New Roman"/>
          <w:b w:val="false"/>
          <w:bCs w:val="false"/>
        </w:rPr>
        <w:t>a la mitad del curso.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bCs/>
        </w:rPr>
        <w:t xml:space="preserve">Presentación final proyecto (30%): </w:t>
      </w:r>
      <w:r>
        <w:rPr>
          <w:rFonts w:eastAsia="Times New Roman" w:cs="Times New Roman" w:ascii="Times New Roman" w:hAnsi="Times New Roman"/>
          <w:b w:val="false"/>
          <w:bCs w:val="false"/>
        </w:rPr>
        <w:t>ultimas semanas del curso.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Bibliografía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[1] </w:t>
      </w:r>
      <w:r>
        <w:rPr>
          <w:rFonts w:eastAsia="Times New Roman" w:cs="Calibri" w:ascii="Times New Roman" w:hAnsi="Times New Roman" w:cstheme="minorHAnsi"/>
          <w:sz w:val="22"/>
          <w:szCs w:val="22"/>
          <w:lang w:val="en-US"/>
        </w:rPr>
        <w:t xml:space="preserve">Miranda, R. (1995). </w:t>
      </w:r>
      <w:r>
        <w:rPr>
          <w:rFonts w:eastAsia="Times New Roman" w:cs="Calibri" w:ascii="Times New Roman" w:hAnsi="Times New Roman" w:cstheme="minorHAnsi"/>
          <w:i/>
          <w:iCs/>
          <w:sz w:val="22"/>
          <w:szCs w:val="22"/>
          <w:lang w:val="en-US"/>
        </w:rPr>
        <w:t>Algebraic curves and Riemann surfaces</w:t>
      </w:r>
      <w:r>
        <w:rPr>
          <w:rFonts w:eastAsia="Times New Roman" w:cs="Calibri" w:ascii="Times New Roman" w:hAnsi="Times New Roman" w:cstheme="minorHAnsi"/>
          <w:sz w:val="22"/>
          <w:szCs w:val="22"/>
          <w:lang w:val="en-US"/>
        </w:rPr>
        <w:t>. Providence, R.I.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[2] </w:t>
      </w:r>
      <w:r>
        <w:rPr>
          <w:rFonts w:cs="Calibri" w:ascii="Times New Roman" w:hAnsi="Times New Roman" w:cstheme="minorHAnsi"/>
          <w:sz w:val="22"/>
          <w:szCs w:val="22"/>
          <w:lang w:val="en-US"/>
        </w:rPr>
        <w:t xml:space="preserve">Donaldson, S. K. (2011). </w:t>
      </w:r>
      <w:r>
        <w:rPr>
          <w:rFonts w:cs="Calibri" w:ascii="Times New Roman" w:hAnsi="Times New Roman" w:cstheme="minorHAnsi"/>
          <w:i/>
          <w:sz w:val="22"/>
          <w:szCs w:val="22"/>
          <w:lang w:val="en-US"/>
        </w:rPr>
        <w:t>Riemann surfaces</w:t>
      </w:r>
      <w:r>
        <w:rPr>
          <w:rFonts w:cs="Calibri" w:ascii="Times New Roman" w:hAnsi="Times New Roman" w:cstheme="minorHAnsi"/>
          <w:sz w:val="22"/>
          <w:szCs w:val="22"/>
          <w:lang w:val="en-US"/>
        </w:rPr>
        <w:t>. Oxford University Press.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701" w:right="1134" w:gutter="0" w:header="720" w:top="1134" w:footer="720" w:bottom="2211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Times New Roman">
    <w:charset w:val="01"/>
    <w:family w:val="swiss"/>
    <w:pitch w:val="default"/>
  </w:font>
  <w:font w:name="Courier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ncizar Sans Regular">
    <w:charset w:val="01"/>
    <w:family w:val="swiss"/>
    <w:pitch w:val="default"/>
  </w:font>
  <w:font w:name="Ancizar Sans Bold">
    <w:charset w:val="01"/>
    <w:family w:val="swiss"/>
    <w:pitch w:val="default"/>
  </w:font>
  <w:font w:name="Ancizar Sans Regular Italic">
    <w:charset w:val="01"/>
    <w:family w:val="swiss"/>
    <w:pitch w:val="default"/>
  </w:font>
  <w:font w:name="Times Regular">
    <w:charset w:val="01"/>
    <w:family w:val="swiss"/>
    <w:pitch w:val="default"/>
  </w:font>
  <w:font w:name="Georgia">
    <w:charset w:val="01"/>
    <w:family w:val="swiss"/>
    <w:pitch w:val="default"/>
  </w:font>
  <w:font w:name="Ancizar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14" wp14:anchorId="6610631C">
              <wp:simplePos x="0" y="0"/>
              <wp:positionH relativeFrom="column">
                <wp:posOffset>1003300</wp:posOffset>
              </wp:positionH>
              <wp:positionV relativeFrom="paragraph">
                <wp:posOffset>-431800</wp:posOffset>
              </wp:positionV>
              <wp:extent cx="3734435" cy="771525"/>
              <wp:effectExtent l="0" t="0" r="0" b="0"/>
              <wp:wrapNone/>
              <wp:docPr id="6" name="Rectangle 3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4280" cy="771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Av. Carrera 30 # 45-03 - Ciudad Universitaria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DIRECCIÓN DEPARTAMENTO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Edificio 404 Yu Takeuchi Oficina 209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(+57 1) 3165207 - (+57 1) 3165000 EXT: 13153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Bogotá, D. C., Colombia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deparmate_fcbog@unal.edu.co</w:t>
                          </w:r>
                        </w:p>
                      </w:txbxContent>
                    </wps:txbx>
                    <wps:bodyPr lIns="0" rIns="0" tIns="71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3" path="m0,0l-2147483645,0l-2147483645,-2147483646l0,-2147483646xe" stroked="f" o:allowincell="f" style="position:absolute;margin-left:79pt;margin-top:-34pt;width:294pt;height:60.7pt;mso-wrap-style:square;v-text-anchor:top" wp14:anchorId="661063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Av. Carrera 30 # 45-03 - Ciudad Universitaria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DIRECCIÓN DEPARTAMENTO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Edificio 404 Yu Takeuchi Oficina 209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(+57 1) 3165207 - (+57 1) 3165000 EXT: 13153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Bogotá, D. C., Colombia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deparmate_fcbog@unal.edu.co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155AFA42">
              <wp:simplePos x="0" y="0"/>
              <wp:positionH relativeFrom="column">
                <wp:posOffset>4762500</wp:posOffset>
              </wp:positionH>
              <wp:positionV relativeFrom="paragraph">
                <wp:posOffset>-406400</wp:posOffset>
              </wp:positionV>
              <wp:extent cx="1451610" cy="764540"/>
              <wp:effectExtent l="0" t="0" r="0" b="0"/>
              <wp:wrapNone/>
              <wp:docPr id="7" name="Rectangle 3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1520" cy="76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6" path="m0,0l-2147483645,0l-2147483645,-2147483646l0,-2147483646xe" fillcolor="white" stroked="f" o:allowincell="f" style="position:absolute;margin-left:375pt;margin-top:-32pt;width:114.25pt;height:60.15pt;mso-wrap-style:square;v-text-anchor:top" wp14:anchorId="155AFA42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color w:val="000000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20" wp14:anchorId="6B8EA297">
              <wp:simplePos x="0" y="0"/>
              <wp:positionH relativeFrom="column">
                <wp:posOffset>1003300</wp:posOffset>
              </wp:positionH>
              <wp:positionV relativeFrom="paragraph">
                <wp:posOffset>-431800</wp:posOffset>
              </wp:positionV>
              <wp:extent cx="3733800" cy="770890"/>
              <wp:effectExtent l="0" t="0" r="0" b="0"/>
              <wp:wrapNone/>
              <wp:docPr id="8" name="Rectangle 3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3920" cy="77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Av. Carrera 30 # 45-03 - Ciudad Universitaria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DIRECCIÓN DEPARTAMENTO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Edificio 404 Yu Takeuchi Oficina 209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(+57 1) 3165207 - (+57 1) 3165000 EXT: 13153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Bogotá, D. C., Colombia</w:t>
                          </w:r>
                        </w:p>
                        <w:p>
                          <w:pPr>
                            <w:pStyle w:val="FrameContents"/>
                            <w:spacing w:lineRule="auto" w:line="199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deparmate_fcbog@unal.edu.co</w:t>
                          </w:r>
                        </w:p>
                        <w:p>
                          <w:pPr>
                            <w:pStyle w:val="FrameContents"/>
                            <w:spacing w:lineRule="auto" w:line="199" w:before="0" w:after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71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4" path="m0,0l-2147483645,0l-2147483645,-2147483646l0,-2147483646xe" stroked="f" o:allowincell="f" style="position:absolute;margin-left:79pt;margin-top:-34pt;width:293.95pt;height:60.65pt;mso-wrap-style:square;v-text-anchor:top" wp14:anchorId="6B8EA29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Av. Carrera 30 # 45-03 - Ciudad Universitaria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DIRECCIÓN DEPARTAMENTO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Edificio 404 Yu Takeuchi Oficina 209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(+57 1) 3165207 - (+57 1) 3165000 EXT: 13153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Bogotá, D. C., Colombia</w:t>
                    </w:r>
                  </w:p>
                  <w:p>
                    <w:pPr>
                      <w:pStyle w:val="FrameContents"/>
                      <w:spacing w:lineRule="auto" w:line="199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deparmate_fcbog@unal.edu.co</w:t>
                    </w:r>
                  </w:p>
                  <w:p>
                    <w:pPr>
                      <w:pStyle w:val="FrameContents"/>
                      <w:spacing w:lineRule="auto" w:line="199" w:before="0" w:after="0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5E38EEE2">
              <wp:simplePos x="0" y="0"/>
              <wp:positionH relativeFrom="column">
                <wp:posOffset>4762500</wp:posOffset>
              </wp:positionH>
              <wp:positionV relativeFrom="paragraph">
                <wp:posOffset>-406400</wp:posOffset>
              </wp:positionV>
              <wp:extent cx="1451610" cy="764540"/>
              <wp:effectExtent l="0" t="0" r="0" b="0"/>
              <wp:wrapNone/>
              <wp:docPr id="9" name="Rectangle 3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1520" cy="76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7" path="m0,0l-2147483645,0l-2147483645,-2147483646l0,-2147483646xe" fillcolor="white" stroked="f" o:allowincell="f" style="position:absolute;margin-left:375pt;margin-top:-32pt;width:114.25pt;height:60.15pt;mso-wrap-style:square;v-text-anchor:top" wp14:anchorId="5E38EEE2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color w:val="000000"/>
      </w:rPr>
      <w:t xml:space="preserve">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5026025</wp:posOffset>
          </wp:positionH>
          <wp:positionV relativeFrom="paragraph">
            <wp:posOffset>635</wp:posOffset>
          </wp:positionV>
          <wp:extent cx="676910" cy="44640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446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6" wp14:anchorId="0368A071">
              <wp:simplePos x="0" y="0"/>
              <wp:positionH relativeFrom="column">
                <wp:posOffset>-1384300</wp:posOffset>
              </wp:positionH>
              <wp:positionV relativeFrom="paragraph">
                <wp:posOffset>3035300</wp:posOffset>
              </wp:positionV>
              <wp:extent cx="635" cy="12700"/>
              <wp:effectExtent l="5080" t="5080" r="5715" b="5715"/>
              <wp:wrapNone/>
              <wp:docPr id="2" name="Straight Arrow Connector 3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319" path="m0,0l-2147483648,-2147483647e" stroked="t" o:allowincell="f" style="position:absolute;margin-left:-109pt;margin-top:239pt;width:0pt;height:0.95pt;mso-wrap-style:none;v-text-anchor:middle" wp14:anchorId="0368A071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824F079">
              <wp:simplePos x="0" y="0"/>
              <wp:positionH relativeFrom="column">
                <wp:posOffset>-1231900</wp:posOffset>
              </wp:positionH>
              <wp:positionV relativeFrom="paragraph">
                <wp:posOffset>-25400</wp:posOffset>
              </wp:positionV>
              <wp:extent cx="6228715" cy="368935"/>
              <wp:effectExtent l="0" t="0" r="0" b="0"/>
              <wp:wrapNone/>
              <wp:docPr id="3" name="Rectangle 3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8720" cy="369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73" w:before="0" w:after="20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i/>
                              <w:color w:val="000000"/>
                              <w:sz w:val="20"/>
                            </w:rPr>
                            <w:t>Departamento de Matemáticas | Facultad de Ciencias | Sede Bogotá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5" path="m0,0l-2147483645,0l-2147483645,-2147483646l0,-2147483646xe" fillcolor="white" stroked="f" o:allowincell="f" style="position:absolute;margin-left:-97pt;margin-top:-2pt;width:490.4pt;height:29pt;mso-wrap-style:square;v-text-anchor:top" wp14:anchorId="2824F079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73" w:before="0" w:after="20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i/>
                        <w:color w:val="000000"/>
                        <w:sz w:val="20"/>
                      </w:rPr>
                      <w:t>Departamento de Matemáticas | Facultad de Ciencias | Sede Bogotá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510" w:leader="none"/>
        <w:tab w:val="left" w:pos="705" w:leader="none"/>
        <w:tab w:val="left" w:pos="915" w:leader="none"/>
        <w:tab w:val="left" w:pos="1565" w:leader="none"/>
        <w:tab w:val="left" w:pos="4032" w:leader="none"/>
        <w:tab w:val="center" w:pos="4419" w:leader="none"/>
        <w:tab w:val="left" w:pos="4755" w:leader="none"/>
        <w:tab w:val="left" w:pos="6750" w:leader="none"/>
        <w:tab w:val="right" w:pos="8838" w:leader="none"/>
      </w:tabs>
      <w:spacing w:lineRule="auto" w:line="240" w:before="0" w:after="94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1146175</wp:posOffset>
          </wp:positionH>
          <wp:positionV relativeFrom="paragraph">
            <wp:posOffset>635</wp:posOffset>
          </wp:positionV>
          <wp:extent cx="4719320" cy="766445"/>
          <wp:effectExtent l="0" t="0" r="0" b="0"/>
          <wp:wrapNone/>
          <wp:docPr id="4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1932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11" wp14:anchorId="6AD5286E">
              <wp:simplePos x="0" y="0"/>
              <wp:positionH relativeFrom="column">
                <wp:posOffset>-1358900</wp:posOffset>
              </wp:positionH>
              <wp:positionV relativeFrom="paragraph">
                <wp:posOffset>2260600</wp:posOffset>
              </wp:positionV>
              <wp:extent cx="635" cy="12700"/>
              <wp:effectExtent l="5080" t="5080" r="5715" b="5715"/>
              <wp:wrapNone/>
              <wp:docPr id="5" name="Straight Arrow Connector 3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traight Arrow Connector 322" path="m0,0l-2147483648,-2147483647e" stroked="t" o:allowincell="f" style="position:absolute;margin-left:-107pt;margin-top:178pt;width:0pt;height:0.95pt;mso-wrap-style:none;v-text-anchor:middle" wp14:anchorId="6AD5286E" type="_x0000_t32">
              <v:fill o:detectmouseclick="t" on="false"/>
              <v:stroke color="#bfbfbf" weight="9360" joinstyle="round" endcap="flat"/>
              <w10:wrap type="none"/>
            </v:shape>
          </w:pict>
        </mc:Fallback>
      </mc:AlternateContent>
    </w:r>
    <w:r>
      <w:rPr>
        <w:color w:val="000000"/>
      </w:rPr>
      <w:tab/>
      <w:tab/>
      <w:t xml:space="preserve"> </w:t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6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6c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6cb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d62d15"/>
    <w:rPr/>
  </w:style>
  <w:style w:type="character" w:styleId="PlaceholderText">
    <w:name w:val="Placeholder Text"/>
    <w:basedOn w:val="DefaultParagraphFont"/>
    <w:uiPriority w:val="99"/>
    <w:semiHidden/>
    <w:qFormat/>
    <w:rsid w:val="00d661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120f"/>
    <w:rPr>
      <w:color w:themeColor="hyperlink" w:val="0000FF"/>
      <w:u w:val="single"/>
    </w:rPr>
  </w:style>
  <w:style w:type="character" w:styleId="BodyTextChar" w:customStyle="1">
    <w:name w:val="Body Text Char"/>
    <w:basedOn w:val="DefaultParagraphFont"/>
    <w:qFormat/>
    <w:rsid w:val="00867a36"/>
    <w:rPr>
      <w:rFonts w:ascii="Times New Roman" w:hAnsi="Times New Roman" w:eastAsia="Times New Roman" w:cs="Times New Roman"/>
      <w:sz w:val="24"/>
      <w:szCs w:val="20"/>
      <w:lang w:val="es-MX" w:eastAsia="es-ES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867a36"/>
    <w:rPr>
      <w:rFonts w:ascii="Courier" w:hAnsi="Courier" w:eastAsia="Cambria" w:cs="Times New Roman"/>
      <w:sz w:val="21"/>
      <w:szCs w:val="21"/>
      <w:lang w:val="en-US" w:eastAsia="en-US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link w:val="BodyTextChar"/>
    <w:rsid w:val="00867a36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es-MX" w:eastAsia="es-ES"/>
    </w:rPr>
  </w:style>
  <w:style w:type="paragraph" w:styleId="List">
    <w:name w:val="List"/>
    <w:basedOn w:val="BodyText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extocarta" w:customStyle="1">
    <w:name w:val="texto carta"/>
    <w:basedOn w:val="Normal"/>
    <w:uiPriority w:val="99"/>
    <w:qFormat/>
    <w:rsid w:val="001715ae"/>
    <w:pPr>
      <w:spacing w:lineRule="atLeast" w:line="300" w:before="0" w:after="0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styleId="nombrefirmante" w:customStyle="1">
    <w:name w:val="nombre firmante"/>
    <w:basedOn w:val="Normal"/>
    <w:uiPriority w:val="99"/>
    <w:qFormat/>
    <w:rsid w:val="001715ae"/>
    <w:pPr>
      <w:spacing w:lineRule="atLeast" w:line="300" w:before="0" w:after="0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styleId="cargofirmante" w:customStyle="1">
    <w:name w:val="cargo firmante"/>
    <w:basedOn w:val="textocarta"/>
    <w:uiPriority w:val="99"/>
    <w:qFormat/>
    <w:rsid w:val="001715ae"/>
    <w:pPr/>
    <w:rPr>
      <w:rFonts w:ascii="Ancizar Sans Regular Italic" w:hAnsi="Ancizar Sans Regular Italic" w:cs="Ancizar Sans Regular Italic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16c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16c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6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rafobsico" w:customStyle="1">
    <w:name w:val="[Párrafo básico]"/>
    <w:basedOn w:val="Normal"/>
    <w:uiPriority w:val="99"/>
    <w:qFormat/>
    <w:rsid w:val="002d60f0"/>
    <w:pPr>
      <w:spacing w:lineRule="auto" w:line="288" w:before="0" w:after="0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qFormat/>
    <w:rsid w:val="00a81d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aff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867a36"/>
    <w:pPr>
      <w:spacing w:lineRule="auto" w:line="240" w:before="0" w:after="0"/>
    </w:pPr>
    <w:rPr>
      <w:rFonts w:ascii="Courier" w:hAnsi="Courier" w:eastAsia="Cambria" w:cs="Times New Roman"/>
      <w:sz w:val="21"/>
      <w:szCs w:val="21"/>
      <w:lang w:val="en-US"/>
    </w:rPr>
  </w:style>
  <w:style w:type="paragraph" w:styleId="Default" w:customStyle="1">
    <w:name w:val="Default"/>
    <w:qFormat/>
    <w:rsid w:val="005712b3"/>
    <w:pPr>
      <w:widowControl/>
      <w:bidi w:val="0"/>
      <w:spacing w:lineRule="auto" w:line="240" w:before="0" w:after="0"/>
      <w:jc w:val="left"/>
    </w:pPr>
    <w:rPr>
      <w:rFonts w:eastAsia="Calibri" w:eastAsiaTheme="minorHAnsi" w:ascii="Calibri" w:hAnsi="Calibri" w:cs="Calibri"/>
      <w:color w:val="000000"/>
      <w:kern w:val="0"/>
      <w:sz w:val="24"/>
      <w:szCs w:val="24"/>
      <w:lang w:val="es-CO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112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gal.unal.edu.co/rlunal/home/doc.jsp?d_i=34983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Y04ajEosUr1Zme9jvn1P35prPA==">CgMxLjAaJQoBMBIgCh4IB0IaCg9UaW1lcyBOZXcgUm9tYW4SB0d1bmdzdWg4AHIhMTBZalJKODJxc3hGS3dlemlPNHNuT3FocmxjVFRQOVBI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3</Pages>
  <Words>603</Words>
  <Characters>3587</Characters>
  <CharactersWithSpaces>4110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2024-06-17T23:35:00Z</dcterms:created>
  <dc:creator>Jakeline</dc:creator>
  <dc:description/>
  <dc:language>en-US</dc:language>
  <cp:lastModifiedBy>Mauro Artigiani</cp:lastModifiedBy>
  <dcterms:modified xsi:type="dcterms:W3CDTF">2025-03-18T11:59:46Z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