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UniConnect test plan</w:t>
      </w:r>
    </w:p>
    <w:p>
      <w:r>
        <w:t>Scope, approach, responsibilities and completion criteria for the UniConnect graduation testing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704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704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Plan ID / version</w:t>
            </w:r>
          </w:p>
        </w:tc>
        <w:tc>
          <w:tcPr>
            <w:tcW w:type="dxa" w:w="770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UC-TP-001 / 1.0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Prepared</w:t>
            </w:r>
          </w:p>
        </w:tc>
        <w:tc>
          <w:tcPr>
            <w:tcW w:type="dxa" w:w="77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29 October 2026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Product</w:t>
            </w:r>
          </w:p>
        </w:tc>
        <w:tc>
          <w:tcPr>
            <w:tcW w:type="dxa" w:w="770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UniConnect learning and communication website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Reference source</w:t>
            </w:r>
          </w:p>
        </w:tc>
        <w:tc>
          <w:tcPr>
            <w:tcW w:type="dxa" w:w="77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rFonts w:ascii="Consolas" w:hAnsi="Consolas"/>
                <w:sz w:val="19"/>
              </w:rPr>
              <w:t>76d9624</w:t>
            </w:r>
            <w:r>
              <w:rPr>
                <w:sz w:val="19"/>
              </w:rPr>
              <w:t xml:space="preserve"> (the source before adding this plan)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type="dxa" w:w="770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Proposed team plan; ready for review and execution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Execution results</w:t>
            </w:r>
          </w:p>
        </w:tc>
        <w:tc>
          <w:tcPr>
            <w:tcW w:type="dxa" w:w="77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Not executed by this document. Record new runs separately.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Scope references</w:t>
            </w:r>
          </w:p>
        </w:tc>
        <w:tc>
          <w:tcPr>
            <w:tcW w:type="dxa" w:w="770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hyperlink r:id="rId9">
              <w:r>
                <w:rPr>
                  <w:color w:val="0563C1"/>
                  <w:u w:val="single"/>
                </w:rPr>
                <w:t>Website guide</w:t>
              </w:r>
            </w:hyperlink>
            <w:r>
              <w:rPr>
                <w:sz w:val="19"/>
              </w:rPr>
              <w:t xml:space="preserve">, </w:t>
            </w:r>
            <w:hyperlink r:id="rId10">
              <w:r>
                <w:rPr>
                  <w:color w:val="0563C1"/>
                  <w:u w:val="single"/>
                </w:rPr>
                <w:t>features and limits</w:t>
              </w:r>
            </w:hyperlink>
            <w:r>
              <w:rPr>
                <w:sz w:val="19"/>
              </w:rPr>
              <w:t xml:space="preserve">, </w:t>
            </w:r>
            <w:hyperlink r:id="rId11">
              <w:r>
                <w:rPr>
                  <w:color w:val="0563C1"/>
                  <w:u w:val="single"/>
                </w:rPr>
                <w:t>flowchart</w:t>
              </w:r>
            </w:hyperlink>
          </w:p>
        </w:tc>
      </w:tr>
    </w:tbl>
    <w:p>
      <w:pPr>
        <w:spacing w:after="20"/>
      </w:pPr>
    </w:p>
    <w:p>
      <w:pPr>
        <w:pStyle w:val="Heading1"/>
      </w:pPr>
      <w:r>
        <w:t>1 Purpose</w:t>
      </w:r>
    </w:p>
    <w:p>
      <w:r>
        <w:t>Verify that students, instructors, representatives, course heads and administrators can complete their permitted tasks, that records are saved correctly, and that other users cannot access or change protected records.</w:t>
      </w:r>
    </w:p>
    <w:p>
      <w:r>
        <w:t>The graduation deliverable should show how the team derived scenarios from requirements, executed them, found/retested defects and assessed the remaining risk. Existing automated reports are supporting evidence, not the results of this new test cycle.</w:t>
      </w:r>
    </w:p>
    <w:p>
      <w:pPr>
        <w:pStyle w:val="Heading1"/>
        <w:pageBreakBefore/>
      </w:pPr>
      <w:r>
        <w:t>2 Scope and requirements</w:t>
      </w:r>
    </w:p>
    <w:p>
      <w:r>
        <w:t>These requirement IDs provide traceability for the starter cases. The team should review the expected behavior before execution. Unclear behavior becomes a requirements question, not an invented pass.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5256"/>
        <w:gridCol w:w="2304"/>
      </w:tblGrid>
      <w:tr>
        <w:trPr>
          <w:cantSplit/>
          <w:tblHeader/>
        </w:trPr>
        <w:tc>
          <w:tcPr>
            <w:tcW w:type="dxa" w:w="2160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5256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Expected behavior</w:t>
            </w:r>
          </w:p>
        </w:tc>
        <w:tc>
          <w:tcPr>
            <w:tcW w:type="dxa" w:w="2304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Starter cases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UC-R01 Accounts</w:t>
            </w:r>
          </w:p>
        </w:tc>
        <w:tc>
          <w:tcPr>
            <w:tcW w:type="dxa" w:w="5256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Valid registration/login/logout; instructor approval; public signup cannot grant admin access.</w:t>
            </w:r>
          </w:p>
        </w:tc>
        <w:tc>
          <w:tcPr>
            <w:tcW w:type="dxa" w:w="230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UC-A01–UC-A08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UC-R02 Discovery/enrollment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Search/filter catalogue; eligible enrollment; access limited by membership; blacklist respected.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UC-C01–UC-C06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UC-R03 Materials/files</w:t>
            </w:r>
          </w:p>
        </w:tc>
        <w:tc>
          <w:tcPr>
            <w:tcW w:type="dxa" w:w="5256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Authorized course staff manage categorized resources; allowed files/limits enforced.</w:t>
            </w:r>
          </w:p>
        </w:tc>
        <w:tc>
          <w:tcPr>
            <w:tcW w:type="dxa" w:w="230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UC-M01–UC-M06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UC-R04 Coursework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Instructor assignments, student submissions/turn-in, grades and feedback with ownership protection.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UC-W01–UC-W07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UC-R05 Communication</w:t>
            </w:r>
          </w:p>
        </w:tc>
        <w:tc>
          <w:tcPr>
            <w:tcW w:type="dxa" w:w="5256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Course/class announcements, polls and member-only discussions.</w:t>
            </w:r>
          </w:p>
        </w:tc>
        <w:tc>
          <w:tcPr>
            <w:tcW w:type="dxa" w:w="230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UC-N01–UC-N05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UC-R06 Calendar/notifications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Correct accessible events and supported in-app updates.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UC-E01–UC-E03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UC-R07 Profiles</w:t>
            </w:r>
          </w:p>
        </w:tc>
        <w:tc>
          <w:tcPr>
            <w:tcW w:type="dxa" w:w="5256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Own profile/picture/password changes without unauthorized account changes.</w:t>
            </w:r>
          </w:p>
        </w:tc>
        <w:tc>
          <w:tcPr>
            <w:tcW w:type="dxa" w:w="230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UC-P01–UC-P03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UC-R08 Administration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Approved admins manage users, roles, courses, membership and statistics.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UC-D01–UC-D04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UC-R09 Sessions/data protection</w:t>
            </w:r>
          </w:p>
        </w:tc>
        <w:tc>
          <w:tcPr>
            <w:tcW w:type="dxa" w:w="5256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Protected routes deny unauthorized requests; sessions expire/end correctly; responses exclude passwords.</w:t>
            </w:r>
          </w:p>
        </w:tc>
        <w:tc>
          <w:tcPr>
            <w:tcW w:type="dxa" w:w="230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UC-S01–UC-S04 plus ownership cases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UC-R10 Persistence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Normal application records and valid sessions survive a server restart.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UC-Q01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UC-R11 Usability/compatibility</w:t>
            </w:r>
          </w:p>
        </w:tc>
        <w:tc>
          <w:tcPr>
            <w:tcW w:type="dxa" w:w="5256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Core journeys work on selected browsers/devices with usable keyboard/error states.</w:t>
            </w:r>
          </w:p>
        </w:tc>
        <w:tc>
          <w:tcPr>
            <w:tcW w:type="dxa" w:w="230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UC-Q02–UC-Q03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UC-R12 Responsiveness of service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Core pages complete without errors during a small controlled test run.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UC-Q04</w:t>
            </w:r>
          </w:p>
        </w:tc>
      </w:tr>
    </w:tbl>
    <w:p>
      <w:pPr>
        <w:spacing w:after="20"/>
      </w:pPr>
    </w:p>
    <w:p>
      <w:r>
        <w:t xml:space="preserve">The starter suite contains </w:t>
      </w:r>
      <w:r>
        <w:rPr>
          <w:b/>
        </w:rPr>
        <w:t>50 manual/API scenarios</w:t>
      </w:r>
      <w:r>
        <w:t>. Some scenarios contain multiple boundaries or browser variants; record a separate result for each variation when executing.</w:t>
      </w:r>
    </w:p>
    <w:p>
      <w:pPr>
        <w:pStyle w:val="Heading1"/>
      </w:pPr>
      <w:r>
        <w:t>3 Exclusions</w:t>
      </w:r>
    </w:p>
    <w:p>
      <w:r>
        <w:t>Do not report the absence of these as unexpected defects: forgotten-password email delivery, institutional/email verification, video storage, external calendar synchronization, payments, automatic quiz marking, plagiarism detection or official transcripts.</w:t>
      </w:r>
    </w:p>
    <w:p>
      <w:r>
        <w:t>Full penetration testing, internet load/stress testing and certification against accessibility or security standards are outside this plan. Limited access-control, keyboard and small local performance checks are included.</w:t>
      </w:r>
    </w:p>
    <w:p>
      <w:pPr>
        <w:pStyle w:val="Heading1"/>
      </w:pPr>
      <w:r>
        <w:t>4 Risk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88"/>
        <w:gridCol w:w="864"/>
        <w:gridCol w:w="4968"/>
      </w:tblGrid>
      <w:tr>
        <w:trPr>
          <w:cantSplit/>
          <w:tblHeader/>
        </w:trPr>
        <w:tc>
          <w:tcPr>
            <w:tcW w:type="dxa" w:w="3888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864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4968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How to test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Another student changes a grade or reads a private submission</w:t>
            </w:r>
          </w:p>
        </w:tc>
        <w:tc>
          <w:tcPr>
            <w:tcW w:type="dxa" w:w="86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4968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Paired student accounts, direct API ownership requests and before/after record checks.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Unapproved users or public signup gain privileged access</w:t>
            </w:r>
          </w:p>
        </w:tc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49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Pending instructor, role escalation, protected routes and revoked sessions.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Coursework disappears or grading is saved incorrectly</w:t>
            </w:r>
          </w:p>
        </w:tc>
        <w:tc>
          <w:tcPr>
            <w:tcW w:type="dxa" w:w="86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4968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End-to-end submission/grade flow and persistent-mode restart.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Main student/instructor/admin journey fails</w:t>
            </w:r>
          </w:p>
        </w:tc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49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Smoke tests first, then role-specific positive/negative cases.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File limits, course membership or polling cause incorrect behavior</w:t>
            </w:r>
          </w:p>
        </w:tc>
        <w:tc>
          <w:tcPr>
            <w:tcW w:type="dxa" w:w="86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4968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Boundary files, nonmembers, blacklist and two browser sessions.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Layout, labels or secondary filters are confusing</w:t>
            </w:r>
          </w:p>
        </w:tc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type="dxa" w:w="49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Exploratory, keyboard and viewport checks.</w:t>
            </w:r>
          </w:p>
        </w:tc>
      </w:tr>
    </w:tbl>
    <w:p>
      <w:pPr>
        <w:spacing w:after="20"/>
      </w:pPr>
    </w:p>
    <w:p>
      <w:r>
        <w:t>Priority is execution order. Defect severity measures impact; it is not automatically the same as case priority.</w:t>
      </w:r>
    </w:p>
    <w:p>
      <w:pPr>
        <w:pStyle w:val="Heading1"/>
      </w:pPr>
      <w:r>
        <w:t>5 Environments and test data</w:t>
      </w:r>
    </w:p>
    <w:p>
      <w:pPr>
        <w:pStyle w:val="Heading2"/>
      </w:pPr>
      <w:r>
        <w:t>Disposable QA environment   manual/API workflows</w:t>
      </w:r>
    </w:p>
    <w:p>
      <w:r>
        <w:t xml:space="preserve">Run </w:t>
      </w:r>
      <w:r>
        <w:rPr>
          <w:rFonts w:ascii="Consolas" w:hAnsi="Consolas"/>
          <w:sz w:val="18"/>
        </w:rPr>
        <w:t>npm run dev:qa</w:t>
      </w:r>
      <w:r>
        <w:t xml:space="preserve">; use </w:t>
      </w:r>
      <w:r>
        <w:rPr>
          <w:rFonts w:ascii="Consolas" w:hAnsi="Consolas"/>
          <w:sz w:val="18"/>
        </w:rPr>
        <w:t>http://127.0.0.1:5173</w:t>
      </w:r>
      <w:r>
        <w:t xml:space="preserve"> and API port 3000. It contains fictional accounts and populated courses. Data is reset when the backend stops. Use the </w:t>
      </w:r>
      <w:hyperlink r:id="rId12">
        <w:r>
          <w:rPr>
            <w:color w:val="0563C1"/>
            <w:u w:val="single"/>
          </w:rPr>
          <w:t>fixture account table</w:t>
        </w:r>
      </w:hyperlink>
      <w:r>
        <w:t>.</w:t>
      </w:r>
    </w:p>
    <w:p>
      <w:r>
        <w:t>Use separate browser profiles/private windows for student A, student B, instructor and administrator. Do not mix up roles in one cookie session.</w:t>
      </w:r>
    </w:p>
    <w:p>
      <w:pPr>
        <w:pStyle w:val="Heading2"/>
      </w:pPr>
      <w:r>
        <w:t>Automatic regression environment</w:t>
      </w:r>
    </w:p>
    <w:p>
      <w:r>
        <w:t xml:space="preserve">Stop other local servers and run </w:t>
      </w:r>
      <w:r>
        <w:rPr>
          <w:rFonts w:ascii="Consolas" w:hAnsi="Consolas"/>
          <w:sz w:val="18"/>
        </w:rPr>
        <w:t>npm test</w:t>
      </w:r>
      <w:r>
        <w:t>. The suite starts isolated fixtures and its own servers. It refuses to reuse an existing server. Do not run it concurrently with manual work on the same ports.</w:t>
      </w:r>
    </w:p>
    <w:p>
      <w:pPr>
        <w:pStyle w:val="Heading2"/>
      </w:pPr>
      <w:r>
        <w:t>Persistent local environment   restart verification</w:t>
      </w:r>
    </w:p>
    <w:p>
      <w:r>
        <w:t xml:space="preserve">Run </w:t>
      </w:r>
      <w:r>
        <w:rPr>
          <w:rFonts w:ascii="Consolas" w:hAnsi="Consolas"/>
          <w:sz w:val="18"/>
        </w:rPr>
        <w:t>npm run dev</w:t>
      </w:r>
      <w:r>
        <w:t xml:space="preserve"> using an intended test copy of the repository. Its database is in </w:t>
      </w:r>
      <w:r>
        <w:rPr>
          <w:rFonts w:ascii="Consolas" w:hAnsi="Consolas"/>
          <w:sz w:val="18"/>
        </w:rPr>
        <w:t>.data/</w:t>
      </w:r>
      <w:r>
        <w:t>. Run UC-Q01 here, not in disposable QA. Back up important local data before experimentation. Never point this test at the hosted database.</w:t>
      </w:r>
    </w:p>
    <w:p>
      <w:pPr>
        <w:pStyle w:val="Heading2"/>
      </w:pPr>
      <w:r>
        <w:t>Hosted checks</w:t>
      </w:r>
    </w:p>
    <w:p>
      <w:r>
        <w:t xml:space="preserve">The live site is limited to </w:t>
      </w:r>
      <w:r>
        <w:rPr>
          <w:rFonts w:ascii="Consolas" w:hAnsi="Consolas"/>
          <w:sz w:val="18"/>
        </w:rPr>
        <w:t>npm run test:public</w:t>
      </w:r>
      <w:r>
        <w:t xml:space="preserve"> read-only health checks in this plan. If hosted workflow coverage is needed, use a separate staging deployment with its own PostgreSQL database and secrets. Free-hosting performance is not equivalent to local performance.</w:t>
      </w:r>
    </w:p>
    <w:p>
      <w:pPr>
        <w:pStyle w:val="Heading2"/>
      </w:pPr>
      <w:r>
        <w:t>Data checklist</w:t>
      </w:r>
    </w:p>
    <w:p>
      <w:pPr>
        <w:pStyle w:val="ListBullet"/>
      </w:pPr>
      <w:r>
        <w:t>Student A enrolled in course A; student B for ownership checks; a nonmember of course B.</w:t>
      </w:r>
    </w:p>
    <w:p>
      <w:pPr>
        <w:pStyle w:val="ListBullet"/>
      </w:pPr>
      <w:r>
        <w:t>Approved instructor teaching course A, another instructor not teaching course A, pending instructor.</w:t>
      </w:r>
    </w:p>
    <w:p>
      <w:pPr>
        <w:pStyle w:val="ListBullet"/>
      </w:pPr>
      <w:r>
        <w:t>Administrator, representative and course head assigned to a specific course.</w:t>
      </w:r>
    </w:p>
    <w:p>
      <w:pPr>
        <w:pStyle w:val="ListBullet"/>
      </w:pPr>
      <w:r>
        <w:t>Existing assignment/submission, a new assignment, valid poll and known calendar event.</w:t>
      </w:r>
    </w:p>
    <w:p>
      <w:pPr>
        <w:pStyle w:val="ListBullet"/>
      </w:pPr>
      <w:r>
        <w:t>Valid small PDF, PNG/JPEG/WebP; unsupported text/executable file; renamed invalid file.</w:t>
      </w:r>
    </w:p>
    <w:p>
      <w:pPr>
        <w:pStyle w:val="ListBullet"/>
      </w:pPr>
      <w:r>
        <w:t>Valid files immediately below, at and above 1,048,576 decoded bytes; use real formats, not only changed extensions.</w:t>
      </w:r>
    </w:p>
    <w:p>
      <w:pPr>
        <w:pStyle w:val="ListBullet"/>
      </w:pPr>
      <w:r>
        <w:t xml:space="preserve">Unique synthetic identifiers, e.g. </w:t>
      </w:r>
      <w:r>
        <w:rPr>
          <w:rFonts w:ascii="Consolas" w:hAnsi="Consolas"/>
          <w:sz w:val="18"/>
        </w:rPr>
        <w:t>uc-run-01</w:t>
      </w:r>
      <w:r>
        <w:t xml:space="preserve"> in course/message/assignment names.</w:t>
      </w:r>
    </w:p>
    <w:p>
      <w:pPr>
        <w:pStyle w:val="ListBullet"/>
      </w:pPr>
      <w:r>
        <w:t>No real student records, private passwords or confidential coursework.</w:t>
      </w:r>
    </w:p>
    <w:p>
      <w:r>
        <w:t>For quota checks, measure remaining allowance before preparing uploads. The database already contains starter files. Verify 20 MiB per owner and 100 MiB total only in disposable/local copies.</w:t>
      </w:r>
    </w:p>
    <w:p>
      <w:pPr>
        <w:pStyle w:val="Heading1"/>
      </w:pPr>
      <w:r>
        <w:t>6 Test approach</w:t>
      </w:r>
    </w:p>
    <w:p>
      <w:pPr>
        <w:ind w:left="259" w:hanging="259"/>
      </w:pPr>
      <w:r>
        <w:t xml:space="preserve">1. </w:t>
      </w:r>
      <w:r>
        <w:rPr>
          <w:b/>
        </w:rPr>
        <w:t>Static review:</w:t>
      </w:r>
      <w:r>
        <w:t xml:space="preserve"> compare page flow, requirements, API permissions and current documentation.</w:t>
      </w:r>
    </w:p>
    <w:p>
      <w:pPr>
        <w:ind w:left="259" w:hanging="259"/>
      </w:pPr>
      <w:r>
        <w:t xml:space="preserve">2. </w:t>
      </w:r>
      <w:r>
        <w:rPr>
          <w:b/>
        </w:rPr>
        <w:t>Smoke:</w:t>
      </w:r>
      <w:r>
        <w:t xml:space="preserve"> prove that each role can sign in and reach one core page.</w:t>
      </w:r>
    </w:p>
    <w:p>
      <w:pPr>
        <w:ind w:left="259" w:hanging="259"/>
      </w:pPr>
      <w:r>
        <w:t xml:space="preserve">3. </w:t>
      </w:r>
      <w:r>
        <w:rPr>
          <w:b/>
        </w:rPr>
        <w:t>Functional/manual:</w:t>
      </w:r>
      <w:r>
        <w:t xml:space="preserve"> execute positive, invalid-input, boundary and empty-state cases.</w:t>
      </w:r>
    </w:p>
    <w:p>
      <w:pPr>
        <w:ind w:left="259" w:hanging="259"/>
      </w:pPr>
      <w:r>
        <w:t xml:space="preserve">4. </w:t>
      </w:r>
      <w:r>
        <w:rPr>
          <w:b/>
        </w:rPr>
        <w:t>Integration/end-to-end:</w:t>
      </w:r>
      <w:r>
        <w:t xml:space="preserve"> trace instructor creation → student turn-in → instructor grading → student feedback, checking the saved record at each stage.</w:t>
      </w:r>
    </w:p>
    <w:p>
      <w:pPr>
        <w:ind w:left="259" w:hanging="259"/>
      </w:pPr>
      <w:r>
        <w:t xml:space="preserve">5. </w:t>
      </w:r>
      <w:r>
        <w:rPr>
          <w:b/>
        </w:rPr>
        <w:t>API/permissions:</w:t>
      </w:r>
      <w:r>
        <w:t xml:space="preserve"> reuse observed valid requests with another role or record ID; verify rejection and confirm the protected data did not change. Do not stop at checking a hidden button.</w:t>
      </w:r>
    </w:p>
    <w:p>
      <w:pPr>
        <w:ind w:left="259" w:hanging="259"/>
      </w:pPr>
      <w:r>
        <w:t xml:space="preserve">6. </w:t>
      </w:r>
      <w:r>
        <w:rPr>
          <w:b/>
        </w:rPr>
        <w:t>Exploratory:</w:t>
      </w:r>
      <w:r>
        <w:t xml:space="preserve"> short focused sessions on interrupted uploads, double clicks, refreshing, stale tabs, pagination and errors. Record the session and new cases.</w:t>
      </w:r>
    </w:p>
    <w:p>
      <w:pPr>
        <w:ind w:left="259" w:hanging="259"/>
      </w:pPr>
      <w:r>
        <w:t xml:space="preserve">7. </w:t>
      </w:r>
      <w:r>
        <w:rPr>
          <w:b/>
        </w:rPr>
        <w:t>Compatibility/usability:</w:t>
      </w:r>
      <w:r>
        <w:t xml:space="preserve"> current Chrome and Edge on desktop; a 390px-wide viewport plus one real phone if available. Record actual versions. Add Firefox/Safari only if the team can execute them.</w:t>
      </w:r>
    </w:p>
    <w:p>
      <w:pPr>
        <w:ind w:left="259" w:hanging="259"/>
      </w:pPr>
      <w:r>
        <w:t xml:space="preserve">8. </w:t>
      </w:r>
      <w:r>
        <w:rPr>
          <w:b/>
        </w:rPr>
        <w:t>Regression:</w:t>
      </w:r>
      <w:r>
        <w:t xml:space="preserve"> rerun relevant cases after each fix, then the complete current automated suite.</w:t>
      </w:r>
    </w:p>
    <w:p>
      <w:r>
        <w:t>Use browser developer tools or an API client for request checks. Obtain test credentials/tokens only from your own local test login and keep them out of evidence. A successful HTTP response alone does not prove correctness: inspect the saved state and the visible result.</w:t>
      </w:r>
    </w:p>
    <w:p>
      <w:pPr>
        <w:pStyle w:val="Heading2"/>
      </w:pPr>
      <w:r>
        <w:t>Performance observation</w:t>
      </w:r>
    </w:p>
    <w:p>
      <w:r>
        <w:t>On an isolated local/staging environment, warm up first, then measure five sequential loads of dashboard/catalogue/course pages and record timings, HTTP failures and environment details. A proposed project target is each warm load completing within 5 seconds with no failed core request. Agree this target before using it for pass/fail. This is a small observation, not a load capacity claim. Do not run quota filling or concurrent load against the live site.</w:t>
      </w:r>
    </w:p>
    <w:p>
      <w:pPr>
        <w:pStyle w:val="Heading1"/>
      </w:pPr>
      <w:r>
        <w:t>7 Entry criteria</w:t>
      </w:r>
    </w:p>
    <w:p>
      <w:pPr>
        <w:pStyle w:val="ListBullet"/>
      </w:pPr>
      <w:r>
        <w:t>Tested source commit and environment are recorded.</w:t>
      </w:r>
    </w:p>
    <w:p>
      <w:pPr>
        <w:pStyle w:val="ListBullet"/>
      </w:pPr>
      <w:r>
        <w:t>Setup succeeds; frontend/API are reachable.</w:t>
      </w:r>
    </w:p>
    <w:p>
      <w:pPr>
        <w:pStyle w:val="ListBullet"/>
      </w:pPr>
      <w:r>
        <w:t>Required roles, memberships and test files are available.</w:t>
      </w:r>
    </w:p>
    <w:p>
      <w:pPr>
        <w:pStyle w:val="ListBullet"/>
      </w:pPr>
      <w:r>
        <w:t>Expected results, deadline policy and performance target are reviewed by the team.</w:t>
      </w:r>
    </w:p>
    <w:p>
      <w:pPr>
        <w:pStyle w:val="ListBullet"/>
      </w:pPr>
      <w:r>
        <w:t>No blocking environment issue prevents the role smoke tests.</w:t>
      </w:r>
    </w:p>
    <w:p>
      <w:r>
        <w:t xml:space="preserve">A failed entry check is recorded as </w:t>
      </w:r>
      <w:r>
        <w:rPr>
          <w:b/>
        </w:rPr>
        <w:t>Blocked</w:t>
      </w:r>
      <w:r>
        <w:t>, with a reason and owner.</w:t>
      </w:r>
    </w:p>
    <w:p>
      <w:pPr>
        <w:pStyle w:val="Heading1"/>
      </w:pPr>
      <w:r>
        <w:t>8 Exit criteria</w:t>
      </w:r>
    </w:p>
    <w:p>
      <w:pPr>
        <w:pStyle w:val="ListBullet"/>
      </w:pPr>
      <w:r>
        <w:t>Every planned case and agreed variation has an execution status and evidence or a clear blocker.</w:t>
      </w:r>
    </w:p>
    <w:p>
      <w:pPr>
        <w:pStyle w:val="ListBullet"/>
      </w:pPr>
      <w:r>
        <w:t>All P0/P1 cases pass on the final candidate; no unresolved Critical/High defect remains.</w:t>
      </w:r>
    </w:p>
    <w:p>
      <w:pPr>
        <w:pStyle w:val="ListBullet"/>
      </w:pPr>
      <w:r>
        <w:t>At least 95% of all executed applicable cases pass. Report Not Run, Blocked and N/A separately; they cannot be hidden by the pass percentage.</w:t>
      </w:r>
    </w:p>
    <w:p>
      <w:pPr>
        <w:pStyle w:val="ListBullet"/>
      </w:pPr>
      <w:r>
        <w:t>Fixed defects have a linked passing retest and relevant regression.</w:t>
      </w:r>
    </w:p>
    <w:p>
      <w:pPr>
        <w:pStyle w:val="ListBullet"/>
      </w:pPr>
      <w:r>
        <w:t>Any remaining Medium/Low defects or scope exclusions are explicitly accepted by the project owner/team.</w:t>
      </w:r>
    </w:p>
    <w:p>
      <w:pPr>
        <w:pStyle w:val="ListBullet"/>
      </w:pPr>
      <w:r>
        <w:t>Final summary states tested commit, environments, coverage, results and remaining limits.</w:t>
      </w:r>
    </w:p>
    <w:p>
      <w:r>
        <w:t>If a criterion is not met, report the release/test cycle as incomplete. Do not label a failed known issue as a pass because it was documented.</w:t>
      </w:r>
    </w:p>
    <w:p>
      <w:pPr>
        <w:pStyle w:val="Heading1"/>
      </w:pPr>
      <w:r>
        <w:t>9 Defect workflow</w:t>
      </w:r>
    </w:p>
    <w:p>
      <w:r>
        <w:rPr>
          <w:rFonts w:ascii="Consolas" w:hAnsi="Consolas"/>
          <w:sz w:val="18"/>
        </w:rPr>
        <w:t>New → Triaged → In progress → Ready for retest → Closed</w:t>
      </w:r>
    </w:p>
    <w:p>
      <w:r>
        <w:t xml:space="preserve">If the retest fails, return the defect to </w:t>
      </w:r>
      <w:r>
        <w:rPr>
          <w:b/>
        </w:rPr>
        <w:t>Reopened</w:t>
      </w:r>
      <w:r>
        <w:t>. Duplicate, cannot reproduce and deferred outcomes need an explanation and links to supporting evidence.</w:t>
      </w:r>
    </w:p>
    <w:p>
      <w:r>
        <w:t xml:space="preserve">Use the existing </w:t>
      </w:r>
      <w:hyperlink r:id="rId13">
        <w:r>
          <w:rPr>
            <w:color w:val="0563C1"/>
            <w:u w:val="single"/>
          </w:rPr>
          <w:t>GitHub bug template</w:t>
        </w:r>
      </w:hyperlink>
      <w:r>
        <w:t>. Include case ID, source/environment/browser, role, preconditions, steps, expected/actual result, reproducibility, severity and redacted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8280"/>
      </w:tblGrid>
      <w:tr>
        <w:trPr>
          <w:cantSplit/>
          <w:tblHeader/>
        </w:trPr>
        <w:tc>
          <w:tcPr>
            <w:tcW w:type="dxa" w:w="1440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8280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Critical</w:t>
            </w:r>
          </w:p>
        </w:tc>
        <w:tc>
          <w:tcPr>
            <w:tcW w:type="dxa" w:w="828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Unauthorized grade/account changes or loss of substantial coursework with no recovery.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High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Core submission/login/approval flow unavailable without a practical workaround.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type="dxa" w:w="828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A feature fails but a reasonable workaround exists.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Low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Cosmetic or wording issue with limited impact.</w:t>
            </w:r>
          </w:p>
        </w:tc>
      </w:tr>
    </w:tbl>
    <w:p>
      <w:pPr>
        <w:spacing w:after="20"/>
      </w:pPr>
    </w:p>
    <w:p>
      <w:pPr>
        <w:pStyle w:val="Heading2"/>
      </w:pPr>
      <w:r>
        <w:t>Existing issues and questions to verify</w:t>
      </w:r>
    </w:p>
    <w:p>
      <w:pPr>
        <w:pStyle w:val="ListBullet"/>
      </w:pPr>
      <w:r>
        <w:t>The admin course page shows Create Course but its shared form targets an instructor-only endpoint. UC-D03 should reproduce and log this mismatch; do not count instructor creation as an admin pass.</w:t>
      </w:r>
    </w:p>
    <w:p>
      <w:pPr>
        <w:pStyle w:val="ListBullet"/>
      </w:pPr>
      <w:r>
        <w:t>Late-submission policy is not a fully specified contract. Record observed behavior and ask whether late work should be allowed/flagged/blocked before judging enforcement.</w:t>
      </w:r>
    </w:p>
    <w:p>
      <w:pPr>
        <w:pStyle w:val="ListBullet"/>
      </w:pPr>
      <w:r>
        <w:t>File URLs are intentionally shareable capabilities. A successful download with a valid shared token is documented behavior, not by itself an authentication bypass. Invalid tokens must fail.</w:t>
      </w:r>
    </w:p>
    <w:p>
      <w:pPr>
        <w:pStyle w:val="Heading1"/>
        <w:pageBreakBefore/>
      </w:pPr>
      <w:r>
        <w:t>10 Suggested team division and schedule</w:t>
      </w:r>
    </w:p>
    <w:p>
      <w:r>
        <w:t>This is a proposal, not an assignment notification.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6264"/>
        <w:gridCol w:w="1584"/>
      </w:tblGrid>
      <w:tr>
        <w:trPr>
          <w:cantSplit/>
          <w:tblHeader/>
        </w:trPr>
        <w:tc>
          <w:tcPr>
            <w:tcW w:type="dxa" w:w="1872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type="dxa" w:w="6264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Suggested focus</w:t>
            </w:r>
          </w:p>
        </w:tc>
        <w:tc>
          <w:tcPr>
            <w:tcW w:type="dxa" w:w="1584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Review partner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Mohamed / owner</w:t>
            </w:r>
          </w:p>
        </w:tc>
        <w:tc>
          <w:tcPr>
            <w:tcW w:type="dxa" w:w="626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Scope, environment, admin cases, triage and final summary.</w:t>
            </w:r>
          </w:p>
        </w:tc>
        <w:tc>
          <w:tcPr>
            <w:tcW w:type="dxa" w:w="158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Ahmed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Ahmed-Ayman22</w:t>
            </w:r>
          </w:p>
        </w:tc>
        <w:tc>
          <w:tcPr>
            <w:tcW w:type="dxa" w:w="62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Registration, sessions and access-control cases.</w:t>
            </w:r>
          </w:p>
        </w:tc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Karim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karimElmalt-95</w:t>
            </w:r>
          </w:p>
        </w:tc>
        <w:tc>
          <w:tcPr>
            <w:tcW w:type="dxa" w:w="626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Courses, materials, uploads and coursework.</w:t>
            </w:r>
          </w:p>
        </w:tc>
        <w:tc>
          <w:tcPr>
            <w:tcW w:type="dxa" w:w="1584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Adam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Adam-Ehab32</w:t>
            </w:r>
          </w:p>
        </w:tc>
        <w:tc>
          <w:tcPr>
            <w:tcW w:type="dxa" w:w="62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Communication, calendar, compatibility and usability.</w:t>
            </w:r>
          </w:p>
        </w:tc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Mohamed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8280"/>
      </w:tblGrid>
      <w:tr>
        <w:trPr>
          <w:cantSplit/>
          <w:tblHeader/>
        </w:trPr>
        <w:tc>
          <w:tcPr>
            <w:tcW w:type="dxa" w:w="1440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b/>
                <w:color w:val="FFFFFF"/>
                <w:sz w:val="19"/>
              </w:rPr>
              <w:t>Working day</w:t>
            </w:r>
          </w:p>
        </w:tc>
        <w:tc>
          <w:tcPr>
            <w:tcW w:type="dxa" w:w="8280"/>
            <w:vAlign w:val="center"/>
            <w:shd w:fill="17365D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828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Review requirements, environment and test data; agree questions.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Review starter cases, add variations and complete role smoke tests.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3–4</w:t>
            </w:r>
          </w:p>
        </w:tc>
        <w:tc>
          <w:tcPr>
            <w:tcW w:type="dxa" w:w="828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Execute functional/API and exploratory cases; file defects as found.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5–6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Fixes, retests, persistence and compatibility checks.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8280"/>
            <w:vAlign w:val="center"/>
            <w:shd w:fill="F2F5F8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Final regression and remaining-risk review.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82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45" w:lineRule="auto"/>
            </w:pPr>
            <w:r>
              <w:rPr>
                <w:sz w:val="19"/>
              </w:rPr>
              <w:t>Test summary, evidence cleanup and graduation demonstration.</w:t>
            </w:r>
          </w:p>
        </w:tc>
      </w:tr>
    </w:tbl>
    <w:p>
      <w:pPr>
        <w:spacing w:after="20"/>
      </w:pPr>
    </w:p>
    <w:p>
      <w:r>
        <w:t>Adjust dates to your deadline; preserve the dependency order rather than claiming these dates have already occurred.</w:t>
      </w:r>
    </w:p>
    <w:p>
      <w:pPr>
        <w:pStyle w:val="Heading1"/>
      </w:pPr>
      <w:r>
        <w:t>11 Deliverables and measurement</w:t>
      </w:r>
    </w:p>
    <w:p>
      <w:pPr>
        <w:pStyle w:val="ListBullet"/>
      </w:pPr>
      <w:r>
        <w:t xml:space="preserve">This plan and the </w:t>
      </w:r>
      <w:hyperlink r:id="rId14">
        <w:r>
          <w:rPr>
            <w:color w:val="0563C1"/>
            <w:u w:val="single"/>
          </w:rPr>
          <w:t>starter cases</w:t>
        </w:r>
      </w:hyperlink>
      <w:r>
        <w:t>.</w:t>
      </w:r>
    </w:p>
    <w:p>
      <w:pPr>
        <w:pStyle w:val="ListBullet"/>
      </w:pPr>
      <w:r>
        <w:t xml:space="preserve">Run-specific </w:t>
      </w:r>
      <w:hyperlink r:id="rId15">
        <w:r>
          <w:rPr>
            <w:color w:val="0563C1"/>
            <w:u w:val="single"/>
          </w:rPr>
          <w:t>execution log</w:t>
        </w:r>
      </w:hyperlink>
      <w:r>
        <w:t xml:space="preserve"> with individual results.</w:t>
      </w:r>
    </w:p>
    <w:p>
      <w:pPr>
        <w:pStyle w:val="ListBullet"/>
      </w:pPr>
      <w:r>
        <w:t>GitHub defects linked to cases/evidence and fixes.</w:t>
      </w:r>
    </w:p>
    <w:p>
      <w:pPr>
        <w:pStyle w:val="ListBullet"/>
      </w:pPr>
      <w:r>
        <w:t>Automated HTML/JSON reports with run date and tested commit.</w:t>
      </w:r>
    </w:p>
    <w:p>
      <w:pPr>
        <w:pStyle w:val="ListBullet"/>
      </w:pPr>
      <w:r>
        <w:t>Retest/regression evidence.</w:t>
      </w:r>
    </w:p>
    <w:p>
      <w:pPr>
        <w:pStyle w:val="ListBullet"/>
      </w:pPr>
      <w:r>
        <w:t xml:space="preserve">Completed </w:t>
      </w:r>
      <w:hyperlink r:id="rId16">
        <w:r>
          <w:rPr>
            <w:color w:val="0563C1"/>
            <w:u w:val="single"/>
          </w:rPr>
          <w:t>test summary</w:t>
        </w:r>
      </w:hyperlink>
      <w:r>
        <w:t>.</w:t>
      </w:r>
    </w:p>
    <w:p>
      <w:r>
        <w:t>Case coverage = executed applicable cases / planned applicable cases. Pass rate = passed / executed cases with a Pass or Fail outcome. Always publish raw counts for Pass, Fail, Blocked, Not Run and N/A alongside percentages. N/A requires a documented reason; Blocked cases remain a coverage gap.</w:t>
      </w:r>
    </w:p>
    <w:p>
      <w:r>
        <w:t xml:space="preserve">Follow the </w:t>
      </w:r>
      <w:hyperlink r:id="rId17">
        <w:r>
          <w:rPr>
            <w:color w:val="0563C1"/>
            <w:u w:val="single"/>
          </w:rPr>
          <w:t>execution walkthrough</w:t>
        </w:r>
      </w:hyperlink>
      <w:r>
        <w:t xml:space="preserve"> to perform the first cycle.</w:t>
      </w:r>
    </w:p>
    <w:sectPr w:rsidR="00FC693F" w:rsidRPr="0006063C" w:rsidSect="00034616">
      <w:footerReference w:type="default" r:id="rId18"/>
      <w:pgSz w:w="11909" w:h="16834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UC-TP-001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ohamedhany-44/UniComnect_test/blob/main/docs/product/WEBSITE-GUIDE.md" TargetMode="External"/><Relationship Id="rId10" Type="http://schemas.openxmlformats.org/officeDocument/2006/relationships/hyperlink" Target="https://github.com/mohamedhany-44/UniComnect_test/blob/main/docs/product/FEATURES-AND-LIMITS.md" TargetMode="External"/><Relationship Id="rId11" Type="http://schemas.openxmlformats.org/officeDocument/2006/relationships/hyperlink" Target="https://github.com/mohamedhany-44/UniComnect_test/blob/main/docs/diagrams/Flowchart.svg" TargetMode="External"/><Relationship Id="rId12" Type="http://schemas.openxmlformats.org/officeDocument/2006/relationships/hyperlink" Target="https://github.com/mohamedhany-44/UniComnect_test/blob/main/docs/testing/README.md#fixture-accounts" TargetMode="External"/><Relationship Id="rId13" Type="http://schemas.openxmlformats.org/officeDocument/2006/relationships/hyperlink" Target="https://github.com/mohamedhany-44/UniComnect_test/blob/main/.github/ISSUE_TEMPLATE/bug_report.md" TargetMode="External"/><Relationship Id="rId14" Type="http://schemas.openxmlformats.org/officeDocument/2006/relationships/hyperlink" Target="https://github.com/mohamedhany-44/UniComnect_test/blob/main/docs/testing/TEST-CASES.md" TargetMode="External"/><Relationship Id="rId15" Type="http://schemas.openxmlformats.org/officeDocument/2006/relationships/hyperlink" Target="https://github.com/mohamedhany-44/UniComnect_test/blob/main/docs/testing/templates/EXECUTION-LOG.md" TargetMode="External"/><Relationship Id="rId16" Type="http://schemas.openxmlformats.org/officeDocument/2006/relationships/hyperlink" Target="https://github.com/mohamedhany-44/UniComnect_test/blob/main/docs/testing/templates/TEST-SUMMARY.md" TargetMode="External"/><Relationship Id="rId17" Type="http://schemas.openxmlformats.org/officeDocument/2006/relationships/hyperlink" Target="https://github.com/mohamedhany-44/UniComnect_test/blob/main/docs/testing/HOW-TO-TEST.md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UniConnect Test Plan</dc:title>
  <dc:subject>UC-TP-001 scope approach environments and completion criteria</dc:subject>
  <dc:creator>UniConnect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