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fzy7rshoymc" w:id="0"/>
      <w:bookmarkEnd w:id="0"/>
      <w:r w:rsidDel="00000000" w:rsidR="00000000" w:rsidRPr="00000000">
        <w:rPr>
          <w:rtl w:val="0"/>
        </w:rPr>
        <w:t xml:space="preserve">Übung 4</w:t>
      </w:r>
    </w:p>
    <w:p w:rsidR="00000000" w:rsidDel="00000000" w:rsidP="00000000" w:rsidRDefault="00000000" w:rsidRPr="00000000" w14:paraId="00000002">
      <w:pPr>
        <w:pStyle w:val="Heading1"/>
        <w:rPr/>
      </w:pPr>
      <w:bookmarkStart w:colFirst="0" w:colLast="0" w:name="_ffzhy4f9up6s" w:id="1"/>
      <w:bookmarkEnd w:id="1"/>
      <w:r w:rsidDel="00000000" w:rsidR="00000000" w:rsidRPr="00000000">
        <w:rPr>
          <w:rtl w:val="0"/>
        </w:rPr>
        <w:t xml:space="preserve">Aufgabe 1a</w:t>
      </w:r>
    </w:p>
    <w:p w:rsidR="00000000" w:rsidDel="00000000" w:rsidP="00000000" w:rsidRDefault="00000000" w:rsidRPr="00000000" w14:paraId="00000003">
      <w:pPr>
        <w:pStyle w:val="Heading2"/>
        <w:rPr/>
      </w:pPr>
      <w:bookmarkStart w:colFirst="0" w:colLast="0" w:name="_bn17y4w840oy" w:id="2"/>
      <w:bookmarkEnd w:id="2"/>
      <w:r w:rsidDel="00000000" w:rsidR="00000000" w:rsidRPr="00000000">
        <w:rPr>
          <w:rtl w:val="0"/>
        </w:rPr>
        <w:t xml:space="preserve">Alternativtext</w:t>
      </w:r>
    </w:p>
    <w:p w:rsidR="00000000" w:rsidDel="00000000" w:rsidP="00000000" w:rsidRDefault="00000000" w:rsidRPr="00000000" w14:paraId="00000004">
      <w:pPr>
        <w:rPr/>
      </w:pPr>
      <w:r w:rsidDel="00000000" w:rsidR="00000000" w:rsidRPr="00000000">
        <w:rPr>
          <w:sz w:val="21"/>
          <w:szCs w:val="21"/>
          <w:rtl w:val="0"/>
        </w:rPr>
        <w:t xml:space="preserve">Gruppiertes Säulendiagramm, das Haushalte im Freistaat Sachsen in den Jahren 1991, 2000, 2005 und 2015 nach Haushaltsgröße zeigt.</w:t>
      </w:r>
      <w:r w:rsidDel="00000000" w:rsidR="00000000" w:rsidRPr="00000000">
        <w:rPr>
          <w:rtl w:val="0"/>
        </w:rPr>
      </w:r>
    </w:p>
    <w:p w:rsidR="00000000" w:rsidDel="00000000" w:rsidP="00000000" w:rsidRDefault="00000000" w:rsidRPr="00000000" w14:paraId="00000005">
      <w:pPr>
        <w:pStyle w:val="Heading2"/>
        <w:rPr/>
      </w:pPr>
      <w:bookmarkStart w:colFirst="0" w:colLast="0" w:name="_uuauk8qgjmuc" w:id="3"/>
      <w:bookmarkEnd w:id="3"/>
      <w:r w:rsidDel="00000000" w:rsidR="00000000" w:rsidRPr="00000000">
        <w:rPr>
          <w:rtl w:val="0"/>
        </w:rPr>
        <w:t xml:space="preserve">Bildbeschreibung</w:t>
      </w:r>
    </w:p>
    <w:p w:rsidR="00000000" w:rsidDel="00000000" w:rsidP="00000000" w:rsidRDefault="00000000" w:rsidRPr="00000000" w14:paraId="00000006">
      <w:pPr>
        <w:rPr>
          <w:sz w:val="21"/>
          <w:szCs w:val="21"/>
        </w:rPr>
      </w:pPr>
      <w:r w:rsidDel="00000000" w:rsidR="00000000" w:rsidRPr="00000000">
        <w:rPr>
          <w:sz w:val="21"/>
          <w:szCs w:val="21"/>
          <w:rtl w:val="0"/>
        </w:rPr>
        <w:t xml:space="preserve">Gruppiertes Säulendiagramm, das Haushalte im Freistaat Sachsen in den Jahren 1991, 2000, 2005 und 2015 nach Haushaltsgröße zeigt.</w:t>
      </w:r>
    </w:p>
    <w:p w:rsidR="00000000" w:rsidDel="00000000" w:rsidP="00000000" w:rsidRDefault="00000000" w:rsidRPr="00000000" w14:paraId="00000007">
      <w:pPr>
        <w:rPr>
          <w:sz w:val="21"/>
          <w:szCs w:val="21"/>
        </w:rPr>
      </w:pPr>
      <w:r w:rsidDel="00000000" w:rsidR="00000000" w:rsidRPr="00000000">
        <w:rPr>
          <w:rtl w:val="0"/>
        </w:rPr>
      </w:r>
    </w:p>
    <w:p w:rsidR="00000000" w:rsidDel="00000000" w:rsidP="00000000" w:rsidRDefault="00000000" w:rsidRPr="00000000" w14:paraId="00000008">
      <w:pPr>
        <w:rPr>
          <w:sz w:val="21"/>
          <w:szCs w:val="21"/>
        </w:rPr>
      </w:pPr>
      <w:r w:rsidDel="00000000" w:rsidR="00000000" w:rsidRPr="00000000">
        <w:rPr>
          <w:sz w:val="21"/>
          <w:szCs w:val="21"/>
          <w:rtl w:val="0"/>
        </w:rPr>
        <w:t xml:space="preserve">Auf der horizontalen Achse sind die Hauhalt lebenden Personen angegeben. Von links nach rechts: eine Person, zwei Personen, drei Personen, vier Personen, fünf oder mehr Personen.</w:t>
      </w:r>
    </w:p>
    <w:p w:rsidR="00000000" w:rsidDel="00000000" w:rsidP="00000000" w:rsidRDefault="00000000" w:rsidRPr="00000000" w14:paraId="00000009">
      <w:pPr>
        <w:rPr>
          <w:sz w:val="21"/>
          <w:szCs w:val="21"/>
        </w:rPr>
      </w:pPr>
      <w:r w:rsidDel="00000000" w:rsidR="00000000" w:rsidRPr="00000000">
        <w:rPr>
          <w:sz w:val="21"/>
          <w:szCs w:val="21"/>
          <w:rtl w:val="0"/>
        </w:rPr>
        <w:t xml:space="preserve">Auf der vertikalen Achse ist die Anzahl der Haushalte in 1000 angegeben. Von unten nach oben: 200, 400, 600, 800, 1000. Vertikal passend zu den Messwerten verlaufen horizontale Hilfslinien. Pro Wert auf der horizontalen Achse sind 4 Balken gegeben. Jeder Balken hat eine andere Farben und sie repräsentieren 2015, 2005, 2000, 1991.</w:t>
      </w:r>
    </w:p>
    <w:p w:rsidR="00000000" w:rsidDel="00000000" w:rsidP="00000000" w:rsidRDefault="00000000" w:rsidRPr="00000000" w14:paraId="0000000A">
      <w:pPr>
        <w:rPr>
          <w:sz w:val="21"/>
          <w:szCs w:val="21"/>
        </w:rPr>
      </w:pPr>
      <w:r w:rsidDel="00000000" w:rsidR="00000000" w:rsidRPr="00000000">
        <w:rPr>
          <w:rtl w:val="0"/>
        </w:rPr>
      </w:r>
    </w:p>
    <w:p w:rsidR="00000000" w:rsidDel="00000000" w:rsidP="00000000" w:rsidRDefault="00000000" w:rsidRPr="00000000" w14:paraId="0000000B">
      <w:pPr>
        <w:rPr>
          <w:sz w:val="21"/>
          <w:szCs w:val="21"/>
        </w:rPr>
      </w:pPr>
      <w:r w:rsidDel="00000000" w:rsidR="00000000" w:rsidRPr="00000000">
        <w:rPr>
          <w:sz w:val="21"/>
          <w:szCs w:val="21"/>
          <w:rtl w:val="0"/>
        </w:rPr>
        <w:t xml:space="preserve">Für eine im Haushalt lebende Person ist der Wert von 1991 bis 2015 gestiegen von ca. 600 000 Haushalten auf ca 900 000 Haushalte. Für zwei im Haushalt lebende Personen ist der Wert von 1991 von ca 700 000 auf 800 000 in 2015 gestegen. Für drei im Haushalt lebende Personen ist der Wert von 1991 mit ca 400 000 auf ca 200 000 in 2015 gesunken. Für vier im Haushalt lebende Personen ist der Wert von 1991 mit ca 300 000 auf ca 150 000 in 2015 gesunken. Für fünf oder mehr im Haushalt lebende Personen ist der Wert von 1991 mit ca 100 000 auf ca 500 000 in 2005 gesunken und im Jahr 2015 blieb der Wert konstant.</w:t>
      </w:r>
    </w:p>
    <w:p w:rsidR="00000000" w:rsidDel="00000000" w:rsidP="00000000" w:rsidRDefault="00000000" w:rsidRPr="00000000" w14:paraId="0000000C">
      <w:pPr>
        <w:pStyle w:val="Heading1"/>
        <w:rPr/>
      </w:pPr>
      <w:bookmarkStart w:colFirst="0" w:colLast="0" w:name="_sr2std73fnzz" w:id="4"/>
      <w:bookmarkEnd w:id="4"/>
      <w:r w:rsidDel="00000000" w:rsidR="00000000" w:rsidRPr="00000000">
        <w:rPr>
          <w:rtl w:val="0"/>
        </w:rPr>
        <w:t xml:space="preserve">Aufgabe 1b</w:t>
      </w:r>
    </w:p>
    <w:p w:rsidR="00000000" w:rsidDel="00000000" w:rsidP="00000000" w:rsidRDefault="00000000" w:rsidRPr="00000000" w14:paraId="0000000D">
      <w:pPr>
        <w:rPr/>
      </w:pPr>
      <w:r w:rsidDel="00000000" w:rsidR="00000000" w:rsidRPr="00000000">
        <w:rPr>
          <w:rtl w:val="0"/>
        </w:rPr>
        <w:t xml:space="preserve">Beim mouse-over wurde der Text vorgelesen von alt und der Name des aria labels.</w:t>
      </w:r>
    </w:p>
    <w:p w:rsidR="00000000" w:rsidDel="00000000" w:rsidP="00000000" w:rsidRDefault="00000000" w:rsidRPr="00000000" w14:paraId="0000000E">
      <w:pPr>
        <w:rPr/>
      </w:pPr>
      <w:r w:rsidDel="00000000" w:rsidR="00000000" w:rsidRPr="00000000">
        <w:rPr>
          <w:rtl w:val="0"/>
        </w:rPr>
        <w:t xml:space="preserve">Es wurde nicht die longdesc vorgelesen.</w:t>
      </w:r>
      <w:r w:rsidDel="00000000" w:rsidR="00000000" w:rsidRPr="00000000">
        <w:rPr>
          <w:rtl w:val="0"/>
        </w:rPr>
      </w:r>
    </w:p>
    <w:p w:rsidR="00000000" w:rsidDel="00000000" w:rsidP="00000000" w:rsidRDefault="00000000" w:rsidRPr="00000000" w14:paraId="0000000F">
      <w:pPr>
        <w:pStyle w:val="Heading1"/>
        <w:rPr/>
      </w:pPr>
      <w:bookmarkStart w:colFirst="0" w:colLast="0" w:name="_zb47qokwjo3b" w:id="5"/>
      <w:bookmarkEnd w:id="5"/>
      <w:r w:rsidDel="00000000" w:rsidR="00000000" w:rsidRPr="00000000">
        <w:rPr>
          <w:rtl w:val="0"/>
        </w:rPr>
        <w:t xml:space="preserve">Aufgabe 1c</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Die Beschriftung der horizontalen Achse für die einzelnen Diagrammwerte ist mit nur einem Braillzeichen nicht aussagekräftig. Es müssen mind. 2 Braillezeichen benutzt werden.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Die vertikale Beschrift der vertikalen Achse sollte auch horizontal beschriftet werden.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Die Überschrift des Diagrams sollte oben links angebracht sein.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Es sollte ein Abstand zwischen den einzelnen Säulen von mind. 3mm eingehalten werden.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In der Legende sollten die Symbole linksbündig, </w:t>
      </w:r>
      <w:r w:rsidDel="00000000" w:rsidR="00000000" w:rsidRPr="00000000">
        <w:rPr>
          <w:rtl w:val="0"/>
        </w:rPr>
        <w:t xml:space="preserve">die Beschriftung entsprechend rechts daneben angeordnet sein.</w:t>
      </w:r>
      <w:r w:rsidDel="00000000" w:rsidR="00000000" w:rsidRPr="00000000">
        <w:rPr>
          <w:rtl w:val="0"/>
        </w:rPr>
      </w:r>
    </w:p>
    <w:p w:rsidR="00000000" w:rsidDel="00000000" w:rsidP="00000000" w:rsidRDefault="00000000" w:rsidRPr="00000000" w14:paraId="00000015">
      <w:pPr>
        <w:pStyle w:val="Heading1"/>
        <w:rPr/>
      </w:pPr>
      <w:bookmarkStart w:colFirst="0" w:colLast="0" w:name="_r29nkujkle3j" w:id="6"/>
      <w:bookmarkEnd w:id="6"/>
      <w:r w:rsidDel="00000000" w:rsidR="00000000" w:rsidRPr="00000000">
        <w:rPr>
          <w:rtl w:val="0"/>
        </w:rPr>
        <w:t xml:space="preserve">Aufgabe 1d</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Teile des Diagrams sind tabbar</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allerdings sind Werte des Balkens noch nicht vorlesbar</w:t>
      </w:r>
    </w:p>
    <w:p w:rsidR="00000000" w:rsidDel="00000000" w:rsidP="00000000" w:rsidRDefault="00000000" w:rsidRPr="00000000" w14:paraId="00000018">
      <w:pPr>
        <w:pStyle w:val="Heading1"/>
        <w:rPr/>
      </w:pPr>
      <w:bookmarkStart w:colFirst="0" w:colLast="0" w:name="_i89erig14gi0" w:id="7"/>
      <w:bookmarkEnd w:id="7"/>
      <w:r w:rsidDel="00000000" w:rsidR="00000000" w:rsidRPr="00000000">
        <w:rPr>
          <w:rtl w:val="0"/>
        </w:rPr>
        <w:t xml:space="preserve">Aufgabe 2a</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Das APB hat 3 Obergeschosse. Es gibt keinen Keller.</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In der Mitte des Gebäudes befindet sich ein großes Foyer, dass sich über alle Etagen erstreckt.</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alle Stockwerke sind identisch aufgebaut.</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Das Gebäude ist in einen West- und Ostflügel unterteilt.</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Das Gebäude verfügt im Erdgeschoss über ein Leitstreifensystem. An den Handläufen der Treppe ist eine Braillekennzeichnung vorhanden</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Die Raumnummern sind mit Braille geschrieben</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Im Fahrstuhl gibt es Ansagen und Braillebeschriftung.</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21">
      <w:pPr>
        <w:pStyle w:val="Heading1"/>
        <w:rPr/>
      </w:pPr>
      <w:bookmarkStart w:colFirst="0" w:colLast="0" w:name="_q666h7g1cjjk" w:id="8"/>
      <w:bookmarkEnd w:id="8"/>
      <w:r w:rsidDel="00000000" w:rsidR="00000000" w:rsidRPr="00000000">
        <w:rPr>
          <w:rtl w:val="0"/>
        </w:rPr>
        <w:t xml:space="preserve">Aufgabe 2b</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der Link im Dokument funktioniert nicht</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die Webseite openlevelup.net funktioniert nicht</w:t>
      </w:r>
    </w:p>
    <w:p w:rsidR="00000000" w:rsidDel="00000000" w:rsidP="00000000" w:rsidRDefault="00000000" w:rsidRPr="00000000" w14:paraId="00000024">
      <w:pPr>
        <w:rPr>
          <w:sz w:val="21"/>
          <w:szCs w:val="21"/>
        </w:rPr>
      </w:pPr>
      <w:r w:rsidDel="00000000" w:rsidR="00000000" w:rsidRPr="00000000">
        <w:rPr>
          <w:rtl w:val="0"/>
        </w:rPr>
      </w:r>
    </w:p>
    <w:p w:rsidR="00000000" w:rsidDel="00000000" w:rsidP="00000000" w:rsidRDefault="00000000" w:rsidRPr="00000000" w14:paraId="00000025">
      <w:pPr>
        <w:rPr>
          <w:sz w:val="21"/>
          <w:szCs w:val="21"/>
        </w:rPr>
      </w:pPr>
      <w:r w:rsidDel="00000000" w:rsidR="00000000" w:rsidRPr="00000000">
        <w:rPr>
          <w:rtl w:val="0"/>
        </w:rPr>
      </w:r>
    </w:p>
    <w:p w:rsidR="00000000" w:rsidDel="00000000" w:rsidP="00000000" w:rsidRDefault="00000000" w:rsidRPr="00000000" w14:paraId="00000026">
      <w:pPr>
        <w:rPr>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