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1.png" ContentType="image/png"/>
  <Override PartName="/word/media/rId39.png" ContentType="image/png"/>
  <Override PartName="/word/media/rId30.png" ContentType="image/png"/>
  <Override PartName="/word/media/rId35.png" ContentType="image/png"/>
  <Override PartName="/word/media/rId57.png" ContentType="image/png"/>
  <Override PartName="/word/media/rId62.png" ContentType="image/png"/>
  <Override PartName="/word/media/rId44.png" ContentType="image/png"/>
  <Override PartName="/word/media/rId91.png" ContentType="image/png"/>
  <Override PartName="/word/media/rId132.png" ContentType="image/png"/>
  <Override PartName="/word/media/rId143.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2.png" ContentType="image/png"/>
  <Override PartName="/word/media/rId176.png" ContentType="image/png"/>
  <Override PartName="/word/media/rId180.png" ContentType="image/png"/>
  <Override PartName="/word/media/rId127.png" ContentType="image/png"/>
  <Override PartName="/word/media/rId107.png" ContentType="image/png"/>
  <Override PartName="/word/media/rId81.png" ContentType="image/png"/>
  <Override PartName="/word/media/rId85.png" ContentType="image/png"/>
  <Override PartName="/word/media/rId138.png" ContentType="image/png"/>
  <Override PartName="/word/media/rId75.png" ContentType="image/png"/>
  <Override PartName="/word/media/rId113.png" ContentType="image/png"/>
  <Override PartName="/word/media/rId117.png" ContentType="image/png"/>
  <Override PartName="/word/media/rId97.png" ContentType="image/png"/>
  <Override PartName="/word/media/rId10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study</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was</w:t>
      </w:r>
      <w:r>
        <w:t xml:space="preserve"> </w:t>
      </w:r>
      <w:r>
        <w:t xml:space="preserve">divided</w:t>
      </w:r>
      <w:r>
        <w:t xml:space="preserve"> </w:t>
      </w:r>
      <w:r>
        <w:t xml:space="preserve">into</w:t>
      </w:r>
      <w:r>
        <w:t xml:space="preserve"> </w:t>
      </w:r>
      <w:r>
        <w:t xml:space="preserve">four</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complete</w:t>
      </w:r>
      <w:r>
        <w:t xml:space="preserve"> </w:t>
      </w:r>
      <w:r>
        <w:t xml:space="preserve">paradigm</w:t>
      </w:r>
      <w:r>
        <w:t xml:space="preserve"> </w:t>
      </w:r>
      <w:r>
        <w:t xml:space="preserve">with</w:t>
      </w:r>
      <w:r>
        <w:t xml:space="preserve"> </w:t>
      </w:r>
      <w:r>
        <w:t xml:space="preserve">an</w:t>
      </w:r>
      <w:r>
        <w:t xml:space="preserve"> </w:t>
      </w:r>
      <w:r>
        <w:t xml:space="preserve">experimental</w:t>
      </w:r>
      <w:r>
        <w:t xml:space="preserve"> </w:t>
      </w:r>
      <w:r>
        <w:t xml:space="preserve">design</w:t>
      </w:r>
      <w:r>
        <w:t xml:space="preserve"> </w:t>
      </w:r>
      <w:r>
        <w:t xml:space="preserve">and</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The</w:t>
      </w:r>
      <w:r>
        <w:t xml:space="preserve"> </w:t>
      </w:r>
      <w:r>
        <w:t xml:space="preserve">design</w:t>
      </w:r>
      <w:r>
        <w:t xml:space="preserve"> </w:t>
      </w:r>
      <w:r>
        <w:t xml:space="preserve">will</w:t>
      </w:r>
      <w:r>
        <w:t xml:space="preserve"> </w:t>
      </w:r>
      <w:r>
        <w:t xml:space="preserve">be</w:t>
      </w:r>
      <w:r>
        <w:t xml:space="preserve"> </w:t>
      </w:r>
      <w:r>
        <w:t xml:space="preserve">based</w:t>
      </w:r>
      <w:r>
        <w:t xml:space="preserve"> </w:t>
      </w:r>
      <w:r>
        <w:t xml:space="preserve">on</w:t>
      </w:r>
      <w:r>
        <w:t xml:space="preserve"> </w:t>
      </w:r>
      <w:r>
        <w:t xml:space="preserve">multi-arrangement</w:t>
      </w:r>
      <w:r>
        <w:t xml:space="preserve"> </w:t>
      </w:r>
      <w:r>
        <w:t xml:space="preserve">and</w:t>
      </w:r>
      <w:r>
        <w:t xml:space="preserve"> </w:t>
      </w:r>
      <w:r>
        <w:t xml:space="preserve">inverse</w:t>
      </w:r>
      <w:r>
        <w:t xml:space="preserve"> </w:t>
      </w:r>
      <w:r>
        <w:t xml:space="preserve">multidimensional</w:t>
      </w:r>
      <w:r>
        <w:t xml:space="preserve"> </w:t>
      </w:r>
      <w:r>
        <w:t xml:space="preserve">scaling,</w:t>
      </w:r>
      <w:r>
        <w:t xml:space="preserve"> </w:t>
      </w:r>
      <w:r>
        <w:t xml:space="preserve">a</w:t>
      </w:r>
      <w:r>
        <w:t xml:space="preserve"> </w:t>
      </w:r>
      <w:r>
        <w:t xml:space="preserve">protocol</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t xml:space="preserve">The</w:t>
      </w:r>
      <w:r>
        <w:t xml:space="preserve"> </w:t>
      </w:r>
      <w:r>
        <w:t xml:space="preserve">analysis</w:t>
      </w:r>
      <w:r>
        <w:t xml:space="preserve"> </w:t>
      </w:r>
      <w:r>
        <w:t xml:space="preserve">plan</w:t>
      </w:r>
      <w:r>
        <w:t xml:space="preserve"> </w:t>
      </w:r>
      <w:r>
        <w:t xml:space="preserve">will</w:t>
      </w:r>
      <w:r>
        <w:t xml:space="preserve"> </w:t>
      </w:r>
      <w:r>
        <w:t xml:space="preserve">present</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Third</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I’ve</w:t>
      </w:r>
      <w:r>
        <w:t xml:space="preserve"> </w:t>
      </w:r>
      <w:r>
        <w:t xml:space="preserve">done</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study,</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Fourth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p>
      <w:r>
        <w:br w:type="page"/>
      </w:r>
    </w:p>
    <w:bookmarkStart w:id="25" w:name="Xcf9795787b8f58283a6b8b7af588e0d251c69cd"/>
    <w:p>
      <w:pPr>
        <w:pStyle w:val="Heading1"/>
      </w:pPr>
      <w:r>
        <w:t xml:space="preserve">Work-In-Progress everywhere,</w:t>
      </w:r>
      <w:r>
        <w:t xml:space="preserve"> </w:t>
      </w:r>
      <w:r>
        <w:rPr>
          <w:iCs/>
          <w:i/>
        </w:rPr>
        <w:t xml:space="preserve">so look away! Shoo!</w:t>
      </w:r>
    </w:p>
    <w:p>
      <w:pPr>
        <w:pStyle w:val="FirstParagraph"/>
      </w:pPr>
      <w:r>
        <w:t xml:space="preserve">I just wanted to try</w:t>
      </w:r>
      <w:r>
        <w:t xml:space="preserve"> </w:t>
      </w:r>
      <w:hyperlink r:id="rId20">
        <w:r>
          <w:rPr>
            <w:rStyle w:val="Hyperlink"/>
          </w:rPr>
          <w:t xml:space="preserve">Quarto’s new manuscript format</w:t>
        </w:r>
      </w:hyperlink>
      <w:r>
        <w:t xml:space="preserve"> </w:t>
      </w:r>
      <w:r>
        <w:t xml:space="preserve">with this personal project. Conclusion: it’s</w:t>
      </w:r>
      <w:r>
        <w:t xml:space="preserve"> </w:t>
      </w:r>
      <w:r>
        <w:rPr>
          <w:iCs/>
          <w:i/>
          <w:bCs/>
          <w:b/>
        </w:rPr>
        <w:t xml:space="preserve">incredibly cool</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&amp;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to the lab on Jan. 26. These motivated me to try to implement GWOT in R on data that I wanted to create myself to emulate a study we could do.</w:t>
            </w:r>
          </w:p>
          <w:p>
            <w:pPr>
              <w:pStyle w:val="FirstParagraph"/>
            </w:pPr>
            <w:r>
              <w:rPr>
                <w:bCs/>
                <w:b/>
              </w:rPr>
              <w:t xml:space="preserve">I promise that I did this mostly on my spare time, we have too many other things to do elsewhere.</w:t>
            </w:r>
          </w:p>
          <w:p>
            <w:pPr>
              <w:pStyle w:val="BodyText"/>
            </w:pPr>
            <w:pPr>
              <w:spacing w:after="16"/>
            </w:pPr>
            <w:r>
              <w:rPr>
                <w:iCs/>
                <w:i/>
              </w:rPr>
              <w:t xml:space="preserve">Note: This website may seem very fancy. I wanted to take advantage of this personal project to try</w:t>
            </w:r>
            <w:r>
              <w:rPr>
                <w:iCs/>
                <w:i/>
              </w:rPr>
              <w:t xml:space="preserve"> </w:t>
            </w:r>
            <w:hyperlink r:id="rId20">
              <w:r>
                <w:rPr>
                  <w:rStyle w:val="Hyperlink"/>
                  <w:iCs/>
                  <w:i/>
                </w:rPr>
                <w:t xml:space="preserve">Quarto’s new manuscript format</w:t>
              </w:r>
            </w:hyperlink>
            <w:r>
              <w:rPr>
                <w:iCs/>
                <w:i/>
              </w:rPr>
              <w:t xml:space="preserve"> </w:t>
            </w:r>
            <w:r>
              <w:rPr>
                <w:iCs/>
                <w:i/>
              </w:rPr>
              <w:t xml:space="preserve">for scientific editing. Conclusion: it’s</w:t>
            </w:r>
            <w:r>
              <w:rPr>
                <w:iCs/>
                <w:i/>
              </w:rPr>
              <w:t xml:space="preserve"> </w:t>
            </w:r>
            <w:r>
              <w:rPr>
                <w:bCs/>
                <w:b/>
                <w:iCs/>
                <w:i/>
              </w:rPr>
              <w:t xml:space="preserve">awesome</w:t>
            </w:r>
            <w:r>
              <w:rPr>
                <w:iCs/>
                <w:i/>
              </w:rPr>
              <w:t xml:space="preserve">. It is very likely that I’ll end up writing my thesis using</w:t>
            </w:r>
            <w:r>
              <w:rPr>
                <w:iCs/>
                <w:i/>
              </w:rPr>
              <w:t xml:space="preserve"> </w:t>
            </w:r>
            <w:hyperlink r:id="rId24">
              <w:r>
                <w:rPr>
                  <w:rStyle w:val="Hyperlink"/>
                  <w:iCs/>
                  <w:i/>
                </w:rPr>
                <w:t xml:space="preserve">Quarto’s book format</w:t>
              </w:r>
            </w:hyperlink>
            <w:r>
              <w:rPr>
                <w:iCs/>
                <w:i/>
              </w:rPr>
              <w:t xml:space="preserve"> </w:t>
            </w:r>
            <w:r>
              <w:rPr>
                <w:iCs/>
                <w:i/>
              </w:rPr>
              <w:t xml:space="preserve">(through RStudio). This will allow me to render the raw text and computations as beautifully formatted PDF and Word documents with low effort, and eventually port it as a self-contained website when I’m authorized to share it openly… All with a single command, just like I did for this website.</w:t>
            </w:r>
            <w:r>
              <w:rPr>
                <w:iCs/>
                <w:i/>
              </w:rPr>
              <w:t xml:space="preserve"> </w:t>
            </w:r>
            <w:r>
              <w:rPr>
                <w:bCs/>
                <w:b/>
                <w:iCs/>
                <w:i/>
              </w:rPr>
              <w:t xml:space="preserve">This also means that you can read the present report on a PDF or Word if you wish to do so, the links are in the header</w:t>
            </w:r>
            <w:r>
              <w:rPr>
                <w:iCs/>
                <w:i/>
              </w:rPr>
              <w:t xml:space="preserve">. You’ll freeze the nice interactive figures though. As a bonus for the curious (or the reviewer), the</w:t>
            </w:r>
            <w:r>
              <w:rPr>
                <w:iCs/>
                <w:i/>
              </w:rPr>
              <w:t xml:space="preserve"> </w:t>
            </w:r>
            <w:r>
              <w:rPr>
                <w:iCs/>
                <w:i/>
              </w:rPr>
              <w:t xml:space="preserve">“</w:t>
            </w:r>
            <w:r>
              <w:rPr>
                <w:iCs/>
                <w:i/>
              </w:rPr>
              <w:t xml:space="preserve">MECA Bundle</w:t>
            </w:r>
            <w:r>
              <w:rPr>
                <w:iCs/>
                <w:i/>
              </w:rPr>
              <w:t xml:space="preserve">”</w:t>
            </w:r>
            <w:r>
              <w:rPr>
                <w:iCs/>
                <w:i/>
              </w:rPr>
              <w:t xml:space="preserve"> </w:t>
            </w:r>
            <w:r>
              <w:rPr>
                <w:iCs/>
                <w:i/>
              </w:rPr>
              <w:t xml:space="preserve">contains absolutely everything tied to this manuscript, well sorted, from the code scripts and configuration files to the final documents in all formats.</w:t>
            </w:r>
            <w:r>
              <w:rPr>
                <w:iCs/>
                <w:i/>
              </w:rPr>
              <w:t xml:space="preserve"> </w:t>
            </w:r>
            <w:r>
              <w:rPr>
                <w:bCs/>
                <w:b/>
                <w:iCs/>
                <w:i/>
              </w:rPr>
              <w:t xml:space="preserve">Awesome, I tell you</w:t>
            </w:r>
            <w:r>
              <w:rPr>
                <w:iCs/>
                <w:i/>
              </w:rPr>
              <w:t xml:space="preserve">.</w:t>
            </w:r>
          </w:p>
        </w:tc>
      </w:tr>
    </w:tbl>
    <w:p>
      <w:r>
        <w:br w:type="page"/>
      </w:r>
    </w:p>
    <w:bookmarkEnd w:id="25"/>
    <w:bookmarkStart w:id="29" w:name="theoretical-context"/>
    <w:p>
      <w:pPr>
        <w:pStyle w:val="Heading1"/>
      </w:pPr>
      <w:r>
        <w:t xml:space="preserve">1. Theoretical context</w:t>
      </w:r>
    </w:p>
    <w:p>
      <w:pPr>
        <w:pStyle w:val="FirstParagraph"/>
      </w:pPr>
      <w:r>
        <w:t xml:space="preserve">When we try to compare our thoughts and representations with those of others, we quickly realize that the task will be really difficult, if not impossible, as we are of course incapable of</w:t>
      </w:r>
      <w:r>
        <w:t xml:space="preserve"> </w:t>
      </w:r>
      <w:r>
        <w:t xml:space="preserve">“</w:t>
      </w:r>
      <w:r>
        <w:t xml:space="preserve">living in someone else’s head</w:t>
      </w:r>
      <w:r>
        <w:t xml:space="preserve">”</w:t>
      </w:r>
      <w:r>
        <w:t xml:space="preserve">. If we both try to imagine a dog, I can examine what goes on in my head, so can you, but apart from trying to describe our experiences verbally, we are up against a wall.</w:t>
      </w:r>
    </w:p>
    <w:p>
      <w:pPr>
        <w:pStyle w:val="BodyText"/>
      </w:pPr>
      <w:r>
        <w:t xml:space="preserve">Now, what if I asked you to tell me how similar you think a dog and a panther look like? Let’s say, in the context of the animal kingdom as a whole. Visualize them well. Well, I could tell you that,</w:t>
      </w:r>
      <w:r>
        <w:t xml:space="preserve"> </w:t>
      </w:r>
      <w:r>
        <w:rPr>
          <w:iCs/>
          <w:i/>
        </w:rPr>
        <w:t xml:space="preserve">in my opinion, a dog and a panther look no more alike than a dog and a whale</w:t>
      </w:r>
      <w:r>
        <w:t xml:space="preserve">. You might tell me:</w:t>
      </w:r>
      <w:r>
        <w:t xml:space="preserve"> </w:t>
      </w:r>
      <w:r>
        <w:rPr>
          <w:iCs/>
          <w:i/>
        </w:rPr>
        <w:t xml:space="preserve">For this thought experiment, let’s imagine two things: (1) that someone could honestly say that, and (2) that people would be rating the animals purely on the basis of their mental images, and not on categorical features (number of legs, fur, etc.), which is unfortunately almost</w:t>
      </w:r>
      <w:r>
        <w:t xml:space="preserve"> </w:t>
      </w:r>
      <w:r>
        <w:rPr>
          <w:iCs/>
          <w:i/>
          <w:bCs/>
          <w:b/>
        </w:rPr>
        <w:t xml:space="preserve">never</w:t>
      </w:r>
      <w:r>
        <w:t xml:space="preserve"> </w:t>
      </w:r>
      <w:r>
        <w:rPr>
          <w:iCs/>
          <w:i/>
        </w:rPr>
        <w:t xml:space="preserve">the case in reality.</w:t>
      </w:r>
    </w:p>
    <w:p>
      <w:pPr>
        <w:pStyle w:val="BlockText"/>
      </w:pPr>
      <w:r>
        <w:t xml:space="preserve">“</w:t>
      </w:r>
      <w:r>
        <w:rPr>
          <w:iCs/>
          <w:i/>
          <w:bCs/>
          <w:b/>
        </w:rPr>
        <w:t xml:space="preserve">What on earth do you imagine a dog and a panther look like? Do you also think that a dog looks nothing like a cat? What goes on in your head?</w:t>
      </w:r>
      <w:r>
        <w:t xml:space="preserve">”</w:t>
      </w:r>
    </w:p>
    <w:p>
      <w:pPr>
        <w:pStyle w:val="FirstParagraph"/>
      </w:pPr>
      <w:r>
        <w:t xml:space="preserve">…And many people probably agree with you. They mentally</w:t>
      </w:r>
      <w:r>
        <w:t xml:space="preserve"> </w:t>
      </w:r>
      <w:r>
        <w:t xml:space="preserve">“</w:t>
      </w:r>
      <w:r>
        <w:t xml:space="preserve">see</w:t>
      </w:r>
      <w:r>
        <w:t xml:space="preserve">”</w:t>
      </w:r>
      <w:r>
        <w:t xml:space="preserve"> </w:t>
      </w:r>
      <w:r>
        <w:t xml:space="preserve">and compare certain items the same way you do… And just like that,</w:t>
      </w:r>
      <w:r>
        <w:t xml:space="preserve"> </w:t>
      </w:r>
      <w:r>
        <w:rPr>
          <w:iCs/>
          <w:i/>
        </w:rPr>
        <w:t xml:space="preserve">we are back on track</w:t>
      </w:r>
      <w:r>
        <w:t xml:space="preserve">. We managed to better</w:t>
      </w:r>
      <w:r>
        <w:t xml:space="preserve"> </w:t>
      </w:r>
      <w:r>
        <w:t xml:space="preserve">“</w:t>
      </w:r>
      <w:r>
        <w:t xml:space="preserve">compare our thoughts</w:t>
      </w:r>
      <w:r>
        <w:t xml:space="preserve">”</w:t>
      </w:r>
      <w:r>
        <w:t xml:space="preserve">! And we even felt we could dive a bit into the</w:t>
      </w:r>
      <w:r>
        <w:t xml:space="preserve"> </w:t>
      </w:r>
      <w:r>
        <w:t xml:space="preserve">“</w:t>
      </w:r>
      <w:r>
        <w:t xml:space="preserve">weird</w:t>
      </w:r>
      <w:r>
        <w:t xml:space="preserve">”</w:t>
      </w:r>
      <w:r>
        <w:t xml:space="preserve"> </w:t>
      </w:r>
      <w:r>
        <w:t xml:space="preserve">representations of someone else.</w:t>
      </w:r>
    </w:p>
    <w:p>
      <w:pPr>
        <w:pStyle w:val="BodyText"/>
      </w:pPr>
      <w:r>
        <w:t xml:space="preserve">The study of individual differences in the format of representations and the attempt at understanding those of others obviously has a very rich history. It has interested many fields, in philosophy, linguistics, sociology, biology, psychology, or neuroscience, to name but a few. A myriad of ideas, concepts, models, methods, and paradigms have tried to deepen our understanding of representations and find the</w:t>
      </w:r>
      <w:r>
        <w:t xml:space="preserve"> </w:t>
      </w:r>
      <w:r>
        <w:t xml:space="preserve">“</w:t>
      </w:r>
      <w:r>
        <w:t xml:space="preserve">key</w:t>
      </w:r>
      <w:r>
        <w:t xml:space="preserve">”</w:t>
      </w:r>
      <w:r>
        <w:t xml:space="preserve"> </w:t>
      </w:r>
      <w:r>
        <w:t xml:space="preserve">to objectifying them. The principle I tried to illustrate with the thought experiment above is at the heart of one of these methods trying to unravel representations that was born in psychophysics</w:t>
      </w:r>
      <w:r>
        <w:rPr>
          <w:rStyle w:val="FootnoteReference"/>
        </w:rPr>
        <w:footnoteReference w:id="26"/>
      </w:r>
      <w:r>
        <w:t xml:space="preserve">: the study of</w:t>
      </w:r>
      <w:r>
        <w:t xml:space="preserve"> </w:t>
      </w:r>
      <w:r>
        <w:rPr>
          <w:iCs/>
          <w:i/>
          <w:bCs/>
          <w:b/>
        </w:rPr>
        <w:t xml:space="preserve">similarity.</w:t>
      </w:r>
    </w:p>
    <w:bookmarkStart w:id="27" w:name="X77337f151f429ce6ac3efca076c9d7f6d391f45"/>
    <w:p>
      <w:pPr>
        <w:pStyle w:val="Heading2"/>
      </w:pPr>
      <w:r>
        <w:t xml:space="preserve">1.1 From similarity to second-order isomorphism</w:t>
      </w:r>
    </w:p>
    <w:bookmarkEnd w:id="27"/>
    <w:bookmarkStart w:id="28" w:name="psychological-spaces-and-aphantasia"/>
    <w:p>
      <w:pPr>
        <w:pStyle w:val="Heading2"/>
      </w:pPr>
      <w:r>
        <w:t xml:space="preserve">1.2 Psychological spaces and aphantasia</w:t>
      </w:r>
    </w:p>
    <w:p>
      <w:pPr>
        <w:pStyle w:val="FirstParagraph"/>
      </w:pPr>
      <w:r>
        <w:t xml:space="preserve">While attempting to demonstrate the uselessness of the concept of similarity as a philosophical and scientific notion,</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r>
        <w:t xml:space="preserve"> </w:t>
      </w:r>
      <w:r>
        <w:rPr>
          <w:iCs/>
          <w:i/>
        </w:rPr>
        <w:t xml:space="preserve">Goodman’s claim was dismissed since then by propositions of robust mathematical models of similarity, e.g.</w:t>
      </w:r>
      <w:r>
        <w:rPr>
          <w:iCs/>
          <w:i/>
        </w:rPr>
        <w:t xml:space="preserve"> </w:t>
      </w:r>
      <w:r>
        <w:rPr>
          <w:iCs/>
          <w:i/>
        </w:rPr>
        <w:t xml:space="preserve">Gardenfors (2004a)</w:t>
      </w:r>
      <w:r>
        <w:rPr>
          <w:iCs/>
          <w:i/>
        </w:rPr>
        <w:t xml:space="preserve">,</w:t>
      </w:r>
      <w:r>
        <w:rPr>
          <w:iCs/>
          <w:i/>
        </w:rPr>
        <w:t xml:space="preserve"> </w:t>
      </w:r>
      <w:r>
        <w:rPr>
          <w:iCs/>
          <w:i/>
        </w:rPr>
        <w:t xml:space="preserve">Decock &amp; Douven (2011)</w:t>
      </w:r>
      <w:r>
        <w:rPr>
          <w:iCs/>
          <w:i/>
        </w:rPr>
        <w:t xml:space="preserve">.</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(2004a)</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8"/>
    <w:bookmarkEnd w:id="29"/>
    <w:bookmarkStart w:id="72" w:name="methods"/>
    <w:p>
      <w:pPr>
        <w:pStyle w:val="Heading1"/>
      </w:pPr>
      <w:r>
        <w:t xml:space="preserve">2. Methods</w:t>
      </w:r>
    </w:p>
    <w:p>
      <w:pPr>
        <w:pStyle w:val="FirstParagraph"/>
      </w:pPr>
      <w:r>
        <w:t xml:space="preserve">Roads &amp;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&amp;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49" w:name="experimental-design"/>
    <w:p>
      <w:pPr>
        <w:pStyle w:val="Heading2"/>
      </w:pPr>
      <w:r>
        <w:t xml:space="preserve">2.1 Experimental design</w:t>
      </w:r>
    </w:p>
    <w:bookmarkStart w:id="34" w:name="sec-m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&amp;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3" w:name="fig-multi-arrangement"/>
          <w:p>
            <w:pPr>
              <w:pStyle w:val="Compact"/>
              <w:jc w:val="center"/>
            </w:pPr>
            <w:r>
              <w:drawing>
                <wp:inline>
                  <wp:extent cx="4800600" cy="6208075"/>
                  <wp:effectExtent b="0" l="0" r="0" t="0"/>
                  <wp:docPr descr="" title="" id="31" name="Picture"/>
                  <a:graphic>
                    <a:graphicData uri="http://schemas.openxmlformats.org/drawingml/2006/picture">
                      <pic:pic>
                        <pic:nvPicPr>
                          <pic:cNvPr descr="images/multi-arrangement-method-mur-2013.png" id="32" name="Picture"/>
                          <pic:cNvPicPr>
                            <a:picLocks noChangeArrowheads="1" noChangeAspect="1"/>
                          </pic:cNvPicPr>
                        </pic:nvPicPr>
                        <pic:blipFill>
                          <a:blip r:embed="rId30"/>
                          <a:stretch>
                            <a:fillRect/>
                          </a:stretch>
                        </pic:blipFill>
                        <pic:spPr bwMode="auto">
                          <a:xfrm>
                            <a:off x="0" y="0"/>
                            <a:ext cx="4800600" cy="6208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 Figure from</w:t>
            </w:r>
            <w:r>
              <w:t xml:space="preserve"> </w:t>
            </w:r>
            <w:r>
              <w:t xml:space="preserve">Mur et al. (2013)</w:t>
            </w:r>
            <w:r>
              <w:t xml:space="preserve">.</w:t>
            </w:r>
          </w:p>
          <w:bookmarkEnd w:id="33"/>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&amp;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&amp; Mur (2012)</w:t>
      </w:r>
      <w:r>
        <w:t xml:space="preserve">.</w:t>
      </w:r>
    </w:p>
    <w:bookmarkEnd w:id="34"/>
    <w:bookmarkStart w:id="43" w:name="sec-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tbl>
      <w:tblPr>
        <w:tblStyle w:val="Table"/>
        <w:tblW w:type="pct" w:w="5000"/>
        <w:tblLook w:firstRow="0" w:lastRow="0" w:firstColumn="0" w:lastColumn="0" w:noHBand="0" w:noVBand="0" w:val="0000"/>
        <w:jc w:val="start"/>
        <w:tblLayout w:type="fixed"/>
      </w:tblPr>
      <w:tblGrid>
        <w:gridCol w:w="7920"/>
      </w:tblGrid>
      <w:tr>
        <w:tc>
          <w:tcPr/>
          <w:bookmarkStart w:id="38" w:name="fig-spam-mur"/>
          <w:p>
            <w:pPr>
              <w:pStyle w:val="Compact"/>
              <w:jc w:val="center"/>
            </w:pPr>
            <w:r>
              <w:drawing>
                <wp:inline>
                  <wp:extent cx="5197642" cy="5216892"/>
                  <wp:effectExtent b="0" l="0" r="0" t="0"/>
                  <wp:docPr descr="" title="" id="36" name="Picture"/>
                  <a:graphic>
                    <a:graphicData uri="http://schemas.openxmlformats.org/drawingml/2006/picture">
                      <pic:pic>
                        <pic:nvPicPr>
                          <pic:cNvPr descr="images/mur-spam-2.png" id="37" name="Picture"/>
                          <pic:cNvPicPr>
                            <a:picLocks noChangeArrowheads="1" noChangeAspect="1"/>
                          </pic:cNvPicPr>
                        </pic:nvPicPr>
                        <pic:blipFill>
                          <a:blip r:embed="rId35"/>
                          <a:stretch>
                            <a:fillRect/>
                          </a:stretch>
                        </pic:blipFill>
                        <pic:spPr bwMode="auto">
                          <a:xfrm>
                            <a:off x="0" y="0"/>
                            <a:ext cx="5197642" cy="52168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w:t>
            </w:r>
            <w:r>
              <w:t xml:space="preserve"> </w:t>
            </w:r>
            <w:r>
              <w:t xml:space="preserve">Mur et al. (2013)</w:t>
            </w:r>
            <w:r>
              <w:t xml:space="preserve"> </w:t>
            </w:r>
            <w:r>
              <w:t xml:space="preserve">to acquire perceptual similarity judgements on natural images.</w:t>
            </w:r>
            <w:r>
              <w:t xml:space="preserve"> </w:t>
            </w:r>
            <w:r>
              <w:rPr>
                <w:iCs/>
                <w:i/>
              </w:rPr>
              <w:t xml:space="preserve">Click to expand.</w:t>
            </w:r>
          </w:p>
          <w:bookmarkEnd w:id="38"/>
        </w:tc>
      </w:tr>
    </w:tbl>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majewska"/>
          <w:p>
            <w:pPr>
              <w:pStyle w:val="Compact"/>
              <w:jc w:val="center"/>
            </w:pPr>
            <w:r>
              <w:drawing>
                <wp:inline>
                  <wp:extent cx="4851132" cy="4427621"/>
                  <wp:effectExtent b="0" l="0" r="0" t="0"/>
                  <wp:docPr descr="" title="" id="40" name="Picture"/>
                  <a:graphic>
                    <a:graphicData uri="http://schemas.openxmlformats.org/drawingml/2006/picture">
                      <pic:pic>
                        <pic:nvPicPr>
                          <pic:cNvPr descr="images/majewska-spam-2.png" id="41" name="Picture"/>
                          <pic:cNvPicPr>
                            <a:picLocks noChangeArrowheads="1" noChangeAspect="1"/>
                          </pic:cNvPicPr>
                        </pic:nvPicPr>
                        <pic:blipFill>
                          <a:blip r:embed="rId39"/>
                          <a:stretch>
                            <a:fillRect/>
                          </a:stretch>
                        </pic:blipFill>
                        <pic:spPr bwMode="auto">
                          <a:xfrm>
                            <a:off x="0" y="0"/>
                            <a:ext cx="4851132" cy="4427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Arena layout of the MA protocol used by</w:t>
            </w:r>
            <w:r>
              <w:t xml:space="preserve"> </w:t>
            </w:r>
            <w:r>
              <w:t xml:space="preserve">Majewska et al. (2020)</w:t>
            </w:r>
            <w:r>
              <w:t xml:space="preserve"> </w:t>
            </w:r>
            <w:r>
              <w:t xml:space="preserve">to acquire similarity judgements on word pairs.</w:t>
            </w:r>
            <w:r>
              <w:t xml:space="preserve"> </w:t>
            </w:r>
            <w:r>
              <w:rPr>
                <w:iCs/>
                <w:i/>
              </w:rPr>
              <w:t xml:space="preserve">Click to expand.</w:t>
            </w:r>
          </w:p>
          <w:bookmarkEnd w:id="42"/>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et al.,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43"/>
    <w:bookmarkStart w:id="48" w:name="stimuli"/>
    <w:p>
      <w:pPr>
        <w:pStyle w:val="Heading3"/>
      </w:pPr>
      <w:r>
        <w:t xml:space="preserve">Stimuli</w:t>
      </w:r>
    </w:p>
    <w:p>
      <w:pPr>
        <w:pStyle w:val="FirstParagraph"/>
      </w:pPr>
      <w:r>
        <w:t xml:space="preserve">We would have a list of animal items, that would have several characteristics:</w:t>
      </w:r>
    </w:p>
    <w:tbl>
      <w:tblPr>
        <w:tblStyle w:val="Table"/>
        <w:tblW w:type="pct" w:w="5000"/>
        <w:tblLook w:firstRow="0" w:lastRow="0" w:firstColumn="0" w:lastColumn="0" w:noHBand="0" w:noVBand="0" w:val="0000"/>
        <w:jc w:val="start"/>
        <w:tblLayout w:type="fixed"/>
      </w:tblPr>
      <w:tblGrid>
        <w:gridCol w:w="7920"/>
      </w:tblGrid>
      <w:tr>
        <w:tc>
          <w:tcPr/>
          <w:bookmarkStart w:id="47" w:name="fig-marr"/>
          <w:p>
            <w:pPr>
              <w:pStyle w:val="Compact"/>
              <w:jc w:val="center"/>
            </w:pPr>
            <w:r>
              <w:drawing>
                <wp:inline>
                  <wp:extent cx="5334000" cy="6014765"/>
                  <wp:effectExtent b="0" l="0" r="0" t="0"/>
                  <wp:docPr descr="" title="" id="45" name="Picture"/>
                  <a:graphic>
                    <a:graphicData uri="http://schemas.openxmlformats.org/drawingml/2006/picture">
                      <pic:pic>
                        <pic:nvPicPr>
                          <pic:cNvPr descr="images/shapes-marr.png" id="46" name="Picture"/>
                          <pic:cNvPicPr>
                            <a:picLocks noChangeArrowheads="1" noChangeAspect="1"/>
                          </pic:cNvPicPr>
                        </pic:nvPicPr>
                        <pic:blipFill>
                          <a:blip r:embed="rId44"/>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Representing the characteristics of shapes with cylinders. Figure from</w:t>
            </w:r>
            <w:r>
              <w:t xml:space="preserve"> </w:t>
            </w:r>
            <w:r>
              <w:t xml:space="preserve">Marr et al. (1997)</w:t>
            </w:r>
            <w:r>
              <w:t xml:space="preserve">.</w:t>
            </w:r>
            <w:r>
              <w:t xml:space="preserve"> </w:t>
            </w:r>
            <w:r>
              <w:rPr>
                <w:iCs/>
                <w:i/>
              </w:rPr>
              <w:t xml:space="preserve">Click to expand.</w:t>
            </w:r>
          </w:p>
          <w:bookmarkEnd w:id="47"/>
        </w:tc>
      </w:tr>
    </w:tbl>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(2004b)</w:t>
      </w:r>
      <w:r>
        <w:t xml:space="preserve"> </w:t>
      </w:r>
      <w:r>
        <w:t xml:space="preserve">noted that we only have a very sketchy understanding of how we perceive and conceptualize things according to their shapes. The works of</w:t>
      </w:r>
      <w:r>
        <w:t xml:space="preserve"> </w:t>
      </w:r>
      <w:r>
        <w:t xml:space="preserve">Marr et al.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2.4</w:t>
        </w:r>
      </w:hyperlink>
      <w:r>
        <w:t xml:space="preserve">.</w:t>
      </w:r>
    </w:p>
    <w:bookmarkEnd w:id="48"/>
    <w:bookmarkEnd w:id="49"/>
    <w:bookmarkStart w:id="56" w:name="data-analysis-plan"/>
    <w:p>
      <w:pPr>
        <w:pStyle w:val="Heading2"/>
      </w:pPr>
      <w:r>
        <w:t xml:space="preserve">2.2 Data analysis plan</w:t>
      </w:r>
    </w:p>
    <w:bookmarkStart w:id="50" w:name="unsupervised-alignment-rationale"/>
    <w:p>
      <w:pPr>
        <w:pStyle w:val="Heading3"/>
      </w:pPr>
      <w:r>
        <w:t xml:space="preserve">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et al.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50"/>
    <w:bookmarkStart w:id="55" w:name="gromov-wasserstein-optimal-transport"/>
    <w:p>
      <w:pPr>
        <w:pStyle w:val="Heading3"/>
      </w:pPr>
      <w:r>
        <w:t xml:space="preserve">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2.5</w:t>
        </w:r>
      </w:hyperlink>
    </w:p>
    <w:tbl>
      <w:tblPr>
        <w:tblStyle w:val="Table"/>
        <w:tblW w:type="pct" w:w="5000"/>
        <w:tblLook w:firstRow="0" w:lastRow="0" w:firstColumn="0" w:lastColumn="0" w:noHBand="0" w:noVBand="0" w:val="0000"/>
        <w:jc w:val="start"/>
        <w:tblLayout w:type="fixed"/>
      </w:tblPr>
      <w:tblGrid>
        <w:gridCol w:w="7920"/>
      </w:tblGrid>
      <w:tr>
        <w:tc>
          <w:tcPr/>
          <w:bookmarkStart w:id="54" w:name="fig-gwot-kawa"/>
          <w:p>
            <w:pPr>
              <w:pStyle w:val="Compact"/>
              <w:jc w:val="center"/>
            </w:pPr>
            <w:r>
              <w:drawing>
                <wp:inline>
                  <wp:extent cx="5334000" cy="4811485"/>
                  <wp:effectExtent b="0" l="0" r="0" t="0"/>
                  <wp:docPr descr="" title="" id="52" name="Picture"/>
                  <a:graphic>
                    <a:graphicData uri="http://schemas.openxmlformats.org/drawingml/2006/picture">
                      <pic:pic>
                        <pic:nvPicPr>
                          <pic:cNvPr descr="images/kawa-gwot-2.PNG" id="53" name="Picture"/>
                          <pic:cNvPicPr>
                            <a:picLocks noChangeArrowheads="1" noChangeAspect="1"/>
                          </pic:cNvPicPr>
                        </pic:nvPicPr>
                        <pic:blipFill>
                          <a:blip r:embed="rId51"/>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Gromov-Wassertein optimal transport principle. Figure from</w:t>
            </w:r>
            <w:r>
              <w:t xml:space="preserve"> </w:t>
            </w:r>
            <w:r>
              <w:t xml:space="preserve">Kawakita et al. (2023)</w:t>
            </w:r>
            <w:r>
              <w:t xml:space="preserve">.</w:t>
            </w:r>
            <w:r>
              <w:t xml:space="preserve"> </w:t>
            </w:r>
            <w:r>
              <w:rPr>
                <w:iCs/>
                <w:i/>
              </w:rPr>
              <w:t xml:space="preserve">Click to expand.</w:t>
            </w:r>
          </w:p>
          <w:bookmarkEnd w:id="54"/>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bookmarkEnd w:id="55"/>
    <w:bookmarkEnd w:id="56"/>
    <w:bookmarkStart w:id="68" w:name="paradigm-summary"/>
    <w:p>
      <w:pPr>
        <w:pStyle w:val="Heading2"/>
      </w:pPr>
      <w:r>
        <w:t xml:space="preserve">2.3 Paradigm summary</w:t>
      </w:r>
    </w:p>
    <w:p>
      <w:pPr>
        <w:pStyle w:val="FirstParagraph"/>
      </w:pPr>
      <w:r>
        <w:t xml:space="preserve">The experimental design and data analysis plans are succinctly summarised in</w:t>
      </w:r>
      <w:r>
        <w:t xml:space="preserve"> </w:t>
      </w:r>
      <w:hyperlink w:anchor="fig-expe-conditions">
        <w:r>
          <w:rPr>
            <w:rStyle w:val="Hyperlink"/>
          </w:rPr>
          <w:t xml:space="preserve">Figure 2.6</w:t>
        </w:r>
      </w:hyperlink>
      <w:r>
        <w:t xml:space="preserve">.</w:t>
      </w:r>
    </w:p>
    <w:bookmarkStart w:id="67" w:name="fig-expe-condition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1" w:name="fig-expe-subject"/>
                <w:p>
                  <w:pPr>
                    <w:pStyle w:val="Compact"/>
                    <w:jc w:val="center"/>
                    <w:jc w:val="left"/>
                  </w:pPr>
                  <w:bookmarkStart w:id="60" w:name="fig-expe-subject"/>
                  <w:r>
                    <w:drawing>
                      <wp:inline>
                        <wp:extent cx="2971800" cy="5283200"/>
                        <wp:effectExtent b="0" l="0" r="0" t="0"/>
                        <wp:docPr descr="" title="" id="58" name="Picture"/>
                        <a:graphic>
                          <a:graphicData uri="http://schemas.openxmlformats.org/drawingml/2006/picture">
                            <pic:pic>
                              <pic:nvPicPr>
                                <pic:cNvPr descr="images/my-protocol-1.png" id="59" name="Picture"/>
                                <pic:cNvPicPr>
                                  <a:picLocks noChangeArrowheads="1" noChangeAspect="1"/>
                                </pic:cNvPicPr>
                              </pic:nvPicPr>
                              <pic:blipFill>
                                <a:blip r:embed="rId57"/>
                                <a:stretch>
                                  <a:fillRect/>
                                </a:stretch>
                              </pic:blipFill>
                              <pic:spPr bwMode="auto">
                                <a:xfrm>
                                  <a:off x="0" y="0"/>
                                  <a:ext cx="2971800" cy="5283200"/>
                                </a:xfrm>
                                <a:prstGeom prst="rect">
                                  <a:avLst/>
                                </a:prstGeom>
                                <a:noFill/>
                                <a:ln w="9525">
                                  <a:noFill/>
                                  <a:headEnd/>
                                  <a:tailEnd/>
                                </a:ln>
                              </pic:spPr>
                            </pic:pic>
                          </a:graphicData>
                        </a:graphic>
                      </wp:inline>
                    </w:drawing>
                  </w:r>
                  <w:bookmarkEnd w:id="60"/>
                </w:p>
                <w:p>
                  <w:pPr>
                    <w:jc w:val="center"/>
                    <w:jc w:val="left"/>
                  </w:pPr>
                  <w:pPr>
                    <w:jc w:val="start"/>
                    <w:spacing w:before="200"/>
                    <w:pStyle w:val="ImageCaption"/>
                  </w:pPr>
                  <w:r>
                    <w:t xml:space="preserve">(a)</w:t>
                  </w:r>
                </w:p>
                <w:bookmarkEnd w:id="6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6" w:name="fig-expe-group"/>
                <w:p>
                  <w:pPr>
                    <w:pStyle w:val="Compact"/>
                    <w:jc w:val="center"/>
                    <w:jc w:val="left"/>
                  </w:pPr>
                  <w:bookmarkStart w:id="65" w:name="fig-expe-group"/>
                  <w:r>
                    <w:drawing>
                      <wp:inline>
                        <wp:extent cx="2971800" cy="5283200"/>
                        <wp:effectExtent b="0" l="0" r="0" t="0"/>
                        <wp:docPr descr="" title="" id="63" name="Picture"/>
                        <a:graphic>
                          <a:graphicData uri="http://schemas.openxmlformats.org/drawingml/2006/picture">
                            <pic:pic>
                              <pic:nvPicPr>
                                <pic:cNvPr descr="images/my-protocol-2.png" id="64" name="Picture"/>
                                <pic:cNvPicPr>
                                  <a:picLocks noChangeArrowheads="1" noChangeAspect="1"/>
                                </pic:cNvPicPr>
                              </pic:nvPicPr>
                              <pic:blipFill>
                                <a:blip r:embed="rId62"/>
                                <a:stretch>
                                  <a:fillRect/>
                                </a:stretch>
                              </pic:blipFill>
                              <pic:spPr bwMode="auto">
                                <a:xfrm>
                                  <a:off x="0" y="0"/>
                                  <a:ext cx="2971800" cy="5283200"/>
                                </a:xfrm>
                                <a:prstGeom prst="rect">
                                  <a:avLst/>
                                </a:prstGeom>
                                <a:noFill/>
                                <a:ln w="9525">
                                  <a:noFill/>
                                  <a:headEnd/>
                                  <a:tailEnd/>
                                </a:ln>
                              </pic:spPr>
                            </pic:pic>
                          </a:graphicData>
                        </a:graphic>
                      </wp:inline>
                    </w:drawing>
                  </w:r>
                  <w:bookmarkEnd w:id="65"/>
                </w:p>
                <w:p>
                  <w:pPr>
                    <w:jc w:val="center"/>
                    <w:jc w:val="left"/>
                  </w:pPr>
                  <w:pPr>
                    <w:jc w:val="start"/>
                    <w:spacing w:before="200"/>
                    <w:pStyle w:val="ImageCaption"/>
                  </w:pPr>
                  <w:r>
                    <w:t xml:space="preserve">(b)</w:t>
                  </w:r>
                </w:p>
                <w:bookmarkEnd w:id="66"/>
              </w:tc>
            </w:tr>
          </w:tbl>
          <w:p/>
        </w:tc>
      </w:tr>
    </w:tbl>
    <w:p>
      <w:pPr>
        <w:pStyle w:val="BodyText"/>
      </w:pPr>
      <w:pPr>
        <w:spacing w:before="200"/>
        <w:pStyle w:val="ImageCaption"/>
      </w:pPr>
      <w:r>
        <w:t xml:space="preserve">Figure 2.6: Summary schematics of the proposed experimental protocol and data analysis plan.</w:t>
      </w:r>
      <w:r>
        <w:t xml:space="preserve"> </w:t>
      </w:r>
      <w:r>
        <w:rPr>
          <w:iCs/>
          <w:i/>
        </w:rPr>
        <w:t xml:space="preserve">Click on the sub-figures to expand them.</w:t>
      </w:r>
      <w:r>
        <w:t xml:space="preserve"> </w:t>
      </w:r>
      <w:hyperlink w:anchor="fig-expe-subject">
        <w:r>
          <w:rPr>
            <w:rStyle w:val="Hyperlink"/>
          </w:rPr>
          <w:t xml:space="preserve">Figure 2.6 (a)</w:t>
        </w:r>
      </w:hyperlink>
      <w:r>
        <w:t xml:space="preserve"> </w:t>
      </w:r>
      <w:r>
        <w:t xml:space="preserve">represents the two conditions to be completed by each subject. These two conditions will allow to compute comparisons (alignments) within a subject’s own perceptual and imaginal representational structures, but also between subjects (or groups) for each modality (see the next figure’s description).</w:t>
      </w:r>
      <w:r>
        <w:t xml:space="preserve"> </w:t>
      </w:r>
      <w:r>
        <w:rPr>
          <w:bCs/>
          <w:b/>
        </w:rPr>
        <w:t xml:space="preserve">(A)</w:t>
      </w:r>
      <w:r>
        <w:t xml:space="preserve"> </w:t>
      </w:r>
      <w:r>
        <w:t xml:space="preserve">The subject performs two simililarity judgement tasks using the MA paradigm presented earlier.</w:t>
      </w:r>
      <w:r>
        <w:t xml:space="preserve"> </w:t>
      </w:r>
      <w:r>
        <w:rPr>
          <w:bCs/>
          <w:b/>
        </w:rPr>
        <w:t xml:space="preserve">(B)</w:t>
      </w:r>
      <w:r>
        <w:t xml:space="preserve"> </w:t>
      </w:r>
      <w:r>
        <w:t xml:space="preserve">The low-dimensional similarity judgements are converted to a high-dimensional Representational Dissimilarity Matrix (RDM) through inverse-MDS as a follow-up to extract the results of the MA.</w:t>
      </w:r>
      <w:r>
        <w:t xml:space="preserve"> </w:t>
      </w:r>
      <w:r>
        <w:rPr>
          <w:bCs/>
          <w:b/>
        </w:rPr>
        <w:t xml:space="preserve">(C)</w:t>
      </w:r>
      <w:r>
        <w:t xml:space="preserve"> </w:t>
      </w:r>
      <w:r>
        <w:t xml:space="preserve">The RDMs are then reduced in dimensionality once again to extract relevant dimensions reflecting inferred features of the items through MDS, yielding embeddings. Three-dimensional projections of these embeddings have been chosen here for visualization purposes.</w:t>
      </w:r>
      <w:r>
        <w:t xml:space="preserve"> </w:t>
      </w:r>
      <w:r>
        <w:rPr>
          <w:bCs/>
          <w:b/>
        </w:rPr>
        <w:t xml:space="preserve">(D)</w:t>
      </w:r>
      <w:r>
        <w:t xml:space="preserve"> </w:t>
      </w:r>
      <w:r>
        <w:t xml:space="preserve">These embeddings are compared through unsupervised alignment using GWOT, which results in an estimate of the degree of alignment of the two representational structures and in coordinates of aligned embeddings. These coordinates allow us to examine the 3D visualization shown here and judge by ourselves the</w:t>
      </w:r>
      <w:r>
        <w:t xml:space="preserve"> </w:t>
      </w:r>
      <w:r>
        <w:t xml:space="preserve">“</w:t>
      </w:r>
      <w:r>
        <w:t xml:space="preserve">look</w:t>
      </w:r>
      <w:r>
        <w:t xml:space="preserve">”</w:t>
      </w:r>
      <w:r>
        <w:t xml:space="preserve"> </w:t>
      </w:r>
      <w:r>
        <w:t xml:space="preserve">of the alignment. Here the perception representation aligns with the imagination one, from which we could infer that imagined representations are made of sensory (rather than abstract properties). We expect inter-individual variability in these perception-imagination alignments, as shown in the next figure.</w:t>
      </w:r>
      <w:r>
        <w:t xml:space="preserve"> </w:t>
      </w:r>
      <w:hyperlink w:anchor="fig-expe-group">
        <w:r>
          <w:rPr>
            <w:rStyle w:val="Hyperlink"/>
          </w:rPr>
          <w:t xml:space="preserve">Figure 2.6 (b)</w:t>
        </w:r>
      </w:hyperlink>
      <w:r>
        <w:t xml:space="preserve"> </w:t>
      </w:r>
      <w:r>
        <w:t xml:space="preserve">represents the comparison between the representational structure of different cognitive profiles. In practice, all pairs of subjects will be compared to assess their representational structure alignments, independently of arbitrary groups. This is computationally heavy, but analytically very powerful. This figure also tacitly shows an idea supporting the use of unsupervised alignment: it is possible that RDMs seem to be very correlated and similar, as shown in step</w:t>
      </w:r>
      <w:r>
        <w:t xml:space="preserve"> </w:t>
      </w:r>
      <w:r>
        <w:rPr>
          <w:bCs/>
          <w:b/>
        </w:rPr>
        <w:t xml:space="preserve">(B)</w:t>
      </w:r>
      <w:r>
        <w:t xml:space="preserve">, but do not align when compared without supervision. This contrasts with several supervised alignment methods</w:t>
      </w:r>
      <w:r>
        <w:t xml:space="preserve"> </w:t>
      </w:r>
      <w:r>
        <w:t xml:space="preserve">(such as RSA, see Kriegeskorte et al., 2008)</w:t>
      </w:r>
      <w:r>
        <w:t xml:space="preserve"> </w:t>
      </w:r>
      <w:r>
        <w:t xml:space="preserve">which usually use the RDM as-is. This difference is due to the involvement of labels for items that are already known by the researcher to correlate the RDMs, whereas unsupervised algorithms such as GWOT are only concerned with the structures. This principle is eloquently illustrated by</w:t>
      </w:r>
      <w:r>
        <w:t xml:space="preserve"> </w:t>
      </w:r>
      <w:hyperlink w:anchor="fig-gwot-kawa">
        <w:r>
          <w:rPr>
            <w:rStyle w:val="Hyperlink"/>
          </w:rPr>
          <w:t xml:space="preserve">Figure 2.5</w:t>
        </w:r>
      </w:hyperlink>
      <w:r>
        <w:t xml:space="preserve"> </w:t>
      </w:r>
      <w:r>
        <w:t xml:space="preserve">from</w:t>
      </w:r>
      <w:r>
        <w:t xml:space="preserve"> </w:t>
      </w:r>
      <w:r>
        <w:t xml:space="preserve">Kawakita et al. (2023)</w:t>
      </w:r>
      <w:r>
        <w:t xml:space="preserve">.</w:t>
      </w:r>
    </w:p>
    <w:bookmarkEnd w:id="67"/>
    <w:bookmarkEnd w:id="68"/>
    <w:bookmarkStart w:id="71" w:name="hypotheses"/>
    <w:p>
      <w:pPr>
        <w:pStyle w:val="Heading2"/>
      </w:pPr>
      <w:r>
        <w:t xml:space="preserve">2.4 Hypotheses</w:t>
      </w:r>
    </w:p>
    <w:bookmarkStart w:id="69"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(2004b)</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69"/>
    <w:bookmarkStart w:id="70"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70"/>
    <w:bookmarkEnd w:id="71"/>
    <w:bookmarkEnd w:id="72"/>
    <w:bookmarkStart w:id="190" w:name="study-simulation-results"/>
    <w:p>
      <w:pPr>
        <w:pStyle w:val="Heading1"/>
      </w:pPr>
      <w:r>
        <w:t xml:space="preserve">3. Study simulation results</w:t>
      </w:r>
    </w:p>
    <w:p>
      <w:pPr>
        <w:pStyle w:val="FirstParagraph"/>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Start w:id="80" w:name="sec-osv-model-theory"/>
    <w:p>
      <w:pPr>
        <w:pStyle w:val="Heading2"/>
      </w:pPr>
      <w:r>
        <w:t xml:space="preserve">3.1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3.1</w:t>
        </w:r>
      </w:hyperlink>
      <w:r>
        <w:t xml:space="preserve">.</w:t>
      </w:r>
    </w:p>
    <w:p>
      <w:pPr>
        <w:pStyle w:val="BodyText"/>
      </w:pPr>
      <w:r>
        <w:t xml:space="preserve">To simulate these four sub-groups, we will generate multivariate normal distributions of scores on these three dimensions for each sub-group. For instance, verbal aphantasics have normally distributed visual imagery scores centred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plot-osv-model">
        <w:r>
          <w:rPr>
            <w:rStyle w:val="Hyperlink"/>
          </w:rPr>
          <w:t xml:space="preserve">Figure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4" w:name="tbl-imageries"/>
          <w:p>
            <w:pPr>
              <w:jc w:val="center"/>
            </w:pPr>
            <w:pPr>
              <w:jc w:val="start"/>
              <w:spacing w:before="200"/>
              <w:pStyle w:val="ImageCaption"/>
            </w:pPr>
            <w:r>
              <w:t xml:space="preserve">Table 3.1: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74"/>
          <w:p/>
        </w:tc>
      </w:tr>
    </w:tbl>
    <w:bookmarkStart w:id="79" w:name="cell-fig-plot-osv-model"/>
    <w:tbl>
      <w:tblPr>
        <w:tblStyle w:val="Table"/>
        <w:tblW w:type="pct" w:w="5000"/>
        <w:tblLook w:firstRow="0" w:lastRow="0" w:firstColumn="0" w:lastColumn="0" w:noHBand="0" w:noVBand="0" w:val="0000"/>
        <w:jc w:val="start"/>
        <w:tblLayout w:type="fixed"/>
      </w:tblPr>
      <w:tblGrid>
        <w:gridCol w:w="7920"/>
      </w:tblGrid>
      <w:tr>
        <w:tc>
          <w:tcPr/>
          <w:bookmarkStart w:id="78" w:name="fig-plot-osv-model"/>
          <w:p>
            <w:pPr>
              <w:pStyle w:val="Compact"/>
              <w:jc w:val="center"/>
            </w:pPr>
            <w:r>
              <w:drawing>
                <wp:inline>
                  <wp:extent cx="5334000" cy="4267200"/>
                  <wp:effectExtent b="0" l="0" r="0" t="0"/>
                  <wp:docPr descr="" title="" id="76" name="Picture"/>
                  <a:graphic>
                    <a:graphicData uri="http://schemas.openxmlformats.org/drawingml/2006/picture">
                      <pic:pic>
                        <pic:nvPicPr>
                          <pic:cNvPr descr="index_files/figure-docx/fig-plot-osv-model-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Imagery profiles generated for 30 subjects on the three object, spatial, and verbal dimensions.</w:t>
            </w:r>
          </w:p>
          <w:bookmarkEnd w:id="78"/>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79"/>
    <w:bookmarkEnd w:id="80"/>
    <w:bookmarkStart w:id="123" w:name="Xe565976683f395b29faa4138079524acb0e546e"/>
    <w:p>
      <w:pPr>
        <w:pStyle w:val="Heading2"/>
      </w:pPr>
      <w:r>
        <w:t xml:space="preserve">3.2 Data simulation: Creating representational structures</w:t>
      </w:r>
    </w:p>
    <w:p>
      <w:pPr>
        <w:pStyle w:val="FirstParagraph"/>
      </w:pPr>
      <w:r>
        <w:t xml:space="preserve">Gardenfors (2004b)</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90"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73">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
        <w:r>
          <w:rPr>
            <w:rStyle w:val="Hyperlink"/>
          </w:rPr>
          <w:t xml:space="preserve">Figure 3.2</w:t>
        </w:r>
      </w:hyperlink>
      <w:r>
        <w:t xml:space="preserve"> </w:t>
      </w:r>
      <w:r>
        <w:t xml:space="preserve">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89" w:name="fig-perfect-embeddin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4" w:name="fig-perfect-embeddings-1"/>
                <w:p>
                  <w:pPr>
                    <w:pStyle w:val="Compact"/>
                    <w:jc w:val="center"/>
                    <w:jc w:val="left"/>
                  </w:pPr>
                  <w:r>
                    <w:drawing>
                      <wp:inline>
                        <wp:extent cx="2971800" cy="2377440"/>
                        <wp:effectExtent b="0" l="0" r="0" t="0"/>
                        <wp:docPr descr="" title="" id="82" name="Picture"/>
                        <a:graphic>
                          <a:graphicData uri="http://schemas.openxmlformats.org/drawingml/2006/picture">
                            <pic:pic>
                              <pic:nvPicPr>
                                <pic:cNvPr descr="index_files/figure-docx/fig-perfect-embeddings-1.png" id="83" name="Picture"/>
                                <pic:cNvPicPr>
                                  <a:picLocks noChangeArrowheads="1" noChangeAspect="1"/>
                                </pic:cNvPicPr>
                              </pic:nvPicPr>
                              <pic:blipFill>
                                <a:blip r:embed="rId8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Generated spherical distribution of 1000 observations grouped in 8 equal clusers with Gaussian Mixture Clustering.</w:t>
                  </w:r>
                </w:p>
                <w:bookmarkEnd w:id="84"/>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88" w:name="fig-perfect-embeddings-2"/>
                <w:p>
                  <w:pPr>
                    <w:pStyle w:val="Compact"/>
                    <w:jc w:val="center"/>
                    <w:jc w:val="left"/>
                  </w:pPr>
                  <w:r>
                    <w:drawing>
                      <wp:inline>
                        <wp:extent cx="2971800" cy="2377440"/>
                        <wp:effectExtent b="0" l="0" r="0" t="0"/>
                        <wp:docPr descr="" title="" id="86" name="Picture"/>
                        <a:graphic>
                          <a:graphicData uri="http://schemas.openxmlformats.org/drawingml/2006/picture">
                            <pic:pic>
                              <pic:nvPicPr>
                                <pic:cNvPr descr="index_files/figure-docx/fig-perfect-embeddings-2.png" id="87" name="Picture"/>
                                <pic:cNvPicPr>
                                  <a:picLocks noChangeArrowheads="1" noChangeAspect="1"/>
                                </pic:cNvPicPr>
                              </pic:nvPicPr>
                              <pic:blipFill>
                                <a:blip r:embed="rId8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Centroids of the 8 clusters created on the sphere.</w:t>
                  </w:r>
                </w:p>
                <w:bookmarkEnd w:id="88"/>
              </w:tc>
            </w:tr>
          </w:tbl>
          <w:p/>
        </w:tc>
      </w:tr>
    </w:tbl>
    <w:p>
      <w:pPr>
        <w:pStyle w:val="BodyText"/>
      </w:pPr>
      <w:pPr>
        <w:spacing w:before="200"/>
        <w:pStyle w:val="ImageCaption"/>
      </w:pPr>
      <w:r>
        <w:t xml:space="preserve">Figure 3.2: Initial random generations of 1000 points grouped in 8 clusters to represent the theoretical embeddings of 8 groups (i.e. groups of species here).</w:t>
      </w:r>
      <w:r>
        <w:t xml:space="preserve"> </w:t>
      </w:r>
      <w:r>
        <w:rPr>
          <w:iCs/>
          <w:i/>
          <w:bCs/>
          <w:b/>
        </w:rPr>
        <w:t xml:space="preserve">Interact with the figures to see the details.</w:t>
      </w:r>
    </w:p>
    <w:bookmarkEnd w:id="89"/>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90"/>
    <w:bookmarkStart w:id="96"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bookmarkStart w:id="95"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94" w:name="fig-categorical-embeddings"/>
          <w:p>
            <w:pPr>
              <w:pStyle w:val="Compact"/>
              <w:jc w:val="center"/>
            </w:pPr>
            <w:r>
              <w:drawing>
                <wp:inline>
                  <wp:extent cx="5334000" cy="4267200"/>
                  <wp:effectExtent b="0" l="0" r="0" t="0"/>
                  <wp:docPr descr="" title="" id="92" name="Picture"/>
                  <a:graphic>
                    <a:graphicData uri="http://schemas.openxmlformats.org/drawingml/2006/picture">
                      <pic:pic>
                        <pic:nvPicPr>
                          <pic:cNvPr descr="index_files/figure-docx/fig-categorical-embeddings-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94"/>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95"/>
    <w:bookmarkEnd w:id="96"/>
    <w:bookmarkStart w:id="102"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can simulate multivariate normal distributions around the centroids.</w:t>
      </w:r>
    </w:p>
    <w:bookmarkStart w:id="101" w:name="cell-fig-visual-embeddings"/>
    <w:tbl>
      <w:tblPr>
        <w:tblStyle w:val="Table"/>
        <w:tblW w:type="pct" w:w="5000"/>
        <w:tblLook w:firstRow="0" w:lastRow="0" w:firstColumn="0" w:lastColumn="0" w:noHBand="0" w:noVBand="0" w:val="0000"/>
        <w:jc w:val="start"/>
        <w:tblLayout w:type="fixed"/>
      </w:tblPr>
      <w:tblGrid>
        <w:gridCol w:w="7920"/>
      </w:tblGrid>
      <w:tr>
        <w:tc>
          <w:tcPr/>
          <w:bookmarkStart w:id="100" w:name="fig-visual-embeddings"/>
          <w:p>
            <w:pPr>
              <w:pStyle w:val="Compact"/>
              <w:jc w:val="center"/>
            </w:pPr>
            <w:r>
              <w:drawing>
                <wp:inline>
                  <wp:extent cx="5334000" cy="4267200"/>
                  <wp:effectExtent b="0" l="0" r="0" t="0"/>
                  <wp:docPr descr="" title="" id="98" name="Picture"/>
                  <a:graphic>
                    <a:graphicData uri="http://schemas.openxmlformats.org/drawingml/2006/picture">
                      <pic:pic>
                        <pic:nvPicPr>
                          <pic:cNvPr descr="index_files/figure-docx/fig-visual-embeddings-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100"/>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01"/>
    <w:bookmarkEnd w:id="102"/>
    <w:bookmarkStart w:id="112"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106" w:name="fig-diagram-intermediate"/>
          <w:p>
            <w:pPr>
              <w:jc w:val="center"/>
            </w:pPr>
            <w:r>
              <w:drawing>
                <wp:inline>
                  <wp:extent cx="4572000" cy="466344"/>
                  <wp:effectExtent b="0" l="0" r="0" t="0"/>
                  <wp:docPr descr="" title="" id="104" name="Picture"/>
                  <a:graphic>
                    <a:graphicData uri="http://schemas.openxmlformats.org/drawingml/2006/picture">
                      <pic:pic>
                        <pic:nvPicPr>
                          <pic:cNvPr descr="index_files/figure-docx/mermaid-figure-1.png" id="105" name="Picture"/>
                          <pic:cNvPicPr>
                            <a:picLocks noChangeArrowheads="1" noChangeAspect="1"/>
                          </pic:cNvPicPr>
                        </pic:nvPicPr>
                        <pic:blipFill>
                          <a:blip r:embed="rId103"/>
                          <a:stretch>
                            <a:fillRect/>
                          </a:stretch>
                        </pic:blipFill>
                        <pic:spPr bwMode="auto">
                          <a:xfrm>
                            <a:off x="0" y="0"/>
                            <a:ext cx="4572000" cy="4663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106"/>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Start w:id="111"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110" w:name="fig-intermediate-embeddings"/>
          <w:p>
            <w:pPr>
              <w:pStyle w:val="Compact"/>
              <w:jc w:val="center"/>
            </w:pPr>
            <w:r>
              <w:drawing>
                <wp:inline>
                  <wp:extent cx="5334000" cy="4267200"/>
                  <wp:effectExtent b="0" l="0" r="0" t="0"/>
                  <wp:docPr descr="" title="" id="108" name="Picture"/>
                  <a:graphic>
                    <a:graphicData uri="http://schemas.openxmlformats.org/drawingml/2006/picture">
                      <pic:pic>
                        <pic:nvPicPr>
                          <pic:cNvPr descr="index_files/figure-docx/fig-intermediate-embeddings-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110"/>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11"/>
    <w:p>
      <w:pPr>
        <w:pStyle w:val="BodyText"/>
      </w:pPr>
      <w:r>
        <w:t xml:space="preserve">The distributions created are still gathered around the centroids of each group, but they are much more widespread, each group getting close to each other and even reaching inside the sphere.</w:t>
      </w:r>
    </w:p>
    <w:p>
      <w:pPr>
        <w:pStyle w:val="BodyText"/>
      </w:pPr>
      <w:r>
        <w:t xml:space="preserve">Perfect! Now we have two 3D embeddings per animal, in a categorical or a visual description of their features. Thus, we have four sets of coherent coordinates, around which we will simulate the embeddings of the 30 participants, depending on their groups.</w:t>
      </w:r>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12"/>
    <w:bookmarkStart w:id="122"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groups and species in</w:t>
      </w:r>
      <w:r>
        <w:t xml:space="preserve"> </w:t>
      </w:r>
      <w:hyperlink w:anchor="fig-subject-embeddings-1">
        <w:r>
          <w:rPr>
            <w:rStyle w:val="Hyperlink"/>
          </w:rPr>
          <w:t xml:space="preserve">Figure 3.7 (a)</w:t>
        </w:r>
      </w:hyperlink>
      <w:r>
        <w:t xml:space="preserve"> </w:t>
      </w:r>
      <w:r>
        <w:t xml:space="preserve">look fairly obvious when we colour the embeddings using the knowledge about how we built them, the algorithm will only be fed with the data for each subject, without any labelling or additional information. Thus,</w:t>
      </w:r>
      <w:r>
        <w:t xml:space="preserve"> </w:t>
      </w:r>
      <w:hyperlink w:anchor="fig-subject-embeddings-2">
        <w:r>
          <w:rPr>
            <w:rStyle w:val="Hyperlink"/>
          </w:rPr>
          <w:t xml:space="preserve">Figure 3.7 (b)</w:t>
        </w:r>
      </w:hyperlink>
      <w:r>
        <w:t xml:space="preserve"> </w:t>
      </w:r>
      <w:r>
        <w:t xml:space="preserve">is what the algorithm will actually</w:t>
      </w:r>
      <w:r>
        <w:t xml:space="preserve"> </w:t>
      </w:r>
      <w:r>
        <w:t xml:space="preserve">“</w:t>
      </w:r>
      <w:r>
        <w:t xml:space="preserve">see</w:t>
      </w:r>
      <w:r>
        <w:t xml:space="preserve">”</w:t>
      </w:r>
      <w:r>
        <w:t xml:space="preserve"> </w:t>
      </w:r>
      <w:r>
        <w:t xml:space="preserve">(and what it will try to decrypt). Said otherwise, its objective will be to find all the correct colours and shapes in</w:t>
      </w:r>
      <w:r>
        <w:t xml:space="preserve"> </w:t>
      </w:r>
      <w:hyperlink w:anchor="fig-subject-embeddings-1">
        <w:r>
          <w:rPr>
            <w:rStyle w:val="Hyperlink"/>
          </w:rPr>
          <w:t xml:space="preserve">Figure 3.7 (a)</w:t>
        </w:r>
      </w:hyperlink>
      <w:r>
        <w:t xml:space="preserve"> </w:t>
      </w:r>
      <w:r>
        <w:t xml:space="preserve">using only 30 sub-datasets (one for each subject) that are illustrated in</w:t>
      </w:r>
      <w:r>
        <w:t xml:space="preserve"> </w:t>
      </w:r>
      <w:hyperlink w:anchor="fig-subject-embeddings-2">
        <w:r>
          <w:rPr>
            <w:rStyle w:val="Hyperlink"/>
          </w:rPr>
          <w:t xml:space="preserve">Figure 3.7 (b)</w:t>
        </w:r>
      </w:hyperlink>
      <w:r>
        <w:t xml:space="preserve">. Admittedly, that looks a lot more complicated.</w:t>
      </w:r>
    </w:p>
    <w:bookmarkStart w:id="121" w:name="fig-subject-embeddin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6" w:name="fig-subject-embeddings-1"/>
                <w:p>
                  <w:pPr>
                    <w:pStyle w:val="Compact"/>
                    <w:jc w:val="center"/>
                    <w:jc w:val="left"/>
                  </w:pPr>
                  <w:r>
                    <w:drawing>
                      <wp:inline>
                        <wp:extent cx="2971800" cy="2377440"/>
                        <wp:effectExtent b="0" l="0" r="0" t="0"/>
                        <wp:docPr descr="" title="" id="114" name="Picture"/>
                        <a:graphic>
                          <a:graphicData uri="http://schemas.openxmlformats.org/drawingml/2006/picture">
                            <pic:pic>
                              <pic:nvPicPr>
                                <pic:cNvPr descr="index_files/figure-docx/fig-subject-embeddings-1.png" id="115" name="Picture"/>
                                <pic:cNvPicPr>
                                  <a:picLocks noChangeArrowheads="1" noChangeAspect="1"/>
                                </pic:cNvPicPr>
                              </pic:nvPicPr>
                              <pic:blipFill>
                                <a:blip r:embed="rId11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Distribution of the embeddings of the 30 subjects,</w:t>
                  </w:r>
                  <w:r>
                    <w:rPr>
                      <w:iCs/>
                      <w:i/>
                      <w:bCs/>
                      <w:b/>
                    </w:rPr>
                    <w:t xml:space="preserve">colored by the species groups</w:t>
                  </w:r>
                  <w:r>
                    <w:t xml:space="preserve"> </w:t>
                  </w:r>
                  <w:r>
                    <w:t xml:space="preserve">they represent. The symbols represent the four imagery groups (Aph. verbal, spatial, etc.)</w:t>
                  </w:r>
                </w:p>
                <w:bookmarkEnd w:id="116"/>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20" w:name="fig-subject-embeddings-2"/>
                <w:p>
                  <w:pPr>
                    <w:pStyle w:val="Compact"/>
                    <w:jc w:val="center"/>
                    <w:jc w:val="left"/>
                  </w:pPr>
                  <w:r>
                    <w:drawing>
                      <wp:inline>
                        <wp:extent cx="2971800" cy="2377440"/>
                        <wp:effectExtent b="0" l="0" r="0" t="0"/>
                        <wp:docPr descr="" title="" id="118" name="Picture"/>
                        <a:graphic>
                          <a:graphicData uri="http://schemas.openxmlformats.org/drawingml/2006/picture">
                            <pic:pic>
                              <pic:nvPicPr>
                                <pic:cNvPr descr="index_files/figure-docx/fig-subject-embeddings-2.png" id="119" name="Picture"/>
                                <pic:cNvPicPr>
                                  <a:picLocks noChangeArrowheads="1" noChangeAspect="1"/>
                                </pic:cNvPicPr>
                              </pic:nvPicPr>
                              <pic:blipFill>
                                <a:blip r:embed="rId11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Distribution of the embeddings of the 30 subjects,</w:t>
                  </w:r>
                  <w:r>
                    <w:t xml:space="preserve"> </w:t>
                  </w:r>
                  <w:r>
                    <w:rPr>
                      <w:iCs/>
                      <w:i/>
                      <w:bCs/>
                      <w:b/>
                    </w:rPr>
                    <w:t xml:space="preserve">colored by subject</w:t>
                  </w:r>
                  <w:r>
                    <w:t xml:space="preserve">.</w:t>
                  </w:r>
                  <w:r>
                    <w:t xml:space="preserve">This is the only information the unsupervised algorithm will have to work with.</w:t>
                  </w:r>
                </w:p>
                <w:bookmarkEnd w:id="120"/>
              </w:tc>
            </w:tr>
          </w:tbl>
          <w:p/>
        </w:tc>
      </w:tr>
    </w:tbl>
    <w:p>
      <w:pPr>
        <w:pStyle w:val="BodyText"/>
      </w:pPr>
      <w:pPr>
        <w:spacing w:before="200"/>
        <w:pStyle w:val="ImageCaption"/>
      </w:pPr>
      <w:r>
        <w:t xml:space="preserve">Figure 3.7: Final distribution of the 64 embeddings of all the 30 subjects, amounting to 1920 points total.</w:t>
      </w:r>
      <w:r>
        <w:t xml:space="preserve"> </w:t>
      </w:r>
      <w:r>
        <w:rPr>
          <w:iCs/>
          <w:i/>
          <w:bCs/>
          <w:b/>
        </w:rPr>
        <w:t xml:space="preserve">Interact with the figures to see the details.</w:t>
      </w:r>
    </w:p>
    <w:bookmarkEnd w:id="121"/>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22"/>
    <w:bookmarkEnd w:id="123"/>
    <w:bookmarkStart w:id="187" w:name="X395509bcf197cc2d6411de8be6cd22999a8c373"/>
    <w:p>
      <w:pPr>
        <w:pStyle w:val="Heading2"/>
      </w:pPr>
      <w:r>
        <w:t xml:space="preserve">3.3 Data analysis: Aligning representational structures</w:t>
      </w:r>
    </w:p>
    <w:p>
      <w:pPr>
        <w:pStyle w:val="FirstParagraph"/>
      </w:pPr>
      <w:r>
        <w:t xml:space="preserve">For all this section, we need to adapt a simple version of the explanations from</w:t>
      </w:r>
      <w:r>
        <w:t xml:space="preserve"> </w:t>
      </w:r>
      <w:r>
        <w:t xml:space="preserve">Kawakita et al. (2023)</w:t>
      </w:r>
      <w:r>
        <w:t xml:space="preserve"> </w:t>
      </w:r>
      <w:r>
        <w:t xml:space="preserve">and</w:t>
      </w:r>
      <w:r>
        <w:t xml:space="preserve"> </w:t>
      </w:r>
      <w:r>
        <w:t xml:space="preserve">Sasaki et al. (2023)</w:t>
      </w:r>
      <w:r>
        <w:t xml:space="preserve"> </w:t>
      </w:r>
      <w:r>
        <w:t xml:space="preserve">and avoid any technical aspects in the main manuscript.</w:t>
      </w:r>
    </w:p>
    <w:p>
      <w:pPr>
        <w:pStyle w:val="BodyText"/>
      </w:pPr>
      <w:r>
        <w:t xml:space="preserve">From there on, most of the code follows the instructions from the open-source scientific toolbox by</w:t>
      </w:r>
      <w:r>
        <w:t xml:space="preserve"> </w:t>
      </w:r>
      <w:r>
        <w:t xml:space="preserve">Sasaki et al. (2023)</w:t>
      </w:r>
      <w:r>
        <w:t xml:space="preserve">. I added a few explanations on the purpose of each step, without diving into unnecessary details.</w:t>
      </w:r>
    </w:p>
    <w:bookmarkStart w:id="124" w:name="X0c9449088cad89fd032fb35a04c8e7591a896bc"/>
    <w:p>
      <w:pPr>
        <w:pStyle w:val="Heading3"/>
      </w:pPr>
      <w:r>
        <w:t xml:space="preserve">Step 1: Importing the embeddings in the Python instances</w:t>
      </w:r>
    </w:p>
    <w:bookmarkEnd w:id="124"/>
    <w:bookmarkStart w:id="125" w:name="Xb8d913127bbbfc041d9a6bf1566d8582fdb69db"/>
    <w:p>
      <w:pPr>
        <w:pStyle w:val="Heading3"/>
      </w:pPr>
      <w:r>
        <w:t xml:space="preserve">Step 2: Setting the parameters for the optimization of GWOT</w:t>
      </w:r>
    </w:p>
    <w:bookmarkEnd w:id="125"/>
    <w:bookmarkStart w:id="126" w:name="Xd4eeef28a038c7a302944cb54b8e64471e1f2ae"/>
    <w:p>
      <w:pPr>
        <w:pStyle w:val="Heading3"/>
      </w:pPr>
      <w:r>
        <w:t xml:space="preserve">Step 3: Gromov-Wasserstein Optimal Transport (GWOT) between Representations</w:t>
      </w:r>
    </w:p>
    <w:bookmarkEnd w:id="126"/>
    <w:bookmarkStart w:id="186" w:name="step-4-evaluation-and-visualization"/>
    <w:p>
      <w:pPr>
        <w:pStyle w:val="Heading3"/>
      </w:pPr>
      <w:r>
        <w:t xml:space="preserve">Step 4: Evaluation and Visualization</w:t>
      </w:r>
    </w:p>
    <w:bookmarkStart w:id="137" w:name="Xc01afcc409f6d44fb96c98eda5baaae34440ec5"/>
    <w:p>
      <w:pPr>
        <w:pStyle w:val="Heading4"/>
      </w:pPr>
      <w:r>
        <w:t xml:space="preserve">Clustering the subjects by alignment accuracy</w:t>
      </w:r>
    </w:p>
    <w:p>
      <w:pPr>
        <w:pStyle w:val="FirstParagraph"/>
      </w:pPr>
      <w:r>
        <w:t xml:space="preserve">First, we evaluate the accuracy per subject and group the subjects based on the alignment accuracy via hierarchical clustering. This procedure is represented in</w:t>
      </w:r>
      <w:r>
        <w:t xml:space="preserve"> </w:t>
      </w:r>
      <w:hyperlink w:anchor="fig-hclust">
        <w:r>
          <w:rPr>
            <w:rStyle w:val="Hyperlink"/>
          </w:rPr>
          <w:t xml:space="preserve">Figure 3.8</w:t>
        </w:r>
      </w:hyperlink>
      <w:r>
        <w:t xml:space="preserve">. Second, we evaluate the accuracy of the alignment between these clusters.</w:t>
      </w:r>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Start w:id="131" w:name="cell-fig-hclust"/>
    <w:tbl>
      <w:tblPr>
        <w:tblStyle w:val="Table"/>
        <w:tblW w:type="pct" w:w="5000"/>
        <w:tblLook w:firstRow="0" w:lastRow="0" w:firstColumn="0" w:lastColumn="0" w:noHBand="0" w:noVBand="0" w:val="0000"/>
        <w:jc w:val="start"/>
        <w:tblLayout w:type="fixed"/>
      </w:tblPr>
      <w:tblGrid>
        <w:gridCol w:w="7920"/>
      </w:tblGrid>
      <w:tr>
        <w:tc>
          <w:tcPr/>
          <w:bookmarkStart w:id="130" w:name="fig-hclust"/>
          <w:p>
            <w:pPr>
              <w:pStyle w:val="Compact"/>
              <w:jc w:val="center"/>
            </w:pPr>
            <w:r>
              <w:drawing>
                <wp:inline>
                  <wp:extent cx="5334000" cy="2222500"/>
                  <wp:effectExtent b="0" l="0" r="0" t="0"/>
                  <wp:docPr descr="" title="" id="128" name="Picture"/>
                  <a:graphic>
                    <a:graphicData uri="http://schemas.openxmlformats.org/drawingml/2006/picture">
                      <pic:pic>
                        <pic:nvPicPr>
                          <pic:cNvPr descr="index_files/figure-docx/fig-hclust-1.png" id="129" name="Picture"/>
                          <pic:cNvPicPr>
                            <a:picLocks noChangeArrowheads="1" noChangeAspect="1"/>
                          </pic:cNvPicPr>
                        </pic:nvPicPr>
                        <pic:blipFill>
                          <a:blip r:embed="rId127"/>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Hierachical clustering of the 30 subjects based on their representational alignment.</w:t>
            </w:r>
          </w:p>
          <w:bookmarkEnd w:id="130"/>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31"/>
    <w:bookmarkStart w:id="136" w:name="cell-fig-clusters-accuracy"/>
    <w:tbl>
      <w:tblPr>
        <w:tblStyle w:val="Table"/>
        <w:tblW w:type="pct" w:w="5000"/>
        <w:tblLook w:firstRow="0" w:lastRow="0" w:firstColumn="0" w:lastColumn="0" w:noHBand="0" w:noVBand="0" w:val="0000"/>
        <w:jc w:val="start"/>
        <w:tblLayout w:type="fixed"/>
      </w:tblPr>
      <w:tblGrid>
        <w:gridCol w:w="7920"/>
      </w:tblGrid>
      <w:tr>
        <w:tc>
          <w:tcPr/>
          <w:bookmarkStart w:id="135" w:name="fig-clusters-accuracy"/>
          <w:p>
            <w:pPr>
              <w:pStyle w:val="Compact"/>
              <w:jc w:val="center"/>
            </w:pPr>
            <w:r>
              <w:drawing>
                <wp:inline>
                  <wp:extent cx="5334000" cy="3733800"/>
                  <wp:effectExtent b="0" l="0" r="0" t="0"/>
                  <wp:docPr descr="" title="" id="133" name="Picture"/>
                  <a:graphic>
                    <a:graphicData uri="http://schemas.openxmlformats.org/drawingml/2006/picture">
                      <pic:pic>
                        <pic:nvPicPr>
                          <pic:cNvPr descr="index_files/figure-docx/fig-clusters-accuracy-1.png" id="134" name="Picture"/>
                          <pic:cNvPicPr>
                            <a:picLocks noChangeArrowheads="1" noChangeAspect="1"/>
                          </pic:cNvPicPr>
                        </pic:nvPicPr>
                        <pic:blipFill>
                          <a:blip r:embed="rId13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Accuracy of the alignments between the subject’s embeddings in each cluster. An alignment of a cluster with itself (e.g. Cluster 7 - Cluster 7) is the evaluation of the alignment of the subjects</w:t>
            </w:r>
            <w:r>
              <w:t xml:space="preserve"> </w:t>
            </w:r>
            <w:r>
              <w:rPr>
                <w:iCs/>
                <w:i/>
                <w:bCs/>
                <w:b/>
              </w:rPr>
              <w:t xml:space="preserve">inside</w:t>
            </w:r>
            <w:r>
              <w:t xml:space="preserve"> </w:t>
            </w:r>
            <w:r>
              <w:t xml:space="preserve">the cluster.</w:t>
            </w:r>
          </w:p>
          <w:bookmarkEnd w:id="135"/>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36"/>
    <w:bookmarkEnd w:id="137"/>
    <w:bookmarkStart w:id="185" w:name="Xa94aa08a21043225cb9fb831d58ff719997b443"/>
    <w:p>
      <w:pPr>
        <w:pStyle w:val="Heading4"/>
      </w:pPr>
      <w:r>
        <w:t xml:space="preserve">Evaluating the clusters in light of our theoretical OSV model</w:t>
      </w:r>
    </w:p>
    <w:p>
      <w:pPr>
        <w:pStyle w:val="FirstParagraph"/>
      </w:pPr>
      <w:r>
        <w:t xml:space="preserve">Let’s see the composition of the clusters in light of our initial O-S-V model. The cognitive profiles of the subjects are represented in</w:t>
      </w:r>
      <w:r>
        <w:t xml:space="preserve"> </w:t>
      </w:r>
      <w:hyperlink w:anchor="fig-plot-osv-clusters">
        <w:r>
          <w:rPr>
            <w:rStyle w:val="Hyperlink"/>
          </w:rPr>
          <w:t xml:space="preserve">Figure 3.10</w:t>
        </w:r>
      </w:hyperlink>
      <w:r>
        <w:t xml:space="preserve">, and the distribution of the cognitive profiles in the clusters is represented in</w:t>
      </w:r>
      <w:r>
        <w:t xml:space="preserve"> </w:t>
      </w:r>
      <w:hyperlink w:anchor="fig-clusters-distribution">
        <w:r>
          <w:rPr>
            <w:rStyle w:val="Hyperlink"/>
          </w:rPr>
          <w:t xml:space="preserve">Figure 3.11</w:t>
        </w:r>
      </w:hyperlink>
      <w:r>
        <w:t xml:space="preserve">.</w:t>
      </w:r>
    </w:p>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Start w:id="142" w:name="cell-fig-plot-osv-clusters"/>
    <w:tbl>
      <w:tblPr>
        <w:tblStyle w:val="Table"/>
        <w:tblW w:type="pct" w:w="5000"/>
        <w:tblLook w:firstRow="0" w:lastRow="0" w:firstColumn="0" w:lastColumn="0" w:noHBand="0" w:noVBand="0" w:val="0000"/>
        <w:jc w:val="start"/>
        <w:tblLayout w:type="fixed"/>
      </w:tblPr>
      <w:tblGrid>
        <w:gridCol w:w="7920"/>
      </w:tblGrid>
      <w:tr>
        <w:tc>
          <w:tcPr/>
          <w:bookmarkStart w:id="141" w:name="fig-plot-osv-clusters"/>
          <w:p>
            <w:pPr>
              <w:pStyle w:val="Compact"/>
              <w:jc w:val="center"/>
            </w:pPr>
            <w:r>
              <w:drawing>
                <wp:inline>
                  <wp:extent cx="5334000" cy="4267200"/>
                  <wp:effectExtent b="0" l="0" r="0" t="0"/>
                  <wp:docPr descr="" title="" id="139" name="Picture"/>
                  <a:graphic>
                    <a:graphicData uri="http://schemas.openxmlformats.org/drawingml/2006/picture">
                      <pic:pic>
                        <pic:nvPicPr>
                          <pic:cNvPr descr="index_files/figure-docx/fig-plot-osv-clusters-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3.10: Imagery profiles of the nine identified clusters on the three object, spatial, and verbal dimensions.</w:t>
            </w:r>
            <w:r>
              <w:t xml:space="preserve"> </w:t>
            </w:r>
            <w:r>
              <w:rPr>
                <w:iCs/>
                <w:i/>
                <w:bCs/>
                <w:b/>
              </w:rPr>
              <w:t xml:space="preserve">Interact with the figure to see the details.</w:t>
            </w:r>
          </w:p>
          <w:bookmarkEnd w:id="141"/>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42"/>
    <w:bookmarkStart w:id="147" w:name="cell-fig-clusters-distribution"/>
    <w:tbl>
      <w:tblPr>
        <w:tblStyle w:val="Table"/>
        <w:tblW w:type="pct" w:w="5000"/>
        <w:tblLook w:firstRow="0" w:lastRow="0" w:firstColumn="0" w:lastColumn="0" w:noHBand="0" w:noVBand="0" w:val="0000"/>
        <w:jc w:val="start"/>
        <w:tblLayout w:type="fixed"/>
      </w:tblPr>
      <w:tblGrid>
        <w:gridCol w:w="7920"/>
      </w:tblGrid>
      <w:tr>
        <w:tc>
          <w:tcPr/>
          <w:bookmarkStart w:id="146" w:name="fig-clusters-distribution"/>
          <w:p>
            <w:pPr>
              <w:pStyle w:val="Compact"/>
              <w:jc w:val="center"/>
            </w:pPr>
            <w:r>
              <w:drawing>
                <wp:inline>
                  <wp:extent cx="4620126" cy="3696101"/>
                  <wp:effectExtent b="0" l="0" r="0" t="0"/>
                  <wp:docPr descr="" title="" id="144" name="Picture"/>
                  <a:graphic>
                    <a:graphicData uri="http://schemas.openxmlformats.org/drawingml/2006/picture">
                      <pic:pic>
                        <pic:nvPicPr>
                          <pic:cNvPr descr="index_files/figure-docx/fig-clusters-distribution-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3.11: Repartion of our intial O-S-V groups in the clusters created by the unsupervised alignment.</w:t>
            </w:r>
          </w:p>
          <w:bookmarkEnd w:id="146"/>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Article Notebook</w:t>
        </w:r>
      </w:hyperlink>
    </w:p>
    <w:bookmarkEnd w:id="147"/>
    <w:p>
      <w:pPr>
        <w:pStyle w:val="BodyText"/>
      </w:pPr>
      <w:r>
        <w:t xml:space="preserve">Now let’s visualize the embeddings of the subjects in each cluster to get a visual idea of their representational structures and the intra-cluster alignment between the subjects.</w:t>
      </w:r>
    </w:p>
    <w:bookmarkStart w:id="184" w:name="fig-clusters_embeddings_final"/>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51" w:name="fig-clusters_embeddings_final-1"/>
                <w:p>
                  <w:pPr>
                    <w:pStyle w:val="Compact"/>
                    <w:jc w:val="center"/>
                    <w:jc w:val="left"/>
                  </w:pPr>
                  <w:r>
                    <w:drawing>
                      <wp:inline>
                        <wp:extent cx="1975104" cy="1580083"/>
                        <wp:effectExtent b="0" l="0" r="0" t="0"/>
                        <wp:docPr descr="" title="" id="149" name="Picture"/>
                        <a:graphic>
                          <a:graphicData uri="http://schemas.openxmlformats.org/drawingml/2006/picture">
                            <pic:pic>
                              <pic:nvPicPr>
                                <pic:cNvPr descr="index_files/figure-docx/fig-clusters_embeddings_final-1.png" id="150" name="Picture"/>
                                <pic:cNvPicPr>
                                  <a:picLocks noChangeArrowheads="1" noChangeAspect="1"/>
                                </pic:cNvPicPr>
                              </pic:nvPicPr>
                              <pic:blipFill>
                                <a:blip r:embed="rId14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w:t>
                  </w:r>
                  <w:r>
                    <w:t xml:space="preserve"> </w:t>
                  </w:r>
                  <w:r>
                    <w:rPr>
                      <w:bCs/>
                      <w:b/>
                    </w:rPr>
                    <w:t xml:space="preserve">Cluster 1</w:t>
                  </w:r>
                  <w:r>
                    <w:t xml:space="preserve"> </w:t>
                  </w:r>
                  <w:r>
                    <w:t xml:space="preserve">embeddings (Aphantasic cluster).</w:t>
                  </w:r>
                  <w:r>
                    <w:t xml:space="preserve">Within-cluster aligment accuracy = 95.83%.</w:t>
                  </w:r>
                </w:p>
                <w:bookmarkEnd w:id="15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5" w:name="fig-clusters_embeddings_final-2"/>
                <w:p>
                  <w:pPr>
                    <w:pStyle w:val="Compact"/>
                    <w:jc w:val="center"/>
                    <w:jc w:val="left"/>
                  </w:pPr>
                  <w:r>
                    <w:drawing>
                      <wp:inline>
                        <wp:extent cx="1975104" cy="1580083"/>
                        <wp:effectExtent b="0" l="0" r="0" t="0"/>
                        <wp:docPr descr="" title="" id="153" name="Picture"/>
                        <a:graphic>
                          <a:graphicData uri="http://schemas.openxmlformats.org/drawingml/2006/picture">
                            <pic:pic>
                              <pic:nvPicPr>
                                <pic:cNvPr descr="index_files/figure-docx/fig-clusters_embeddings_final-2.png" id="154" name="Picture"/>
                                <pic:cNvPicPr>
                                  <a:picLocks noChangeArrowheads="1" noChangeAspect="1"/>
                                </pic:cNvPicPr>
                              </pic:nvPicPr>
                              <pic:blipFill>
                                <a:blip r:embed="rId15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w:t>
                  </w:r>
                  <w:r>
                    <w:t xml:space="preserve"> </w:t>
                  </w:r>
                  <w:r>
                    <w:rPr>
                      <w:bCs/>
                      <w:b/>
                    </w:rPr>
                    <w:t xml:space="preserve">Cluster 2</w:t>
                  </w:r>
                  <w:r>
                    <w:t xml:space="preserve"> </w:t>
                  </w:r>
                  <w:r>
                    <w:t xml:space="preserve">embeddings (Spatial aphantasic cluster).</w:t>
                  </w:r>
                  <w:r>
                    <w:t xml:space="preserve">Within-cluster aligment accuracy = 97.66%.</w:t>
                  </w:r>
                </w:p>
                <w:bookmarkEnd w:id="15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9" w:name="fig-clusters_embeddings_final-3"/>
                <w:p>
                  <w:pPr>
                    <w:pStyle w:val="Compact"/>
                    <w:jc w:val="center"/>
                    <w:jc w:val="left"/>
                  </w:pPr>
                  <w:r>
                    <w:drawing>
                      <wp:inline>
                        <wp:extent cx="1975104" cy="1580083"/>
                        <wp:effectExtent b="0" l="0" r="0" t="0"/>
                        <wp:docPr descr="" title="" id="157" name="Picture"/>
                        <a:graphic>
                          <a:graphicData uri="http://schemas.openxmlformats.org/drawingml/2006/picture">
                            <pic:pic>
                              <pic:nvPicPr>
                                <pic:cNvPr descr="index_files/figure-docx/fig-clusters_embeddings_final-3.png" id="158" name="Picture"/>
                                <pic:cNvPicPr>
                                  <a:picLocks noChangeArrowheads="1" noChangeAspect="1"/>
                                </pic:cNvPicPr>
                              </pic:nvPicPr>
                              <pic:blipFill>
                                <a:blip r:embed="rId15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w:t>
                  </w:r>
                  <w:r>
                    <w:t xml:space="preserve"> </w:t>
                  </w:r>
                  <w:r>
                    <w:rPr>
                      <w:bCs/>
                      <w:b/>
                    </w:rPr>
                    <w:t xml:space="preserve">Cluster 3</w:t>
                  </w:r>
                  <w:r>
                    <w:t xml:space="preserve"> </w:t>
                  </w:r>
                  <w:r>
                    <w:t xml:space="preserve">embeddings (Spatial aphantasic cluster).</w:t>
                  </w:r>
                  <w:r>
                    <w:t xml:space="preserve">Within-cluster aligment accuracy = 94.01%.</w:t>
                  </w:r>
                </w:p>
                <w:bookmarkEnd w:id="159"/>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63" w:name="fig-clusters_embeddings_final-4"/>
                <w:p>
                  <w:pPr>
                    <w:pStyle w:val="Compact"/>
                    <w:jc w:val="center"/>
                    <w:jc w:val="left"/>
                  </w:pPr>
                  <w:r>
                    <w:drawing>
                      <wp:inline>
                        <wp:extent cx="1975104" cy="1580083"/>
                        <wp:effectExtent b="0" l="0" r="0" t="0"/>
                        <wp:docPr descr="" title="" id="161" name="Picture"/>
                        <a:graphic>
                          <a:graphicData uri="http://schemas.openxmlformats.org/drawingml/2006/picture">
                            <pic:pic>
                              <pic:nvPicPr>
                                <pic:cNvPr descr="index_files/figure-docx/fig-clusters_embeddings_final-4.png" id="162" name="Picture"/>
                                <pic:cNvPicPr>
                                  <a:picLocks noChangeArrowheads="1" noChangeAspect="1"/>
                                </pic:cNvPicPr>
                              </pic:nvPicPr>
                              <pic:blipFill>
                                <a:blip r:embed="rId16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w:t>
                  </w:r>
                  <w:r>
                    <w:t xml:space="preserve"> </w:t>
                  </w:r>
                  <w:r>
                    <w:rPr>
                      <w:bCs/>
                      <w:b/>
                    </w:rPr>
                    <w:t xml:space="preserve">Cluster 4</w:t>
                  </w:r>
                  <w:r>
                    <w:t xml:space="preserve"> </w:t>
                  </w:r>
                  <w:r>
                    <w:t xml:space="preserve">embeddings (Aphantasic cluster).</w:t>
                  </w:r>
                  <w:r>
                    <w:t xml:space="preserve">Within-cluster aligment accuracy = 85.03%.</w:t>
                  </w:r>
                </w:p>
                <w:bookmarkEnd w:id="16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7" w:name="fig-clusters_embeddings_final-5"/>
                <w:p>
                  <w:pPr>
                    <w:pStyle w:val="Compact"/>
                    <w:jc w:val="center"/>
                    <w:jc w:val="left"/>
                  </w:pPr>
                  <w:r>
                    <w:drawing>
                      <wp:inline>
                        <wp:extent cx="1975104" cy="1580083"/>
                        <wp:effectExtent b="0" l="0" r="0" t="0"/>
                        <wp:docPr descr="" title="" id="165" name="Picture"/>
                        <a:graphic>
                          <a:graphicData uri="http://schemas.openxmlformats.org/drawingml/2006/picture">
                            <pic:pic>
                              <pic:nvPicPr>
                                <pic:cNvPr descr="index_files/figure-docx/fig-clusters_embeddings_final-5.png" id="166" name="Picture"/>
                                <pic:cNvPicPr>
                                  <a:picLocks noChangeArrowheads="1" noChangeAspect="1"/>
                                </pic:cNvPicPr>
                              </pic:nvPicPr>
                              <pic:blipFill>
                                <a:blip r:embed="rId16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w:t>
                  </w:r>
                  <w:r>
                    <w:t xml:space="preserve"> </w:t>
                  </w:r>
                  <w:r>
                    <w:rPr>
                      <w:bCs/>
                      <w:b/>
                    </w:rPr>
                    <w:t xml:space="preserve">Cluster 5</w:t>
                  </w:r>
                  <w:r>
                    <w:t xml:space="preserve"> </w:t>
                  </w:r>
                  <w:r>
                    <w:t xml:space="preserve">embeddings (Verbal aphantasic cluster).</w:t>
                  </w:r>
                  <w:r>
                    <w:t xml:space="preserve">Within-cluster aligment accuracy = 96.88%.</w:t>
                  </w:r>
                </w:p>
                <w:bookmarkEnd w:id="16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1" w:name="fig-clusters_embeddings_final-6"/>
                <w:p>
                  <w:pPr>
                    <w:pStyle w:val="Compact"/>
                    <w:jc w:val="center"/>
                    <w:jc w:val="left"/>
                  </w:pPr>
                  <w:r>
                    <w:drawing>
                      <wp:inline>
                        <wp:extent cx="1975104" cy="1580083"/>
                        <wp:effectExtent b="0" l="0" r="0" t="0"/>
                        <wp:docPr descr="" title="" id="169" name="Picture"/>
                        <a:graphic>
                          <a:graphicData uri="http://schemas.openxmlformats.org/drawingml/2006/picture">
                            <pic:pic>
                              <pic:nvPicPr>
                                <pic:cNvPr descr="index_files/figure-docx/fig-clusters_embeddings_final-6.png" id="170" name="Picture"/>
                                <pic:cNvPicPr>
                                  <a:picLocks noChangeArrowheads="1" noChangeAspect="1"/>
                                </pic:cNvPicPr>
                              </pic:nvPicPr>
                              <pic:blipFill>
                                <a:blip r:embed="rId16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w:t>
                  </w:r>
                  <w:r>
                    <w:t xml:space="preserve"> </w:t>
                  </w:r>
                  <w:r>
                    <w:rPr>
                      <w:bCs/>
                      <w:b/>
                    </w:rPr>
                    <w:t xml:space="preserve">Cluster 6</w:t>
                  </w:r>
                  <w:r>
                    <w:t xml:space="preserve"> </w:t>
                  </w:r>
                  <w:r>
                    <w:t xml:space="preserve">embeddings (Verbal aphantasic cluster).</w:t>
                  </w:r>
                  <w:r>
                    <w:t xml:space="preserve">Within-cluster aligment accuracy = 81.80%.</w:t>
                  </w:r>
                </w:p>
                <w:bookmarkEnd w:id="17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75" w:name="fig-clusters_embeddings_final-7"/>
                <w:p>
                  <w:pPr>
                    <w:pStyle w:val="Compact"/>
                    <w:jc w:val="center"/>
                    <w:jc w:val="left"/>
                  </w:pPr>
                  <w:r>
                    <w:drawing>
                      <wp:inline>
                        <wp:extent cx="1975104" cy="1580083"/>
                        <wp:effectExtent b="0" l="0" r="0" t="0"/>
                        <wp:docPr descr="" title="" id="173" name="Picture"/>
                        <a:graphic>
                          <a:graphicData uri="http://schemas.openxmlformats.org/drawingml/2006/picture">
                            <pic:pic>
                              <pic:nvPicPr>
                                <pic:cNvPr descr="index_files/figure-docx/fig-clusters_embeddings_final-7.png" id="174" name="Picture"/>
                                <pic:cNvPicPr>
                                  <a:picLocks noChangeArrowheads="1" noChangeAspect="1"/>
                                </pic:cNvPicPr>
                              </pic:nvPicPr>
                              <pic:blipFill>
                                <a:blip r:embed="rId17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w:t>
                  </w:r>
                  <w:r>
                    <w:t xml:space="preserve"> </w:t>
                  </w:r>
                  <w:r>
                    <w:rPr>
                      <w:bCs/>
                      <w:b/>
                    </w:rPr>
                    <w:t xml:space="preserve">Cluster 7</w:t>
                  </w:r>
                  <w:r>
                    <w:t xml:space="preserve"> </w:t>
                  </w:r>
                  <w:r>
                    <w:t xml:space="preserve">embeddings (Phantasic cluster).</w:t>
                  </w:r>
                  <w:r>
                    <w:t xml:space="preserve">Within-cluster aligment accuracy = 98.23%.</w:t>
                  </w:r>
                </w:p>
                <w:bookmarkEnd w:id="17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9" w:name="fig-clusters_embeddings_final-8"/>
                <w:p>
                  <w:pPr>
                    <w:pStyle w:val="Compact"/>
                    <w:jc w:val="center"/>
                    <w:jc w:val="left"/>
                  </w:pPr>
                  <w:r>
                    <w:drawing>
                      <wp:inline>
                        <wp:extent cx="1975104" cy="1580083"/>
                        <wp:effectExtent b="0" l="0" r="0" t="0"/>
                        <wp:docPr descr="" title="" id="177" name="Picture"/>
                        <a:graphic>
                          <a:graphicData uri="http://schemas.openxmlformats.org/drawingml/2006/picture">
                            <pic:pic>
                              <pic:nvPicPr>
                                <pic:cNvPr descr="index_files/figure-docx/fig-clusters_embeddings_final-8.png" id="178" name="Picture"/>
                                <pic:cNvPicPr>
                                  <a:picLocks noChangeArrowheads="1" noChangeAspect="1"/>
                                </pic:cNvPicPr>
                              </pic:nvPicPr>
                              <pic:blipFill>
                                <a:blip r:embed="rId17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w:t>
                  </w:r>
                  <w:r>
                    <w:t xml:space="preserve"> </w:t>
                  </w:r>
                  <w:r>
                    <w:rPr>
                      <w:bCs/>
                      <w:b/>
                    </w:rPr>
                    <w:t xml:space="preserve">Cluster 8</w:t>
                  </w:r>
                  <w:r>
                    <w:t xml:space="preserve"> </w:t>
                  </w:r>
                  <w:r>
                    <w:t xml:space="preserve">embeddings (Phantasic cluster).</w:t>
                  </w:r>
                  <w:r>
                    <w:t xml:space="preserve">Within-cluster aligment accuracy = 74.64%.</w:t>
                  </w:r>
                </w:p>
                <w:bookmarkEnd w:id="17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3" w:name="fig-clusters_embeddings_final-9"/>
                <w:p>
                  <w:pPr>
                    <w:pStyle w:val="Compact"/>
                    <w:jc w:val="center"/>
                    <w:jc w:val="left"/>
                  </w:pPr>
                  <w:r>
                    <w:drawing>
                      <wp:inline>
                        <wp:extent cx="1975104" cy="1580083"/>
                        <wp:effectExtent b="0" l="0" r="0" t="0"/>
                        <wp:docPr descr="" title="" id="181" name="Picture"/>
                        <a:graphic>
                          <a:graphicData uri="http://schemas.openxmlformats.org/drawingml/2006/picture">
                            <pic:pic>
                              <pic:nvPicPr>
                                <pic:cNvPr descr="index_files/figure-docx/fig-clusters_embeddings_final-9.png" id="182" name="Picture"/>
                                <pic:cNvPicPr>
                                  <a:picLocks noChangeArrowheads="1" noChangeAspect="1"/>
                                </pic:cNvPicPr>
                              </pic:nvPicPr>
                              <pic:blipFill>
                                <a:blip r:embed="rId18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w:t>
                  </w:r>
                  <w:r>
                    <w:t xml:space="preserve"> </w:t>
                  </w:r>
                  <w:r>
                    <w:rPr>
                      <w:bCs/>
                      <w:b/>
                    </w:rPr>
                    <w:t xml:space="preserve">Cluster 9</w:t>
                  </w:r>
                  <w:r>
                    <w:t xml:space="preserve"> </w:t>
                  </w:r>
                  <w:r>
                    <w:t xml:space="preserve">embeddings (Phantasic cluster).</w:t>
                  </w:r>
                  <w:r>
                    <w:t xml:space="preserve">Within-cluster aligment accuracy = 42.45%.</w:t>
                  </w:r>
                </w:p>
                <w:bookmarkEnd w:id="183"/>
              </w:tc>
            </w:tr>
          </w:tbl>
          <w:p/>
        </w:tc>
      </w:tr>
    </w:tbl>
    <w:p>
      <w:pPr>
        <w:pStyle w:val="BodyText"/>
      </w:pPr>
      <w:pPr>
        <w:spacing w:before="200"/>
        <w:pStyle w:val="ImageCaption"/>
      </w:pPr>
      <w:r>
        <w:t xml:space="preserve">Figure 3.12: Psychological spaces (embeddings) of the 30 subjects, aligned and clustered with other subjects having the most similar representations. The eight colors represent the initial eight groups of species that each subject had to</w:t>
      </w:r>
      <w:r>
        <w:t xml:space="preserve"> </w:t>
      </w:r>
      <w:r>
        <w:t xml:space="preserve">‘</w:t>
      </w:r>
      <w:r>
        <w:t xml:space="preserve">represent</w:t>
      </w:r>
      <w:r>
        <w:t xml:space="preserve">’</w:t>
      </w:r>
      <w:r>
        <w:t xml:space="preserve"> </w:t>
      </w:r>
      <w:r>
        <w:t xml:space="preserve">with imagery (legends for these colors have been taken out for display clarity purposes).</w:t>
      </w:r>
      <w:r>
        <w:t xml:space="preserve"> </w:t>
      </w:r>
      <w:r>
        <w:rPr>
          <w:iCs/>
          <w:i/>
          <w:bCs/>
          <w:b/>
        </w:rPr>
        <w:t xml:space="preserve">Interact with the figures to see the details.</w:t>
      </w:r>
    </w:p>
    <w:bookmarkEnd w:id="184"/>
    <w:p>
      <w:r>
        <w:pict>
          <v:rect style="width:0;height:1.5pt" o:hralign="center" o:hrstd="t" o:hr="t"/>
        </w:pict>
      </w:r>
    </w:p>
    <w:bookmarkEnd w:id="185"/>
    <w:bookmarkEnd w:id="186"/>
    <w:bookmarkEnd w:id="187"/>
    <w:bookmarkStart w:id="189" w:name="summary-of-the-simulation-analysis"/>
    <w:p>
      <w:pPr>
        <w:pStyle w:val="Heading2"/>
      </w:pPr>
      <w:r>
        <w:t xml:space="preserve">3.4 Summary of the simulation analysis</w:t>
      </w:r>
    </w:p>
    <w:p>
      <w:pPr>
        <w:numPr>
          <w:ilvl w:val="0"/>
          <w:numId w:val="1006"/>
        </w:numPr>
      </w:pPr>
      <w:r>
        <w:t xml:space="preserve">We generated subject data on subjective imagery based on the Object-Spatial-Verbal model of cognitive styles and representations</w:t>
      </w:r>
    </w:p>
    <w:p>
      <w:pPr>
        <w:numPr>
          <w:ilvl w:val="0"/>
          <w:numId w:val="1006"/>
        </w:numPr>
      </w:pPr>
      <w:r>
        <w:t xml:space="preserve">We translated this model into a model of the distances between participants’ mental representations</w:t>
      </w:r>
    </w:p>
    <w:p>
      <w:pPr>
        <w:numPr>
          <w:ilvl w:val="0"/>
          <w:numId w:val="1006"/>
        </w:numPr>
      </w:pPr>
      <w:r>
        <w:t xml:space="preserve">We generated random data based on this theoretical model, on the representations of 64 items with categorical and visual properties by 30 participants</w:t>
      </w:r>
    </w:p>
    <w:p>
      <w:pPr>
        <w:numPr>
          <w:ilvl w:val="0"/>
          <w:numId w:val="1006"/>
        </w:numPr>
      </w:pPr>
      <w:r>
        <w:t xml:space="preserve">We used an unsupervised alignment algorithm to judge the similarity between the representations of the subjects without any knowledge of their initial groups and relations</w:t>
      </w:r>
    </w:p>
    <w:p>
      <w:pPr>
        <w:numPr>
          <w:ilvl w:val="0"/>
          <w:numId w:val="1006"/>
        </w:numPr>
      </w:pPr>
      <w:r>
        <w:t xml:space="preserve">The algorithm aligned with high precision 9 clusters of participants, which were coherent with the initial model we created, with several differences and unexpected alignments due to the randomization.</w:t>
      </w:r>
    </w:p>
    <w:p>
      <w:pPr>
        <w:numPr>
          <w:ilvl w:val="0"/>
          <w:numId w:val="1006"/>
        </w:numPr>
      </w:pPr>
      <w:r>
        <w:t xml:space="preserve">The 9 clusters revealed a distinction between verbal aphantasics, spatial aphantasics, and phantasics in general. This interesting result shows that even though we tried to model spatial aphants and phantasics closer to each other, they all ended up separated based on visual imagery. This unexpected outcome, that went besides our initial intentions, shows that such an unsupervised method could reveal coherent patterns of representations that we did not expect, even with a relevant psychometric model.</w:t>
      </w:r>
    </w:p>
    <w:p>
      <w:pPr>
        <w:pStyle w:val="FirstParagraph"/>
      </w:pPr>
      <w:r>
        <w:t xml:space="preserve">This simulation motivates the idea that, should the imagery of participants be accurately fitted by our OSV model (or any other model to be tested), this paradigm and analytic method would be able to align the representations of participants with the same subjective imagery abilities.</w:t>
      </w:r>
    </w:p>
    <w:p>
      <w:pPr>
        <w:pStyle w:val="BodyText"/>
      </w:pPr>
      <w:r>
        <w:t xml:space="preserve">I insist on a key finding : I did not use the data of the OSV model presented in</w:t>
      </w:r>
      <w:r>
        <w:t xml:space="preserve"> </w:t>
      </w:r>
      <w:hyperlink w:anchor="sec-osv-model-theory">
        <w:r>
          <w:rPr>
            <w:rStyle w:val="Hyperlink"/>
          </w:rPr>
          <w:t xml:space="preserve">Section 3.1</w:t>
        </w:r>
      </w:hyperlink>
      <w:r>
        <w:t xml:space="preserve"> </w:t>
      </w:r>
      <w:r>
        <w:t xml:space="preserve">to generate the subject embeddings. The only hypothesis that guided how I simulated the subjects’ embeddings was the distance model I envisioned, which is represented in</w:t>
      </w:r>
      <w:r>
        <w:t xml:space="preserve"> </w:t>
      </w:r>
      <w:hyperlink w:anchor="fig-diagram-intermediate">
        <w:r>
          <w:rPr>
            <w:rStyle w:val="Hyperlink"/>
          </w:rPr>
          <w:t xml:space="preserve">Figure 3.5</w:t>
        </w:r>
      </w:hyperlink>
      <w:r>
        <w:t xml:space="preserve">. Thus,</w:t>
      </w:r>
      <w:r>
        <w:t xml:space="preserve"> </w:t>
      </w:r>
      <w:r>
        <w:rPr>
          <w:bCs/>
          <w:b/>
        </w:rPr>
        <w:t xml:space="preserve">the algorithm managed to reverse-engineer my logic</w:t>
      </w:r>
      <w:r>
        <w:t xml:space="preserve">, to find the subjects groups I simulated with this logic, and it so happens that these groups’ matched the cognitive profiles groups I built in the beginning.</w:t>
      </w:r>
    </w:p>
    <w:p>
      <w:pPr>
        <w:pStyle w:val="BodyText"/>
      </w:pPr>
      <w:r>
        <w:t xml:space="preserve">In other words, the algorithm managed to find the common pattern - which was the groups pattern - between two models built differently,</w:t>
      </w:r>
      <w:r>
        <w:t xml:space="preserve"> </w:t>
      </w:r>
      <w:r>
        <w:rPr>
          <w:iCs/>
          <w:i/>
          <w:bCs/>
          <w:b/>
        </w:rPr>
        <w:t xml:space="preserve">a common pattern that existed originally only in my head.</w:t>
      </w:r>
    </w:p>
    <w:p>
      <w:pPr>
        <w:pStyle w:val="BodyText"/>
      </w:pPr>
      <w:r>
        <w:t xml:space="preserve">I think this</w:t>
      </w:r>
      <w:r>
        <w:t xml:space="preserve"> </w:t>
      </w:r>
      <w:r>
        <w:t xml:space="preserve">“</w:t>
      </w:r>
      <w:r>
        <w:t xml:space="preserve">mind-reading</w:t>
      </w:r>
      <w:r>
        <w:t xml:space="preserve">”</w:t>
      </w:r>
      <w:r>
        <w:rPr>
          <w:rStyle w:val="FootnoteReference"/>
        </w:rPr>
        <w:footnoteReference w:id="188"/>
      </w:r>
      <w:r>
        <w:t xml:space="preserve"> </w:t>
      </w:r>
      <w:r>
        <w:t xml:space="preserve">further argues for the potential of this method to reveal hidden patterns of inter-individual differences in subjective experience. These patterns could help build models of subjective mental imagery, one of the most challenging tasks in cognitive psychology to date.</w:t>
      </w:r>
    </w:p>
    <w:bookmarkEnd w:id="189"/>
    <w:bookmarkEnd w:id="190"/>
    <w:bookmarkStart w:id="201" w:name="feasibility"/>
    <w:p>
      <w:pPr>
        <w:pStyle w:val="Heading1"/>
      </w:pPr>
      <w:r>
        <w:t xml:space="preserve">4. Feasibility</w:t>
      </w:r>
    </w:p>
    <w:bookmarkStart w:id="191" w:name="stimuli-and-study-design"/>
    <w:p>
      <w:pPr>
        <w:pStyle w:val="Heading2"/>
      </w:pPr>
      <w:r>
        <w:t xml:space="preserve">4.1 Stimuli and study design</w:t>
      </w:r>
    </w:p>
    <w:p>
      <w:pPr>
        <w:pStyle w:val="FirstParagraph"/>
      </w:pPr>
      <w:r>
        <w:t xml:space="preserve">The simulation study presented here focused on aligning the representations</w:t>
      </w:r>
      <w:r>
        <w:t xml:space="preserve"> </w:t>
      </w:r>
      <w:r>
        <w:rPr>
          <w:iCs/>
          <w:i/>
          <w:bCs/>
          <w:b/>
        </w:rPr>
        <w:t xml:space="preserve">between</w:t>
      </w:r>
      <w:r>
        <w:t xml:space="preserve"> </w:t>
      </w:r>
      <w:r>
        <w:t xml:space="preserve">various participants, but a real study should go further and also analyse the similarities of representations</w:t>
      </w:r>
      <w:r>
        <w:t xml:space="preserve"> </w:t>
      </w:r>
      <w:r>
        <w:rPr>
          <w:iCs/>
          <w:i/>
          <w:bCs/>
          <w:b/>
        </w:rPr>
        <w:t xml:space="preserve">within</w:t>
      </w:r>
      <w:r>
        <w:t xml:space="preserve"> </w:t>
      </w:r>
      <w:r>
        <w:t xml:space="preserve">participants, for instance with a perception and an imagery condition. This was the basis of the study of</w:t>
      </w:r>
      <w:r>
        <w:t xml:space="preserve"> </w:t>
      </w:r>
      <w:r>
        <w:t xml:space="preserve">Shepard &amp; Chipman (1970)</w:t>
      </w:r>
      <w:r>
        <w:t xml:space="preserve">, and remains a good starting point to design our own.</w:t>
      </w:r>
    </w:p>
    <w:bookmarkEnd w:id="191"/>
    <w:bookmarkStart w:id="192" w:name="sec-online-study-materials"/>
    <w:p>
      <w:pPr>
        <w:pStyle w:val="Heading2"/>
      </w:pPr>
      <w:r>
        <w:t xml:space="preserve">4.2 Online study materials</w:t>
      </w:r>
    </w:p>
    <w:bookmarkEnd w:id="192"/>
    <w:bookmarkStart w:id="200" w:name="analytic-methods-and-collaborations"/>
    <w:p>
      <w:pPr>
        <w:pStyle w:val="Heading2"/>
      </w:pPr>
      <w:r>
        <w:t xml:space="preserve">4.3 Analytic methods and collaborations</w:t>
      </w:r>
    </w:p>
    <w:p>
      <w:pPr>
        <w:pStyle w:val="FirstParagraph"/>
      </w:pPr>
      <w:r>
        <w:t xml:space="preserve">I have proved (</w:t>
      </w:r>
      <w:r>
        <w:rPr>
          <w:iCs/>
          <w:i/>
        </w:rPr>
        <w:t xml:space="preserve">mostly to myself</w:t>
      </w:r>
      <w:r>
        <w:t xml:space="preserve">) that I was capable of implementing unsupervised GWOT alignment analysis in Python and R using the open-source toolbox provided by</w:t>
      </w:r>
      <w:r>
        <w:t xml:space="preserve"> </w:t>
      </w:r>
      <w:r>
        <w:t xml:space="preserve">Sasaki et al. (2023)</w:t>
      </w:r>
      <w:r>
        <w:t xml:space="preserve">, firstly to demonstrate that this key feasibility aspect was not out of reach (and that I was prepared to handle it). This toolbox is very recent (the associated article was posted on bioR</w:t>
      </w:r>
      <m:oMath>
        <m:r>
          <m:t>χ</m:t>
        </m:r>
      </m:oMath>
      <w:r>
        <w:t xml:space="preserve">iv last September) but is based on long-standing theory on similarity and cutting-edge topology analysis research. Consequently, I may not be confident enough on my expertise in these fields to state with confidence that my analyses of this project’s data would be solid, which is a very important aspect for me. I need to be convinced by analytical choices, which are often taken for granted, to believe in their results and implications. I’m convinced of the relevance of what I’ve done here, but in the context a real application, even more expertise (and other analytical points of view) would be most welcome.</w:t>
      </w:r>
    </w:p>
    <w:p>
      <w:pPr>
        <w:pStyle w:val="BodyText"/>
      </w:pPr>
      <w:r>
        <w:t xml:space="preserve">Therefore, I think that this project could be the opportunity to collaborate with several teams working in these fields that have great data analysis expertise.</w:t>
      </w:r>
    </w:p>
    <w:p>
      <w:pPr>
        <w:numPr>
          <w:ilvl w:val="0"/>
          <w:numId w:val="1007"/>
        </w:numPr>
      </w:pPr>
      <w:r>
        <w:t xml:space="preserve">Starting of course with</w:t>
      </w:r>
      <w:r>
        <w:t xml:space="preserve"> </w:t>
      </w:r>
      <w:hyperlink r:id="rId193">
        <w:r>
          <w:rPr>
            <w:rStyle w:val="Hyperlink"/>
            <w:bCs/>
            <w:b/>
          </w:rPr>
          <w:t xml:space="preserve">Ladislas Nalborczyk</w:t>
        </w:r>
      </w:hyperlink>
      <w:r>
        <w:t xml:space="preserve"> </w:t>
      </w:r>
      <w:r>
        <w:t xml:space="preserve">(who gave me this idea), who works on synesthesia and inner speech aphantasia at the</w:t>
      </w:r>
      <w:r>
        <w:t xml:space="preserve"> </w:t>
      </w:r>
      <w:r>
        <w:rPr>
          <w:iCs/>
          <w:i/>
        </w:rPr>
        <w:t xml:space="preserve">Paris Brain Institute</w:t>
      </w:r>
      <w:r>
        <w:t xml:space="preserve"> </w:t>
      </w:r>
      <w:r>
        <w:t xml:space="preserve">with</w:t>
      </w:r>
      <w:r>
        <w:t xml:space="preserve"> </w:t>
      </w:r>
      <w:r>
        <w:rPr>
          <w:bCs/>
          <w:b/>
        </w:rPr>
        <w:t xml:space="preserve">Laurent Cohen</w:t>
      </w:r>
      <w:r>
        <w:t xml:space="preserve"> </w:t>
      </w:r>
      <w:r>
        <w:t xml:space="preserve">and</w:t>
      </w:r>
      <w:r>
        <w:t xml:space="preserve"> </w:t>
      </w:r>
      <w:r>
        <w:rPr>
          <w:bCs/>
          <w:b/>
        </w:rPr>
        <w:t xml:space="preserve">Stanislas Dehaene</w:t>
      </w:r>
      <w:r>
        <w:t xml:space="preserve">.</w:t>
      </w:r>
    </w:p>
    <w:p>
      <w:pPr>
        <w:numPr>
          <w:ilvl w:val="0"/>
          <w:numId w:val="1007"/>
        </w:numPr>
      </w:pPr>
      <w:hyperlink r:id="rId194">
        <w:r>
          <w:rPr>
            <w:rStyle w:val="Hyperlink"/>
            <w:bCs/>
            <w:b/>
          </w:rPr>
          <w:t xml:space="preserve">Nikolaus Kriegeskorte</w:t>
        </w:r>
      </w:hyperlink>
      <w:r>
        <w:t xml:space="preserve">, one of the creators of the famous Representational Similarity Analysis</w:t>
      </w:r>
      <w:r>
        <w:t xml:space="preserve"> </w:t>
      </w:r>
      <w:r>
        <w:t xml:space="preserve">(RSA, another</w:t>
      </w:r>
      <w:r>
        <w:t xml:space="preserve"> </w:t>
      </w:r>
      <w:r>
        <w:rPr>
          <w:iCs/>
          <w:i/>
        </w:rPr>
        <w:t xml:space="preserve">supervised</w:t>
      </w:r>
      <w:r>
        <w:t xml:space="preserve"> </w:t>
      </w:r>
      <w:r>
        <w:t xml:space="preserve">alignment method, see Kriegeskorte et al., 2008)</w:t>
      </w:r>
      <w:r>
        <w:t xml:space="preserve"> </w:t>
      </w:r>
      <w:r>
        <w:t xml:space="preserve">and his colleagues could be precious collaborators for alignment analyses and study materials.</w:t>
      </w:r>
    </w:p>
    <w:p>
      <w:pPr>
        <w:numPr>
          <w:ilvl w:val="0"/>
          <w:numId w:val="1007"/>
        </w:numPr>
      </w:pPr>
      <w:r>
        <w:t xml:space="preserve">The Japanese team of</w:t>
      </w:r>
      <w:r>
        <w:t xml:space="preserve"> </w:t>
      </w:r>
      <w:hyperlink r:id="rId195">
        <w:r>
          <w:rPr>
            <w:rStyle w:val="Hyperlink"/>
            <w:bCs/>
            <w:b/>
          </w:rPr>
          <w:t xml:space="preserve">Masafumi Oizumi</w:t>
        </w:r>
      </w:hyperlink>
      <w:r>
        <w:t xml:space="preserve"> </w:t>
      </w:r>
      <w:r>
        <w:t xml:space="preserve">behind the GWOT toolbox is of course also very knowledgeable on the subject, the method, and its technical implementation.</w:t>
      </w:r>
    </w:p>
    <w:p>
      <w:pPr>
        <w:numPr>
          <w:ilvl w:val="0"/>
          <w:numId w:val="1007"/>
        </w:numPr>
      </w:pPr>
      <w:r>
        <w:t xml:space="preserve">They are collaborating with the Australia-based team of</w:t>
      </w:r>
      <w:r>
        <w:t xml:space="preserve"> </w:t>
      </w:r>
      <w:hyperlink r:id="rId196">
        <w:r>
          <w:rPr>
            <w:rStyle w:val="Hyperlink"/>
            <w:bCs/>
            <w:b/>
          </w:rPr>
          <w:t xml:space="preserve">Naotsugu Tsuchiya</w:t>
        </w:r>
      </w:hyperlink>
      <w:r>
        <w:t xml:space="preserve">, with whom they recently published several very interesting articles on similarity as a concept and method for perception research</w:t>
      </w:r>
      <w:r>
        <w:t xml:space="preserve"> </w:t>
      </w:r>
      <w:r>
        <w:t xml:space="preserve">(Kawakita et al., n.d., 2023; e.g. Tsuchiya et al., 2022; Zeleznikow-Johnston et al., 2023)</w:t>
      </w:r>
      <w:r>
        <w:t xml:space="preserve">.</w:t>
      </w:r>
    </w:p>
    <w:p>
      <w:pPr>
        <w:numPr>
          <w:ilvl w:val="0"/>
          <w:numId w:val="1007"/>
        </w:numPr>
      </w:pPr>
      <w:r>
        <w:t xml:space="preserve">Visiting</w:t>
      </w:r>
      <w:r>
        <w:t xml:space="preserve"> </w:t>
      </w:r>
      <w:hyperlink r:id="rId196">
        <w:r>
          <w:rPr>
            <w:rStyle w:val="Hyperlink"/>
          </w:rPr>
          <w:t xml:space="preserve">Tsuchiya’s webpage</w:t>
        </w:r>
      </w:hyperlink>
      <w:r>
        <w:t xml:space="preserve">, I also found an amazing chain of connections that lead us to his team. Tsuchiya also works on sleep and dreams and has collaborated several times with</w:t>
      </w:r>
      <w:r>
        <w:t xml:space="preserve"> </w:t>
      </w:r>
      <w:hyperlink r:id="rId197">
        <w:r>
          <w:rPr>
            <w:rStyle w:val="Hyperlink"/>
            <w:bCs/>
            <w:b/>
          </w:rPr>
          <w:t xml:space="preserve">Thomas Andrillon</w:t>
        </w:r>
      </w:hyperlink>
      <w:r>
        <w:t xml:space="preserve">, who works at the</w:t>
      </w:r>
      <w:r>
        <w:t xml:space="preserve"> </w:t>
      </w:r>
      <w:r>
        <w:rPr>
          <w:iCs/>
          <w:i/>
        </w:rPr>
        <w:t xml:space="preserve">Paris Brain Institute</w:t>
      </w:r>
      <w:r>
        <w:t xml:space="preserve">, thus close to Dehaene, Cohen, Bartolomeo, and Nalborczyk, and is very technically knowledgeable. Even more interestingly, Andrillon is a co-author of</w:t>
      </w:r>
      <w:r>
        <w:t xml:space="preserve"> </w:t>
      </w:r>
      <w:hyperlink r:id="rId198">
        <w:r>
          <w:rPr>
            <w:rStyle w:val="Hyperlink"/>
          </w:rPr>
          <w:t xml:space="preserve">one of Alexei Dawes’ most famous papers on aphantasia</w:t>
        </w:r>
      </w:hyperlink>
      <w:r>
        <w:t xml:space="preserve">, probably because they surveyed aphantasics about dreams (looking at the author contributions, he apparently took part in the study concept, data analysis, and critical revisions). Further, Tsuchiya and Andrillon are co-directors of</w:t>
      </w:r>
      <w:r>
        <w:t xml:space="preserve"> </w:t>
      </w:r>
      <w:hyperlink r:id="rId199">
        <w:r>
          <w:rPr>
            <w:rStyle w:val="Hyperlink"/>
            <w:bCs/>
            <w:b/>
          </w:rPr>
          <w:t xml:space="preserve">Nicolas Decat</w:t>
        </w:r>
      </w:hyperlink>
      <w:r>
        <w:t xml:space="preserve">, whom I met at the</w:t>
      </w:r>
      <w:r>
        <w:t xml:space="preserve"> </w:t>
      </w:r>
      <w:r>
        <w:rPr>
          <w:iCs/>
          <w:i/>
        </w:rPr>
        <w:t xml:space="preserve">Immersion and Synesthesia Conference</w:t>
      </w:r>
      <w:r>
        <w:t xml:space="preserve"> </w:t>
      </w:r>
      <w:r>
        <w:t xml:space="preserve">where he gave another talk. So Tsuchiya and Andrillon might even have indirectly heard of our work! (Provided that my talk was noticeable enough for Nicolas - or anyone else - to tell them about it…)</w:t>
      </w:r>
    </w:p>
    <w:bookmarkEnd w:id="200"/>
    <w:bookmarkEnd w:id="201"/>
    <w:bookmarkStart w:id="240" w:name="conclusion"/>
    <w:p>
      <w:pPr>
        <w:pStyle w:val="Heading1"/>
      </w:pPr>
      <w:r>
        <w:t xml:space="preserve">Conclusion</w:t>
      </w:r>
    </w:p>
    <w:p>
      <w:pPr>
        <w:pStyle w:val="FirstParagraph"/>
      </w:pPr>
      <w:r>
        <w:t xml:space="preserve">Using the unsupervised alignment method that we exposed and tested in this report, Kawakita have shown that relational properties of color representations were universally shared by color-neurotypical individuals, but structurally different from color-atypical individuals. Yet intriguingly, their results also support the hypothesis that color-atypical individuals have a different structure of their color representations, rather than simply failing to experience certain colors. This observation on color-atypical individuals, which emerges primarily from the novel consideration of color representation in a psychological space, foreshadows of the potential of this technique to demystify aphantasia.Such perspectives open up unexpected avenues of research to address the impossibility of comparing subjective experiences using psychophysical science.</w:t>
      </w:r>
    </w:p>
    <w:p>
      <w:pPr>
        <w:pStyle w:val="BodyText"/>
      </w:pPr>
      <w:r>
        <w:t xml:space="preserve">I tried to show in this project report that this type of (very simple) paradigm focusing on similarities between participants’ subjective representations, combined with a state-of-the-art unsupervised alignment method that I was able to implement using an open-source Python scientific toolbox, can be extremely promising for objectifying the difference (or lack of difference) between people’s representational formats. This objectification is intrinsically tied to the idea of a link between similarities and representations, but we have good evidence to support this hypothesis. So, provided we create a good study design, this project would enable us to make robust inferences about the contents of analog representations (visual, spatial, auditory-verbal) of aphantasics and phantasics, independent of any subjective assumptions or relationships.</w:t>
      </w:r>
    </w:p>
    <w:bookmarkStart w:id="239" w:name="refs"/>
    <w:bookmarkStart w:id="203" w:name="X7c871119e1ecc8924bd13290bba16d59db260af"/>
    <w:p>
      <w:pPr>
        <w:pStyle w:val="Bibliography"/>
      </w:pPr>
      <w:r>
        <w:t xml:space="preserve">Bainbridge, W. A., Pounder, Z., Eardley, A. F., &amp; Baker, C. I. (2021). Quantifying aphantasia through drawing: Those without visual imagery show deficits in object but not spatial memory.</w:t>
      </w:r>
      <w:r>
        <w:t xml:space="preserve"> </w:t>
      </w:r>
      <w:r>
        <w:rPr>
          <w:iCs/>
          <w:i/>
        </w:rPr>
        <w:t xml:space="preserve">Cortex</w:t>
      </w:r>
      <w:r>
        <w:t xml:space="preserve">,</w:t>
      </w:r>
      <w:r>
        <w:t xml:space="preserve"> </w:t>
      </w:r>
      <w:r>
        <w:rPr>
          <w:iCs/>
          <w:i/>
        </w:rPr>
        <w:t xml:space="preserve">135</w:t>
      </w:r>
      <w:r>
        <w:t xml:space="preserve">, 159–172.</w:t>
      </w:r>
      <w:r>
        <w:t xml:space="preserve"> </w:t>
      </w:r>
      <w:hyperlink r:id="rId202">
        <w:r>
          <w:rPr>
            <w:rStyle w:val="Hyperlink"/>
          </w:rPr>
          <w:t xml:space="preserve">https://doi.org/10.1016/j.cortex.2020.11.014</w:t>
        </w:r>
      </w:hyperlink>
    </w:p>
    <w:bookmarkEnd w:id="203"/>
    <w:bookmarkStart w:id="205" w:name="ref-decockSimilarityGoodman2011"/>
    <w:p>
      <w:pPr>
        <w:pStyle w:val="Bibliography"/>
      </w:pPr>
      <w:r>
        <w:t xml:space="preserve">Decock, L., &amp; Douven, I. (2011). Similarity After Goodman.</w:t>
      </w:r>
      <w:r>
        <w:t xml:space="preserve"> </w:t>
      </w:r>
      <w:r>
        <w:rPr>
          <w:iCs/>
          <w:i/>
        </w:rPr>
        <w:t xml:space="preserve">Review of Philosophy and Psychology</w:t>
      </w:r>
      <w:r>
        <w:t xml:space="preserve">,</w:t>
      </w:r>
      <w:r>
        <w:t xml:space="preserve"> </w:t>
      </w:r>
      <w:r>
        <w:rPr>
          <w:iCs/>
          <w:i/>
        </w:rPr>
        <w:t xml:space="preserve">2</w:t>
      </w:r>
      <w:r>
        <w:t xml:space="preserve">(1), 61–75.</w:t>
      </w:r>
      <w:r>
        <w:t xml:space="preserve"> </w:t>
      </w:r>
      <w:hyperlink r:id="rId204">
        <w:r>
          <w:rPr>
            <w:rStyle w:val="Hyperlink"/>
          </w:rPr>
          <w:t xml:space="preserve">https://doi.org/10.1007/s13164-010-0035-y</w:t>
        </w:r>
      </w:hyperlink>
    </w:p>
    <w:bookmarkEnd w:id="205"/>
    <w:bookmarkStart w:id="206" w:name="ref-fechner1860"/>
    <w:p>
      <w:pPr>
        <w:pStyle w:val="Bibliography"/>
      </w:pPr>
      <w:r>
        <w:t xml:space="preserve">Fechner, G. T. (1860).</w:t>
      </w:r>
      <w:r>
        <w:t xml:space="preserve"> </w:t>
      </w:r>
      <w:r>
        <w:rPr>
          <w:iCs/>
          <w:i/>
        </w:rPr>
        <w:t xml:space="preserve">Elemente der Psychophysik</w:t>
      </w:r>
      <w:r>
        <w:t xml:space="preserve">. Breitkopf u. Härtel.</w:t>
      </w:r>
    </w:p>
    <w:bookmarkEnd w:id="206"/>
    <w:bookmarkStart w:id="207" w:name="X3132d861eef89b97cca2f6adb9a9500dc84dbce"/>
    <w:p>
      <w:pPr>
        <w:pStyle w:val="Bibliography"/>
      </w:pPr>
      <w:r>
        <w:t xml:space="preserve">Gardenfors, P. (2004a).</w:t>
      </w:r>
      <w:r>
        <w:t xml:space="preserve"> </w:t>
      </w:r>
      <w:r>
        <w:rPr>
          <w:iCs/>
          <w:i/>
        </w:rPr>
        <w:t xml:space="preserve">Conceptual spaces as a framework for knowledge representation</w:t>
      </w:r>
      <w:r>
        <w:t xml:space="preserve">.</w:t>
      </w:r>
    </w:p>
    <w:bookmarkEnd w:id="207"/>
    <w:bookmarkStart w:id="208" w:name="ref-gardenfors2004"/>
    <w:p>
      <w:pPr>
        <w:pStyle w:val="Bibliography"/>
      </w:pPr>
      <w:r>
        <w:t xml:space="preserve">Gardenfors, P. (2004b).</w:t>
      </w:r>
      <w:r>
        <w:t xml:space="preserve"> </w:t>
      </w:r>
      <w:r>
        <w:rPr>
          <w:iCs/>
          <w:i/>
        </w:rPr>
        <w:t xml:space="preserve">Conceptual Spaces as a Framework for Knowledge Representation</w:t>
      </w:r>
      <w:r>
        <w:t xml:space="preserve">.</w:t>
      </w:r>
    </w:p>
    <w:bookmarkEnd w:id="208"/>
    <w:bookmarkStart w:id="209" w:name="ref-goodmanSevenStricturesSimilarity1972"/>
    <w:p>
      <w:pPr>
        <w:pStyle w:val="Bibliography"/>
      </w:pPr>
      <w:r>
        <w:t xml:space="preserve">Goodman, N. (1972).</w:t>
      </w:r>
      <w:r>
        <w:t xml:space="preserve"> </w:t>
      </w:r>
      <w:r>
        <w:rPr>
          <w:iCs/>
          <w:i/>
        </w:rPr>
        <w:t xml:space="preserve">Seven strictures on similarity</w:t>
      </w:r>
      <w:r>
        <w:t xml:space="preserve">. Bobs-Merril.</w:t>
      </w:r>
    </w:p>
    <w:bookmarkEnd w:id="209"/>
    <w:bookmarkStart w:id="211" w:name="ref-jozwik2016"/>
    <w:p>
      <w:pPr>
        <w:pStyle w:val="Bibliography"/>
      </w:pPr>
      <w:r>
        <w:t xml:space="preserve">Jozwik, K. M., Kriegeskorte, N., &amp; Mur, M. (2016). Visual features as stepping stones toward semantics: Explaining object similarity in IT and perception with non-negative least squares.</w:t>
      </w:r>
      <w:r>
        <w:t xml:space="preserve"> </w:t>
      </w:r>
      <w:r>
        <w:rPr>
          <w:iCs/>
          <w:i/>
        </w:rPr>
        <w:t xml:space="preserve">Neuropsychologia</w:t>
      </w:r>
      <w:r>
        <w:t xml:space="preserve">,</w:t>
      </w:r>
      <w:r>
        <w:t xml:space="preserve"> </w:t>
      </w:r>
      <w:r>
        <w:rPr>
          <w:iCs/>
          <w:i/>
        </w:rPr>
        <w:t xml:space="preserve">83</w:t>
      </w:r>
      <w:r>
        <w:t xml:space="preserve">, 201–226.</w:t>
      </w:r>
      <w:r>
        <w:t xml:space="preserve"> </w:t>
      </w:r>
      <w:hyperlink r:id="rId210">
        <w:r>
          <w:rPr>
            <w:rStyle w:val="Hyperlink"/>
          </w:rPr>
          <w:t xml:space="preserve">https://doi.org/10.1016/j.neuropsychologia.2015.10.023</w:t>
        </w:r>
      </w:hyperlink>
    </w:p>
    <w:bookmarkEnd w:id="211"/>
    <w:bookmarkStart w:id="213" w:name="ref-jozwik2017"/>
    <w:p>
      <w:pPr>
        <w:pStyle w:val="Bibliography"/>
      </w:pPr>
      <w:r>
        <w:t xml:space="preserve">Jozwik, K. M., Kriegeskorte, N., Storrs, K. R., &amp; Mur, M. (2017). Deep convolutional neural networks outperform feature-based but not categorical models in explaining object similarity judgments.</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12">
        <w:r>
          <w:rPr>
            <w:rStyle w:val="Hyperlink"/>
          </w:rPr>
          <w:t xml:space="preserve">https://www.frontiersin.org/articles/10.3389/fpsyg.2017.01726</w:t>
        </w:r>
      </w:hyperlink>
    </w:p>
    <w:bookmarkEnd w:id="213"/>
    <w:bookmarkStart w:id="214" w:name="ref-kawakita2023"/>
    <w:p>
      <w:pPr>
        <w:pStyle w:val="Bibliography"/>
      </w:pPr>
      <w:r>
        <w:t xml:space="preserve">Kawakita, G., Zeleznikow-Johnston, A., Takeda, K., Tsuchiya, N., &amp; Oizumi, M. (2023).</w:t>
      </w:r>
      <w:r>
        <w:t xml:space="preserve"> </w:t>
      </w:r>
      <w:r>
        <w:rPr>
          <w:iCs/>
          <w:i/>
        </w:rPr>
        <w:t xml:space="preserve">Is my</w:t>
      </w:r>
      <w:r>
        <w:rPr>
          <w:iCs/>
          <w:i/>
        </w:rPr>
        <w:t xml:space="preserve">"</w:t>
      </w:r>
      <w:r>
        <w:rPr>
          <w:iCs/>
          <w:i/>
        </w:rPr>
        <w:t xml:space="preserve"> </w:t>
      </w:r>
      <w:r>
        <w:rPr>
          <w:iCs/>
          <w:i/>
        </w:rPr>
        <w:t xml:space="preserve">red</w:t>
      </w:r>
      <w:r>
        <w:rPr>
          <w:iCs/>
          <w:i/>
        </w:rPr>
        <w:t xml:space="preserve">"</w:t>
      </w:r>
      <w:r>
        <w:rPr>
          <w:iCs/>
          <w:i/>
        </w:rPr>
        <w:t xml:space="preserve"> </w:t>
      </w:r>
      <w:r>
        <w:rPr>
          <w:iCs/>
          <w:i/>
        </w:rPr>
        <w:t xml:space="preserve">your</w:t>
      </w:r>
      <w:r>
        <w:rPr>
          <w:iCs/>
          <w:i/>
        </w:rPr>
        <w:t xml:space="preserve">"</w:t>
      </w:r>
      <w:r>
        <w:rPr>
          <w:iCs/>
          <w:i/>
        </w:rPr>
        <w:t xml:space="preserve"> </w:t>
      </w:r>
      <w:r>
        <w:rPr>
          <w:iCs/>
          <w:i/>
        </w:rPr>
        <w:t xml:space="preserve">red</w:t>
      </w:r>
      <w:r>
        <w:rPr>
          <w:iCs/>
          <w:i/>
        </w:rPr>
        <w:t xml:space="preserve">"</w:t>
      </w:r>
      <w:r>
        <w:rPr>
          <w:iCs/>
          <w:i/>
        </w:rPr>
        <w:t xml:space="preserve">?: Unsupervised alignment of qualia structures via optimal transport</w:t>
      </w:r>
      <w:r>
        <w:t xml:space="preserve">.</w:t>
      </w:r>
    </w:p>
    <w:bookmarkEnd w:id="214"/>
    <w:bookmarkStart w:id="216" w:name="ref-kawakitaComparingColorSimilarity2023"/>
    <w:p>
      <w:pPr>
        <w:pStyle w:val="Bibliography"/>
      </w:pPr>
      <w:r>
        <w:t xml:space="preserve">Kawakita, G., Zeleznikow-Johnston, A., Tsuchiya, N., &amp; Oizumi, M. (n.d.).</w:t>
      </w:r>
      <w:r>
        <w:t xml:space="preserve"> </w:t>
      </w:r>
      <w:r>
        <w:rPr>
          <w:iCs/>
          <w:i/>
        </w:rPr>
        <w:t xml:space="preserve">Comparing color similarity structures between humans and LLMs via unsupervised alignment</w:t>
      </w:r>
      <w:r>
        <w:t xml:space="preserve">.</w:t>
      </w:r>
      <w:r>
        <w:t xml:space="preserve"> </w:t>
      </w:r>
      <w:hyperlink r:id="rId215">
        <w:r>
          <w:rPr>
            <w:rStyle w:val="Hyperlink"/>
          </w:rPr>
          <w:t xml:space="preserve">https://doi.org/10.48550/arXiv.2308.04381</w:t>
        </w:r>
      </w:hyperlink>
    </w:p>
    <w:bookmarkEnd w:id="216"/>
    <w:bookmarkStart w:id="218" w:name="ref-kriegeskorteInverseMDSInferring2012"/>
    <w:p>
      <w:pPr>
        <w:pStyle w:val="Bibliography"/>
      </w:pPr>
      <w:r>
        <w:t xml:space="preserve">Kriegeskorte, N., &amp; Mur, M. (2012). Inverse MDS: Inferring dissimilarity structure from multiple item arrangements.</w:t>
      </w:r>
      <w:r>
        <w:t xml:space="preserve"> </w:t>
      </w:r>
      <w:r>
        <w:rPr>
          <w:iCs/>
          <w:i/>
        </w:rPr>
        <w:t xml:space="preserve">Frontiers in Psychology</w:t>
      </w:r>
      <w:r>
        <w:t xml:space="preserve">,</w:t>
      </w:r>
      <w:r>
        <w:t xml:space="preserve"> </w:t>
      </w:r>
      <w:r>
        <w:rPr>
          <w:iCs/>
          <w:i/>
        </w:rPr>
        <w:t xml:space="preserve">3</w:t>
      </w:r>
      <w:r>
        <w:t xml:space="preserve">.</w:t>
      </w:r>
      <w:r>
        <w:t xml:space="preserve"> </w:t>
      </w:r>
      <w:hyperlink r:id="rId217">
        <w:r>
          <w:rPr>
            <w:rStyle w:val="Hyperlink"/>
          </w:rPr>
          <w:t xml:space="preserve">https://www.frontiersin.org/articles/10.3389/fpsyg.2012.00245</w:t>
        </w:r>
      </w:hyperlink>
    </w:p>
    <w:bookmarkEnd w:id="218"/>
    <w:bookmarkStart w:id="220" w:name="ref-kriegeskorte2008"/>
    <w:p>
      <w:pPr>
        <w:pStyle w:val="Bibliography"/>
      </w:pPr>
      <w:r>
        <w:t xml:space="preserve">Kriegeskorte, N., Mur, M., &amp; Bandettini, P. (2008). Representational similarity analysis - connecting the branches of systems neuroscience.</w:t>
      </w:r>
      <w:r>
        <w:t xml:space="preserve"> </w:t>
      </w:r>
      <w:r>
        <w:rPr>
          <w:iCs/>
          <w:i/>
        </w:rPr>
        <w:t xml:space="preserve">Frontiers in Systems Neuroscience</w:t>
      </w:r>
      <w:r>
        <w:t xml:space="preserve">,</w:t>
      </w:r>
      <w:r>
        <w:t xml:space="preserve"> </w:t>
      </w:r>
      <w:r>
        <w:rPr>
          <w:iCs/>
          <w:i/>
        </w:rPr>
        <w:t xml:space="preserve">2</w:t>
      </w:r>
      <w:r>
        <w:t xml:space="preserve">.</w:t>
      </w:r>
      <w:r>
        <w:t xml:space="preserve"> </w:t>
      </w:r>
      <w:hyperlink r:id="rId219">
        <w:r>
          <w:rPr>
            <w:rStyle w:val="Hyperlink"/>
          </w:rPr>
          <w:t xml:space="preserve">https://www.frontiersin.org/articles/10.3389/neuro.06.004.2008</w:t>
        </w:r>
      </w:hyperlink>
    </w:p>
    <w:bookmarkEnd w:id="220"/>
    <w:bookmarkStart w:id="222" w:name="ref-mach1890a"/>
    <w:p>
      <w:pPr>
        <w:pStyle w:val="Bibliography"/>
      </w:pPr>
      <w:r>
        <w:t xml:space="preserve">Mach, E. (1890). The analysis of the sensations. antimetaphysical.</w:t>
      </w:r>
      <w:r>
        <w:t xml:space="preserve"> </w:t>
      </w:r>
      <w:r>
        <w:rPr>
          <w:iCs/>
          <w:i/>
        </w:rPr>
        <w:t xml:space="preserve">The Monist</w:t>
      </w:r>
      <w:r>
        <w:t xml:space="preserve">,</w:t>
      </w:r>
      <w:r>
        <w:t xml:space="preserve"> </w:t>
      </w:r>
      <w:r>
        <w:rPr>
          <w:iCs/>
          <w:i/>
        </w:rPr>
        <w:t xml:space="preserve">1</w:t>
      </w:r>
      <w:r>
        <w:t xml:space="preserve">(1), 48–68.</w:t>
      </w:r>
      <w:r>
        <w:t xml:space="preserve"> </w:t>
      </w:r>
      <w:hyperlink r:id="rId221">
        <w:r>
          <w:rPr>
            <w:rStyle w:val="Hyperlink"/>
          </w:rPr>
          <w:t xml:space="preserve">https://www.jstor.org/stable/27896829</w:t>
        </w:r>
      </w:hyperlink>
    </w:p>
    <w:bookmarkEnd w:id="222"/>
    <w:bookmarkStart w:id="224" w:name="Xe43584e477a93a17d1083acb2d4f0d13d725f75"/>
    <w:p>
      <w:pPr>
        <w:pStyle w:val="Bibliography"/>
      </w:pPr>
      <w:r>
        <w:t xml:space="preserve">Majewska, O., McCarthy, D., Bosch, J. van den, Kriegeskorte, N., Vulic, I., &amp; Korhonen, A.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223">
        <w:r>
          <w:rPr>
            <w:rStyle w:val="Hyperlink"/>
          </w:rPr>
          <w:t xml:space="preserve">https://www.repository.cam.ac.uk/handle/1810/306834</w:t>
        </w:r>
      </w:hyperlink>
    </w:p>
    <w:bookmarkEnd w:id="224"/>
    <w:bookmarkStart w:id="226" w:name="ref-marr1997"/>
    <w:p>
      <w:pPr>
        <w:pStyle w:val="Bibliography"/>
      </w:pPr>
      <w:r>
        <w:t xml:space="preserve">Marr, D., Nishihara, H. K., &amp; Brenner, S. (1997). Representation and recognition of the spatial organization of three-dimensional shapes.</w:t>
      </w:r>
      <w:r>
        <w:t xml:space="preserve"> </w:t>
      </w:r>
      <w:r>
        <w:rPr>
          <w:iCs/>
          <w:i/>
        </w:rPr>
        <w:t xml:space="preserve">Proceedings of the Royal Society of London. Series B. Biological Sciences</w:t>
      </w:r>
      <w:r>
        <w:t xml:space="preserve">,</w:t>
      </w:r>
      <w:r>
        <w:t xml:space="preserve"> </w:t>
      </w:r>
      <w:r>
        <w:rPr>
          <w:iCs/>
          <w:i/>
        </w:rPr>
        <w:t xml:space="preserve">200</w:t>
      </w:r>
      <w:r>
        <w:t xml:space="preserve">(1140), 269–294.</w:t>
      </w:r>
      <w:r>
        <w:t xml:space="preserve"> </w:t>
      </w:r>
      <w:hyperlink r:id="rId225">
        <w:r>
          <w:rPr>
            <w:rStyle w:val="Hyperlink"/>
          </w:rPr>
          <w:t xml:space="preserve">https://doi.org/10.1098/rspb.1978.0020</w:t>
        </w:r>
      </w:hyperlink>
    </w:p>
    <w:bookmarkEnd w:id="226"/>
    <w:bookmarkStart w:id="228" w:name="Xee5661106a83386ba9f8b0d24bf675c727c9561"/>
    <w:p>
      <w:pPr>
        <w:pStyle w:val="Bibliography"/>
      </w:pPr>
      <w:r>
        <w:t xml:space="preserve">Mur, M., Meys, M., Bodurka, J., Goebel, R., Bandettini, P., &amp; Kriegeskorte, N. (2013). Human object-similarity judgments reflect and transcend the primate-IT object representation.</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7">
        <w:r>
          <w:rPr>
            <w:rStyle w:val="Hyperlink"/>
          </w:rPr>
          <w:t xml:space="preserve">https://www.frontiersin.org/articles/10.3389/fpsyg.2013.00128</w:t>
        </w:r>
      </w:hyperlink>
    </w:p>
    <w:bookmarkEnd w:id="228"/>
    <w:bookmarkStart w:id="230" w:name="ref-roads2024"/>
    <w:p>
      <w:pPr>
        <w:pStyle w:val="Bibliography"/>
      </w:pPr>
      <w:r>
        <w:t xml:space="preserve">Roads, B. D., &amp; Love, B. C. (2024). Modeling similarity and psychological space.</w:t>
      </w:r>
      <w:r>
        <w:t xml:space="preserve"> </w:t>
      </w:r>
      <w:r>
        <w:rPr>
          <w:iCs/>
          <w:i/>
        </w:rPr>
        <w:t xml:space="preserve">Annual Review of Psychology</w:t>
      </w:r>
      <w:r>
        <w:t xml:space="preserve">,</w:t>
      </w:r>
      <w:r>
        <w:t xml:space="preserve"> </w:t>
      </w:r>
      <w:r>
        <w:rPr>
          <w:iCs/>
          <w:i/>
        </w:rPr>
        <w:t xml:space="preserve">75</w:t>
      </w:r>
      <w:r>
        <w:t xml:space="preserve">(1), 215–240.</w:t>
      </w:r>
      <w:r>
        <w:t xml:space="preserve"> </w:t>
      </w:r>
      <w:hyperlink r:id="rId229">
        <w:r>
          <w:rPr>
            <w:rStyle w:val="Hyperlink"/>
          </w:rPr>
          <w:t xml:space="preserve">https://doi.org/10.1146/annurev-psych-040323-115131</w:t>
        </w:r>
      </w:hyperlink>
    </w:p>
    <w:bookmarkEnd w:id="230"/>
    <w:bookmarkStart w:id="232" w:name="X10d0f92ef4de1595e98076bb964959be1fcb31e"/>
    <w:p>
      <w:pPr>
        <w:pStyle w:val="Bibliography"/>
      </w:pPr>
      <w:r>
        <w:t xml:space="preserve">Sasaki, M., Takeda, K., Abe, K., &amp; Oizumi, M. (2023).</w:t>
      </w:r>
      <w:r>
        <w:t xml:space="preserve"> </w:t>
      </w:r>
      <w:r>
        <w:rPr>
          <w:iCs/>
          <w:i/>
        </w:rPr>
        <w:t xml:space="preserve">Toolbox for gromov-wasserstein optimal transport: Application to unsupervised alignment in neuroscience</w:t>
      </w:r>
      <w:r>
        <w:t xml:space="preserve">.</w:t>
      </w:r>
      <w:r>
        <w:t xml:space="preserve"> </w:t>
      </w:r>
      <w:hyperlink r:id="rId231">
        <w:r>
          <w:rPr>
            <w:rStyle w:val="Hyperlink"/>
          </w:rPr>
          <w:t xml:space="preserve">https://doi.org/10.1101/2023.09.15.558038</w:t>
        </w:r>
      </w:hyperlink>
    </w:p>
    <w:bookmarkEnd w:id="232"/>
    <w:bookmarkStart w:id="234" w:name="Xe09c7f271fcdef7d418b12288f44fe2add4a0f3"/>
    <w:p>
      <w:pPr>
        <w:pStyle w:val="Bibliography"/>
      </w:pPr>
      <w:r>
        <w:t xml:space="preserve">Shepard, R. N., &amp; Chipman, S. (1970). Second-order isomorphism of internal representations: Shapes of states.</w:t>
      </w:r>
      <w:r>
        <w:t xml:space="preserve"> </w:t>
      </w:r>
      <w:r>
        <w:rPr>
          <w:iCs/>
          <w:i/>
        </w:rPr>
        <w:t xml:space="preserve">Cognitive Psychology</w:t>
      </w:r>
      <w:r>
        <w:t xml:space="preserve">,</w:t>
      </w:r>
      <w:r>
        <w:t xml:space="preserve"> </w:t>
      </w:r>
      <w:r>
        <w:rPr>
          <w:iCs/>
          <w:i/>
        </w:rPr>
        <w:t xml:space="preserve">1</w:t>
      </w:r>
      <w:r>
        <w:t xml:space="preserve">(1), 1–17.</w:t>
      </w:r>
      <w:r>
        <w:t xml:space="preserve"> </w:t>
      </w:r>
      <w:hyperlink r:id="rId233">
        <w:r>
          <w:rPr>
            <w:rStyle w:val="Hyperlink"/>
          </w:rPr>
          <w:t xml:space="preserve">https://doi.org/10.1016/0010-0285(70)90002-2</w:t>
        </w:r>
      </w:hyperlink>
    </w:p>
    <w:bookmarkEnd w:id="234"/>
    <w:bookmarkStart w:id="236" w:name="ref-tsuchiyaEnrichedCategoryModel2022"/>
    <w:p>
      <w:pPr>
        <w:pStyle w:val="Bibliography"/>
      </w:pPr>
      <w:r>
        <w:t xml:space="preserve">Tsuchiya, N., Phillips, S., &amp; Saigo, H. (2022). Enriched category as a model of qualia structure based on similarity judgements.</w:t>
      </w:r>
      <w:r>
        <w:t xml:space="preserve"> </w:t>
      </w:r>
      <w:r>
        <w:rPr>
          <w:iCs/>
          <w:i/>
        </w:rPr>
        <w:t xml:space="preserve">Consciousness and Cognition</w:t>
      </w:r>
      <w:r>
        <w:t xml:space="preserve">,</w:t>
      </w:r>
      <w:r>
        <w:t xml:space="preserve"> </w:t>
      </w:r>
      <w:r>
        <w:rPr>
          <w:iCs/>
          <w:i/>
        </w:rPr>
        <w:t xml:space="preserve">101</w:t>
      </w:r>
      <w:r>
        <w:t xml:space="preserve">, 103319.</w:t>
      </w:r>
      <w:r>
        <w:t xml:space="preserve"> </w:t>
      </w:r>
      <w:hyperlink r:id="rId235">
        <w:r>
          <w:rPr>
            <w:rStyle w:val="Hyperlink"/>
          </w:rPr>
          <w:t xml:space="preserve">https://doi.org/10.1016/j.concog.2022.103319</w:t>
        </w:r>
      </w:hyperlink>
    </w:p>
    <w:bookmarkEnd w:id="236"/>
    <w:bookmarkStart w:id="238" w:name="X2aa11b1185aeb12444043fc7de63c6a043f3484"/>
    <w:p>
      <w:pPr>
        <w:pStyle w:val="Bibliography"/>
      </w:pPr>
      <w:r>
        <w:t xml:space="preserve">Zeleznikow-Johnston, A., Aizawa, Y., Yamada, M., &amp; Tsuchiya, N. (2023). Are color experiences the same across the visual field?</w:t>
      </w:r>
      <w:r>
        <w:t xml:space="preserve"> </w:t>
      </w:r>
      <w:r>
        <w:rPr>
          <w:iCs/>
          <w:i/>
        </w:rPr>
        <w:t xml:space="preserve">Journal of Cognitive Neuroscience</w:t>
      </w:r>
      <w:r>
        <w:t xml:space="preserve">,</w:t>
      </w:r>
      <w:r>
        <w:t xml:space="preserve"> </w:t>
      </w:r>
      <w:r>
        <w:rPr>
          <w:iCs/>
          <w:i/>
        </w:rPr>
        <w:t xml:space="preserve">35</w:t>
      </w:r>
      <w:r>
        <w:t xml:space="preserve">(4), 509–542.</w:t>
      </w:r>
      <w:r>
        <w:t xml:space="preserve"> </w:t>
      </w:r>
      <w:hyperlink r:id="rId237">
        <w:r>
          <w:rPr>
            <w:rStyle w:val="Hyperlink"/>
          </w:rPr>
          <w:t xml:space="preserve">https://doi.org/10.1162/jocn_a_01962</w:t>
        </w:r>
      </w:hyperlink>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Most notably in the works of</w:t>
      </w:r>
      <w:r>
        <w:t xml:space="preserve"> </w:t>
      </w:r>
      <w:r>
        <w:t xml:space="preserve">Fechner (1860)</w:t>
      </w:r>
      <w:r>
        <w:t xml:space="preserve"> </w:t>
      </w:r>
      <w:r>
        <w:t xml:space="preserve">and</w:t>
      </w:r>
      <w:r>
        <w:t xml:space="preserve"> </w:t>
      </w:r>
      <w:r>
        <w:t xml:space="preserve">Mach (1890)</w:t>
      </w:r>
      <w:r>
        <w:t xml:space="preserve">; see also</w:t>
      </w:r>
      <w:r>
        <w:t xml:space="preserve"> </w:t>
      </w:r>
      <w:r>
        <w:t xml:space="preserve">Roads &amp; Love (2024)</w:t>
      </w:r>
      <w:r>
        <w:t xml:space="preserve"> </w:t>
      </w:r>
      <w:r>
        <w:t xml:space="preserve">for an extended review.</w:t>
      </w:r>
    </w:p>
  </w:footnote>
  <w:footnote w:id="188">
    <w:p>
      <w:pPr>
        <w:pStyle w:val="FootnoteText"/>
      </w:pPr>
      <w:r>
        <w:rPr>
          <w:rStyle w:val="FootnoteReference"/>
        </w:rPr>
        <w:footnoteRef/>
      </w:r>
      <w:r>
        <w:t xml:space="preserve"> </w:t>
      </w:r>
      <w:r>
        <w:t xml:space="preserve">Or, less prettily put,</w:t>
      </w:r>
      <w:r>
        <w:t xml:space="preserve"> </w:t>
      </w:r>
      <w:r>
        <w:t xml:space="preserve">“</w:t>
      </w:r>
      <w:r>
        <w:t xml:space="preserve">this unsupervised extraction of hidden representational features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132" Target="media/rId132.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27" Target="media/rId127.png" /><Relationship Type="http://schemas.openxmlformats.org/officeDocument/2006/relationships/image" Id="rId107" Target="media/rId10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138" Target="media/rId138.png" /><Relationship Type="http://schemas.openxmlformats.org/officeDocument/2006/relationships/image" Id="rId75" Target="media/rId75.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hyperlink" Id="rId204" Target="https://doi.org/10.1007/s13164-010-0035-y" TargetMode="External" /><Relationship Type="http://schemas.openxmlformats.org/officeDocument/2006/relationships/hyperlink" Id="rId233" Target="https://doi.org/10.1016/0010-0285(70)90002-2" TargetMode="External" /><Relationship Type="http://schemas.openxmlformats.org/officeDocument/2006/relationships/hyperlink" Id="rId235" Target="https://doi.org/10.1016/j.concog.2022.103319" TargetMode="External" /><Relationship Type="http://schemas.openxmlformats.org/officeDocument/2006/relationships/hyperlink" Id="rId202" Target="https://doi.org/10.1016/j.cortex.2020.11.014" TargetMode="External" /><Relationship Type="http://schemas.openxmlformats.org/officeDocument/2006/relationships/hyperlink" Id="rId210" Target="https://doi.org/10.1016/j.neuropsychologia.2015.10.023" TargetMode="External" /><Relationship Type="http://schemas.openxmlformats.org/officeDocument/2006/relationships/hyperlink" Id="rId225" Target="https://doi.org/10.1098/rspb.1978.0020" TargetMode="External" /><Relationship Type="http://schemas.openxmlformats.org/officeDocument/2006/relationships/hyperlink" Id="rId231" Target="https://doi.org/10.1101/2023.09.15.558038" TargetMode="External" /><Relationship Type="http://schemas.openxmlformats.org/officeDocument/2006/relationships/hyperlink" Id="rId229" Target="https://doi.org/10.1146/annurev-psych-040323-115131" TargetMode="External" /><Relationship Type="http://schemas.openxmlformats.org/officeDocument/2006/relationships/hyperlink" Id="rId237" Target="https://doi.org/10.1162/jocn_a_01962" TargetMode="External" /><Relationship Type="http://schemas.openxmlformats.org/officeDocument/2006/relationships/hyperlink" Id="rId215" Target="https://doi.org/10.48550/arXiv.2308.04381" TargetMode="External" /><Relationship Type="http://schemas.openxmlformats.org/officeDocument/2006/relationships/hyperlink" Id="rId193" Target="https://lnalborczyk.github.io/" TargetMode="External" /><Relationship Type="http://schemas.openxmlformats.org/officeDocument/2006/relationships/hyperlink" Id="rId73"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6" Target="https://research.monash.edu/en/persons/nao-tsuchiya" TargetMode="External" /><Relationship Type="http://schemas.openxmlformats.org/officeDocument/2006/relationships/hyperlink" Id="rId195" Target="https://sites.google.com/a/g.ecc.u-tokyo.ac.jp/oizumi-lab/home/member/masafumi_oizumi?pli=1" TargetMode="External" /><Relationship Type="http://schemas.openxmlformats.org/officeDocument/2006/relationships/hyperlink" Id="rId217" Target="https://www.frontiersin.org/articles/10.3389/fpsyg.2012.00245" TargetMode="External" /><Relationship Type="http://schemas.openxmlformats.org/officeDocument/2006/relationships/hyperlink" Id="rId227" Target="https://www.frontiersin.org/articles/10.3389/fpsyg.2013.00128" TargetMode="External" /><Relationship Type="http://schemas.openxmlformats.org/officeDocument/2006/relationships/hyperlink" Id="rId212" Target="https://www.frontiersin.org/articles/10.3389/fpsyg.2017.01726" TargetMode="External" /><Relationship Type="http://schemas.openxmlformats.org/officeDocument/2006/relationships/hyperlink" Id="rId219" Target="https://www.frontiersin.org/articles/10.3389/neuro.06.004.2008" TargetMode="External" /><Relationship Type="http://schemas.openxmlformats.org/officeDocument/2006/relationships/hyperlink" Id="rId221" Target="https://www.jstor.org/stable/27896829" TargetMode="External" /><Relationship Type="http://schemas.openxmlformats.org/officeDocument/2006/relationships/hyperlink" Id="rId199" Target="https://www.movit.paris/team-members/decat-nicolas" TargetMode="External" /><Relationship Type="http://schemas.openxmlformats.org/officeDocument/2006/relationships/hyperlink" Id="rId197" Target="https://www.movit.paris/team-pi/thomas-andrillon" TargetMode="External" /><Relationship Type="http://schemas.openxmlformats.org/officeDocument/2006/relationships/hyperlink" Id="rId198" Target="https://www.nature.com/articles/s41598-020-65705-7" TargetMode="External" /><Relationship Type="http://schemas.openxmlformats.org/officeDocument/2006/relationships/hyperlink" Id="rId223" Target="https://www.repository.cam.ac.uk/handle/1810/306834" TargetMode="External" /><Relationship Type="http://schemas.openxmlformats.org/officeDocument/2006/relationships/hyperlink" Id="rId194" Target="https://zuckermaninstitute.columbia.edu/nikolaus-kriegeskorte-phd" TargetMode="External" /></Relationships>
</file>

<file path=word/_rels/footnotes.xml.rels><?xml version="1.0" encoding="UTF-8"?><Relationships xmlns="http://schemas.openxmlformats.org/package/2006/relationships"><Relationship Type="http://schemas.openxmlformats.org/officeDocument/2006/relationships/hyperlink" Id="rId204" Target="https://doi.org/10.1007/s13164-010-0035-y" TargetMode="External" /><Relationship Type="http://schemas.openxmlformats.org/officeDocument/2006/relationships/hyperlink" Id="rId233" Target="https://doi.org/10.1016/0010-0285(70)90002-2" TargetMode="External" /><Relationship Type="http://schemas.openxmlformats.org/officeDocument/2006/relationships/hyperlink" Id="rId235" Target="https://doi.org/10.1016/j.concog.2022.103319" TargetMode="External" /><Relationship Type="http://schemas.openxmlformats.org/officeDocument/2006/relationships/hyperlink" Id="rId202" Target="https://doi.org/10.1016/j.cortex.2020.11.014" TargetMode="External" /><Relationship Type="http://schemas.openxmlformats.org/officeDocument/2006/relationships/hyperlink" Id="rId210" Target="https://doi.org/10.1016/j.neuropsychologia.2015.10.023" TargetMode="External" /><Relationship Type="http://schemas.openxmlformats.org/officeDocument/2006/relationships/hyperlink" Id="rId225" Target="https://doi.org/10.1098/rspb.1978.0020" TargetMode="External" /><Relationship Type="http://schemas.openxmlformats.org/officeDocument/2006/relationships/hyperlink" Id="rId231" Target="https://doi.org/10.1101/2023.09.15.558038" TargetMode="External" /><Relationship Type="http://schemas.openxmlformats.org/officeDocument/2006/relationships/hyperlink" Id="rId229" Target="https://doi.org/10.1146/annurev-psych-040323-115131" TargetMode="External" /><Relationship Type="http://schemas.openxmlformats.org/officeDocument/2006/relationships/hyperlink" Id="rId237" Target="https://doi.org/10.1162/jocn_a_01962" TargetMode="External" /><Relationship Type="http://schemas.openxmlformats.org/officeDocument/2006/relationships/hyperlink" Id="rId215" Target="https://doi.org/10.48550/arXiv.2308.04381" TargetMode="External" /><Relationship Type="http://schemas.openxmlformats.org/officeDocument/2006/relationships/hyperlink" Id="rId193" Target="https://lnalborczyk.github.io/" TargetMode="External" /><Relationship Type="http://schemas.openxmlformats.org/officeDocument/2006/relationships/hyperlink" Id="rId73"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6" Target="https://research.monash.edu/en/persons/nao-tsuchiya" TargetMode="External" /><Relationship Type="http://schemas.openxmlformats.org/officeDocument/2006/relationships/hyperlink" Id="rId195" Target="https://sites.google.com/a/g.ecc.u-tokyo.ac.jp/oizumi-lab/home/member/masafumi_oizumi?pli=1" TargetMode="External" /><Relationship Type="http://schemas.openxmlformats.org/officeDocument/2006/relationships/hyperlink" Id="rId217" Target="https://www.frontiersin.org/articles/10.3389/fpsyg.2012.00245" TargetMode="External" /><Relationship Type="http://schemas.openxmlformats.org/officeDocument/2006/relationships/hyperlink" Id="rId227" Target="https://www.frontiersin.org/articles/10.3389/fpsyg.2013.00128" TargetMode="External" /><Relationship Type="http://schemas.openxmlformats.org/officeDocument/2006/relationships/hyperlink" Id="rId212" Target="https://www.frontiersin.org/articles/10.3389/fpsyg.2017.01726" TargetMode="External" /><Relationship Type="http://schemas.openxmlformats.org/officeDocument/2006/relationships/hyperlink" Id="rId219" Target="https://www.frontiersin.org/articles/10.3389/neuro.06.004.2008" TargetMode="External" /><Relationship Type="http://schemas.openxmlformats.org/officeDocument/2006/relationships/hyperlink" Id="rId221" Target="https://www.jstor.org/stable/27896829" TargetMode="External" /><Relationship Type="http://schemas.openxmlformats.org/officeDocument/2006/relationships/hyperlink" Id="rId199" Target="https://www.movit.paris/team-members/decat-nicolas" TargetMode="External" /><Relationship Type="http://schemas.openxmlformats.org/officeDocument/2006/relationships/hyperlink" Id="rId197" Target="https://www.movit.paris/team-pi/thomas-andrillon" TargetMode="External" /><Relationship Type="http://schemas.openxmlformats.org/officeDocument/2006/relationships/hyperlink" Id="rId198" Target="https://www.nature.com/articles/s41598-020-65705-7" TargetMode="External" /><Relationship Type="http://schemas.openxmlformats.org/officeDocument/2006/relationships/hyperlink" Id="rId223" Target="https://www.repository.cam.ac.uk/handle/1810/306834" TargetMode="External" /><Relationship Type="http://schemas.openxmlformats.org/officeDocument/2006/relationships/hyperlink" Id="rId194" Target="https://zuckermaninstitute.columbia.edu/nikolaus-kriegeskorte-ph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2024-02-17T18:41:34Z</dcterms:created>
  <dcterms:modified xsi:type="dcterms:W3CDTF">2024-02-17T18:41:34Z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was divided into four parts. First, I outline the central ideas underlying similarity research and its applicability to aphantasia research. Second, I present a complete paradigm with an experimental design and a data analysis plan. The design will be based on multi-arrangement and inverse multidimensional scaling, a protocol that can be implemented online to conduct such large-scale research with high efficiency. The analysis plan will present a state-of-the-art method for similarity analysis, unsupervised alignment with Gromov-Wasserstein optimal transport (GWOT). Third, I report a data simulation I’ve done of a potential outcome of this study, and the successful analysis of this synthetic data using GWOT alignment. Fourth,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csl">
    <vt:lpwstr>apa.csl</vt:lpwstr>
  </property>
  <property fmtid="{D5CDD505-2E9C-101B-9397-08002B2CF9AE}" pid="13" name="date">
    <vt:lpwstr>2/02/2024</vt:lpwstr>
  </property>
  <property fmtid="{D5CDD505-2E9C-101B-9397-08002B2CF9AE}" pid="14" name="date-format">
    <vt:lpwstr>D/MM/YYYY</vt:lpwstr>
  </property>
  <property fmtid="{D5CDD505-2E9C-101B-9397-08002B2CF9AE}" pid="15" name="date-modified">
    <vt:lpwstr>17/02/2024</vt:lpwstr>
  </property>
  <property fmtid="{D5CDD505-2E9C-101B-9397-08002B2CF9AE}" pid="16" name="fig-cap-location">
    <vt:lpwstr>bottom</vt:lpwstr>
  </property>
  <property fmtid="{D5CDD505-2E9C-101B-9397-08002B2CF9AE}" pid="17" name="google-scholar">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labels">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number-depth">
    <vt:lpwstr>2</vt:lpwstr>
  </property>
  <property fmtid="{D5CDD505-2E9C-101B-9397-08002B2CF9AE}" pid="26" name="quarto-internal">
    <vt:lpwstr/>
  </property>
  <property fmtid="{D5CDD505-2E9C-101B-9397-08002B2CF9AE}" pid="27" name="remove-hidden">
    <vt:lpwstr>all</vt:lpwstr>
  </property>
  <property fmtid="{D5CDD505-2E9C-101B-9397-08002B2CF9AE}" pid="28" name="subtitle">
    <vt:lpwstr>Project design and study simulation</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expand">
    <vt:lpwstr>1</vt:lpwstr>
  </property>
  <property fmtid="{D5CDD505-2E9C-101B-9397-08002B2CF9AE}" pid="34" name="toc-location">
    <vt:lpwstr>left</vt:lpwstr>
  </property>
  <property fmtid="{D5CDD505-2E9C-101B-9397-08002B2CF9AE}" pid="35" name="toc-title">
    <vt:lpwstr>Table of contents</vt:lpwstr>
  </property>
  <property fmtid="{D5CDD505-2E9C-101B-9397-08002B2CF9AE}" pid="36" name="unroll-markdown-cells">
    <vt:lpwstr>True</vt:lpwstr>
  </property>
</Properties>
</file>