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760"/>
      </w:pPr>
      <w:r>
        <w:rPr>
          <w:rFonts w:ascii="Inter" w:hAnsi="Inter"/>
          <w:b/>
          <w:color w:val="2A9D6F"/>
          <w:sz w:val="26"/>
        </w:rPr>
        <w:t>BESTEHEN</w:t>
      </w:r>
    </w:p>
    <w:p>
      <w:pPr>
        <w:pStyle w:val="Title"/>
      </w:pPr>
      <w:r>
        <w:t>Product Overview</w:t>
      </w:r>
    </w:p>
    <w:p>
      <w:pPr>
        <w:spacing w:after="360"/>
      </w:pPr>
      <w:r>
        <w:rPr>
          <w:rFonts w:ascii="Inter" w:hAnsi="Inter"/>
          <w:color w:val="5D6675"/>
          <w:sz w:val="26"/>
        </w:rPr>
        <w:t>Bestehen / Corpus + Bestehen / App</w:t>
      </w:r>
    </w:p>
    <w:p>
      <w:pPr>
        <w:pBdr>
          <w:bottom w:val="single" w:sz="20" w:space="1" w:color="2A9D6F"/>
        </w:pBdr>
      </w:pPr>
    </w:p>
    <w:tbl>
      <w:tblPr>
        <w:tblW w:type="auto" w:w="0"/>
        <w:jc w:val="left"/>
        <w:tblLayout w:type="fixed"/>
        <w:tblLook w:firstColumn="1" w:firstRow="1" w:lastColumn="0" w:lastRow="0" w:noHBand="0" w:noVBand="1" w:val="04A0"/>
      </w:tblPr>
      <w:tblGrid>
        <w:gridCol w:w="1944"/>
        <w:gridCol w:w="7992"/>
      </w:tblGrid>
      <w:tr>
        <w:tc>
          <w:tcPr>
            <w:tcW w:type="dxa" w:w="1944"/>
            <w:shd w:fill="F7F4EE"/>
            <w:tcMar>
              <w:top w:w="120" w:type="dxa"/>
              <w:start w:w="140" w:type="dxa"/>
              <w:bottom w:w="120" w:type="dxa"/>
              <w:end w:w="140" w:type="dxa"/>
            </w:tcMar>
          </w:tcPr>
          <w:p>
            <w:r>
              <w:rPr>
                <w:rFonts w:ascii="Inter" w:hAnsi="Inter"/>
                <w:b/>
                <w:color w:val="5D6675"/>
                <w:sz w:val="16"/>
              </w:rPr>
              <w:t>STATUS</w:t>
            </w:r>
          </w:p>
        </w:tc>
        <w:tc>
          <w:tcPr>
            <w:tcW w:type="dxa" w:w="7992"/>
            <w:tcMar>
              <w:top w:w="120" w:type="dxa"/>
              <w:start w:w="140" w:type="dxa"/>
              <w:bottom w:w="120" w:type="dxa"/>
              <w:end w:w="140" w:type="dxa"/>
            </w:tcMar>
          </w:tcPr>
          <w:p>
            <w:r>
              <w:rPr>
                <w:rFonts w:ascii="Inter" w:hAnsi="Inter"/>
                <w:color w:val="14213D"/>
                <w:sz w:val="19"/>
              </w:rPr>
              <w:t>Foundational product concept</w:t>
            </w:r>
          </w:p>
        </w:tc>
      </w:tr>
      <w:tr>
        <w:tc>
          <w:tcPr>
            <w:tcW w:type="dxa" w:w="1944"/>
            <w:shd w:fill="F7F4EE"/>
            <w:tcMar>
              <w:top w:w="120" w:type="dxa"/>
              <w:start w:w="140" w:type="dxa"/>
              <w:bottom w:w="120" w:type="dxa"/>
              <w:end w:w="140" w:type="dxa"/>
            </w:tcMar>
          </w:tcPr>
          <w:p>
            <w:r>
              <w:rPr>
                <w:rFonts w:ascii="Inter" w:hAnsi="Inter"/>
                <w:b/>
                <w:color w:val="5D6675"/>
                <w:sz w:val="16"/>
              </w:rPr>
              <w:t>UMBRELLA</w:t>
            </w:r>
          </w:p>
        </w:tc>
        <w:tc>
          <w:tcPr>
            <w:tcW w:type="dxa" w:w="7992"/>
            <w:tcMar>
              <w:top w:w="120" w:type="dxa"/>
              <w:start w:w="140" w:type="dxa"/>
              <w:bottom w:w="120" w:type="dxa"/>
              <w:end w:w="140" w:type="dxa"/>
            </w:tcMar>
          </w:tcPr>
          <w:p>
            <w:r>
              <w:rPr>
                <w:rFonts w:ascii="Inter" w:hAnsi="Inter"/>
                <w:color w:val="14213D"/>
                <w:sz w:val="19"/>
              </w:rPr>
              <w:t>Bestehen</w:t>
            </w:r>
          </w:p>
        </w:tc>
      </w:tr>
      <w:tr>
        <w:tc>
          <w:tcPr>
            <w:tcW w:type="dxa" w:w="1944"/>
            <w:shd w:fill="F7F4EE"/>
            <w:tcMar>
              <w:top w:w="120" w:type="dxa"/>
              <w:start w:w="140" w:type="dxa"/>
              <w:bottom w:w="120" w:type="dxa"/>
              <w:end w:w="140" w:type="dxa"/>
            </w:tcMar>
          </w:tcPr>
          <w:p>
            <w:r>
              <w:rPr>
                <w:rFonts w:ascii="Inter" w:hAnsi="Inter"/>
                <w:b/>
                <w:color w:val="5D6675"/>
                <w:sz w:val="16"/>
              </w:rPr>
              <w:t>PROJECTS</w:t>
            </w:r>
          </w:p>
        </w:tc>
        <w:tc>
          <w:tcPr>
            <w:tcW w:type="dxa" w:w="7992"/>
            <w:tcMar>
              <w:top w:w="120" w:type="dxa"/>
              <w:start w:w="140" w:type="dxa"/>
              <w:bottom w:w="120" w:type="dxa"/>
              <w:end w:w="140" w:type="dxa"/>
            </w:tcMar>
          </w:tcPr>
          <w:p>
            <w:r>
              <w:rPr>
                <w:rFonts w:ascii="Inter" w:hAnsi="Inter"/>
                <w:color w:val="14213D"/>
                <w:sz w:val="19"/>
              </w:rPr>
              <w:t>Bestehen / Corpus · Bestehen / App</w:t>
            </w:r>
          </w:p>
        </w:tc>
      </w:tr>
      <w:tr>
        <w:tc>
          <w:tcPr>
            <w:tcW w:type="dxa" w:w="1944"/>
            <w:shd w:fill="F7F4EE"/>
            <w:tcMar>
              <w:top w:w="120" w:type="dxa"/>
              <w:start w:w="140" w:type="dxa"/>
              <w:bottom w:w="120" w:type="dxa"/>
              <w:end w:w="140" w:type="dxa"/>
            </w:tcMar>
          </w:tcPr>
          <w:p>
            <w:r>
              <w:rPr>
                <w:rFonts w:ascii="Inter" w:hAnsi="Inter"/>
                <w:b/>
                <w:color w:val="5D6675"/>
                <w:sz w:val="16"/>
              </w:rPr>
              <w:t>PRIMARY GOAL</w:t>
            </w:r>
          </w:p>
        </w:tc>
        <w:tc>
          <w:tcPr>
            <w:tcW w:type="dxa" w:w="7992"/>
            <w:tcMar>
              <w:top w:w="120" w:type="dxa"/>
              <w:start w:w="140" w:type="dxa"/>
              <w:bottom w:w="120" w:type="dxa"/>
              <w:end w:w="140" w:type="dxa"/>
            </w:tcMar>
          </w:tcPr>
          <w:p>
            <w:r>
              <w:rPr>
                <w:rFonts w:ascii="Inter" w:hAnsi="Inter"/>
                <w:color w:val="14213D"/>
                <w:sz w:val="19"/>
              </w:rPr>
              <w:t>Help an A1 German learner become ready to pass the TELC B1 exam through exam-led learning.</w:t>
            </w:r>
          </w:p>
        </w:tc>
      </w:tr>
    </w:tbl>
    <w:p/>
    <w:tbl>
      <w:tblPr>
        <w:tblW w:type="auto" w:w="0"/>
        <w:jc w:val="center"/>
        <w:tblLook w:firstColumn="1" w:firstRow="1" w:lastColumn="0" w:lastRow="0" w:noHBand="0" w:noVBand="1" w:val="04A0"/>
      </w:tblPr>
      <w:tblGrid>
        <w:gridCol w:w="9994"/>
      </w:tblGrid>
      <w:tr>
        <w:tc>
          <w:tcPr>
            <w:tcW w:type="dxa" w:w="9994"/>
            <w:shd w:fill="E8F5EF"/>
            <w:tcMar>
              <w:top w:w="180" w:type="dxa"/>
              <w:start w:w="200" w:type="dxa"/>
              <w:bottom w:w="180" w:type="dxa"/>
              <w:end w:w="200" w:type="dxa"/>
            </w:tcMar>
          </w:tcPr>
          <w:p>
            <w:r>
              <w:rPr>
                <w:rFonts w:ascii="Inter" w:hAnsi="Inter"/>
                <w:b/>
                <w:color w:val="1D6F50"/>
                <w:sz w:val="24"/>
              </w:rPr>
              <w:t>Bestehen teaches German backwards from the exam: attempt, diagnose, repair, retry, remember.</w:t>
            </w:r>
          </w:p>
        </w:tc>
      </w:tr>
    </w:tbl>
    <w:p/>
    <w:p>
      <w:r>
        <w:rPr>
          <w:rFonts w:ascii="Inter" w:hAnsi="Inter"/>
          <w:color w:val="5D6675"/>
          <w:sz w:val="21"/>
        </w:rPr>
        <w:t>This document captures the shared product idea before detailed architecture or implementation planning. It defines what Bestehen is, why it exists, how Corpus and App fit together, and the core learning philosophy that future decisions should preserve.</w:t>
      </w:r>
    </w:p>
    <w:p>
      <w:r>
        <w:br w:type="page"/>
      </w:r>
    </w:p>
    <w:p>
      <w:pPr>
        <w:pStyle w:val="Heading1"/>
      </w:pPr>
      <w:r>
        <w:t>1. Executive Summary</w:t>
      </w:r>
    </w:p>
    <w:p>
      <w:r>
        <w:t>Bestehen is a personal German exam-preparation system designed around one explicit outcome: passing the TELC B1 exam. It is not intended to reproduce a traditional language course or optimize for broad language mastery first. Instead, it teaches the German knowledge, exam strategy, and practical skills that most directly improve exam performance.</w:t>
      </w:r>
    </w:p>
    <w:p>
      <w:r>
        <w:t>The concept is split into two connected projects. Bestehen / Corpus builds the evidence base by gathering and structuring a large body of A2 and B1 German exam material from official and unofficial sources. Bestehen / App uses that evidence to act as an adaptive exam coach: it evaluates the learner, chooses what to practice, diagnoses mistakes, delivers targeted repair, and estimates exam readiness over time.</w:t>
      </w:r>
    </w:p>
    <w:tbl>
      <w:tblPr>
        <w:tblW w:type="auto" w:w="0"/>
        <w:jc w:val="center"/>
        <w:tblLook w:firstColumn="1" w:firstRow="1" w:lastColumn="0" w:lastRow="0" w:noHBand="0" w:noVBand="1" w:val="04A0"/>
      </w:tblPr>
      <w:tblGrid>
        <w:gridCol w:w="9994"/>
      </w:tblGrid>
      <w:tr>
        <w:tc>
          <w:tcPr>
            <w:tcW w:type="dxa" w:w="9994"/>
            <w:shd w:fill="E8F5EF"/>
            <w:tcMar>
              <w:top w:w="180" w:type="dxa"/>
              <w:start w:w="200" w:type="dxa"/>
              <w:bottom w:w="180" w:type="dxa"/>
              <w:end w:w="200" w:type="dxa"/>
            </w:tcMar>
          </w:tcPr>
          <w:p>
            <w:r>
              <w:rPr>
                <w:rFonts w:ascii="Inter" w:hAnsi="Inter"/>
                <w:b/>
                <w:color w:val="1D6F50"/>
                <w:sz w:val="24"/>
              </w:rPr>
              <w:t>Product thesis: learn German through exam preparation, not learn German first and prepare for the exam later.</w:t>
            </w:r>
          </w:p>
        </w:tc>
      </w:tr>
    </w:tbl>
    <w:p/>
    <w:p>
      <w:pPr>
        <w:pStyle w:val="Heading1"/>
      </w:pPr>
      <w:r>
        <w:t>2. The Problem</w:t>
      </w:r>
    </w:p>
    <w:p>
      <w:r>
        <w:t>A learner starting around A1 but targeting a B1 certificate faces two overlapping problems: they must improve their German substantially, and they must learn how the target exam behaves. Traditional courses usually prioritize general language progression; dedicated exam-prep products usually assume the learner is already close to B1. Bestehen is intended to bridge that gap.</w:t>
      </w:r>
    </w:p>
    <w:p>
      <w:pPr>
        <w:pStyle w:val="ListBullet"/>
        <w:spacing w:after="60"/>
      </w:pPr>
      <w:r>
        <w:rPr>
          <w:rFonts w:ascii="Inter" w:hAnsi="Inter"/>
          <w:color w:val="14213D"/>
          <w:sz w:val="20"/>
        </w:rPr>
        <w:t>Traditional A1 → A2 → B1 curricula can spend significant time on material that is not equally valuable for the target exam.</w:t>
      </w:r>
    </w:p>
    <w:p>
      <w:pPr>
        <w:pStyle w:val="ListBullet"/>
        <w:spacing w:after="60"/>
      </w:pPr>
      <w:r>
        <w:rPr>
          <w:rFonts w:ascii="Inter" w:hAnsi="Inter"/>
          <w:color w:val="14213D"/>
          <w:sz w:val="20"/>
        </w:rPr>
        <w:t>Exam-prep products often become useful only after the learner already has sufficient German to understand B1-level tasks.</w:t>
      </w:r>
    </w:p>
    <w:p>
      <w:pPr>
        <w:pStyle w:val="ListBullet"/>
        <w:spacing w:after="60"/>
      </w:pPr>
      <w:r>
        <w:rPr>
          <w:rFonts w:ascii="Inter" w:hAnsi="Inter"/>
          <w:color w:val="14213D"/>
          <w:sz w:val="20"/>
        </w:rPr>
        <w:t>Generic learning metrics such as XP, streaks, units completed, or vocabulary count do not answer the question the learner actually cares about: “Am I ready to pass?”</w:t>
      </w:r>
    </w:p>
    <w:p>
      <w:pPr>
        <w:pStyle w:val="ListBullet"/>
        <w:spacing w:after="60"/>
      </w:pPr>
      <w:r>
        <w:rPr>
          <w:rFonts w:ascii="Inter" w:hAnsi="Inter"/>
          <w:color w:val="14213D"/>
          <w:sz w:val="20"/>
        </w:rPr>
        <w:t>Mistakes are often treated as isolated wrong answers instead of evidence that should shape future practice.</w:t>
      </w:r>
    </w:p>
    <w:p>
      <w:pPr>
        <w:pStyle w:val="ListBullet"/>
        <w:spacing w:after="60"/>
      </w:pPr>
      <w:r>
        <w:rPr>
          <w:rFonts w:ascii="Inter" w:hAnsi="Inter"/>
          <w:color w:val="14213D"/>
          <w:sz w:val="20"/>
        </w:rPr>
        <w:t>Public exam material exists across many providers and unofficial collections, but it is fragmented and rarely converted into a structured source of learning intelligence.</w:t>
      </w:r>
    </w:p>
    <w:p>
      <w:pPr>
        <w:pStyle w:val="Heading1"/>
      </w:pPr>
      <w:r>
        <w:t>3. The Product Idea</w:t>
      </w:r>
    </w:p>
    <w:p>
      <w:r>
        <w:t>Bestehen approaches the target exam as the organizing structure for learning. The learner repeatedly encounters exam-shaped tasks at an appropriate difficulty, receives help when needed, and gradually loses that assistance as competence grows. Grammar, vocabulary, listening, writing, and speaking are introduced because they solve real exam problems rather than because they happen to be the next chapter in a textbook.</w:t>
      </w:r>
    </w:p>
    <w:p>
      <w:pPr>
        <w:pStyle w:val="Heading2"/>
      </w:pPr>
      <w:r>
        <w:t>3.1 Core learning loop</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1656"/>
            <w:shd w:fill="14213D"/>
            <w:tcMar>
              <w:top w:w="120" w:type="dxa"/>
              <w:start w:w="140" w:type="dxa"/>
              <w:bottom w:w="120" w:type="dxa"/>
              <w:end w:w="140" w:type="dxa"/>
            </w:tcMar>
          </w:tcPr>
          <w:p>
            <w:r>
              <w:rPr>
                <w:rFonts w:ascii="Inter" w:hAnsi="Inter"/>
                <w:b/>
                <w:color w:val="FFFFFF"/>
                <w:sz w:val="17"/>
              </w:rPr>
              <w:t>Stage</w:t>
            </w:r>
          </w:p>
        </w:tc>
        <w:tc>
          <w:tcPr>
            <w:tcW w:type="dxa" w:w="8208"/>
            <w:shd w:fill="14213D"/>
            <w:tcMar>
              <w:top w:w="120" w:type="dxa"/>
              <w:start w:w="140" w:type="dxa"/>
              <w:bottom w:w="120" w:type="dxa"/>
              <w:end w:w="140" w:type="dxa"/>
            </w:tcMar>
          </w:tcPr>
          <w:p>
            <w:r>
              <w:rPr>
                <w:rFonts w:ascii="Inter" w:hAnsi="Inter"/>
                <w:b/>
                <w:color w:val="FFFFFF"/>
                <w:sz w:val="17"/>
              </w:rPr>
              <w:t>What happens</w:t>
            </w:r>
          </w:p>
        </w:tc>
      </w:tr>
      <w:tr>
        <w:tc>
          <w:tcPr>
            <w:tcW w:type="dxa" w:w="1656"/>
            <w:tcMar>
              <w:top w:w="120" w:type="dxa"/>
              <w:start w:w="140" w:type="dxa"/>
              <w:bottom w:w="120" w:type="dxa"/>
              <w:end w:w="140" w:type="dxa"/>
            </w:tcMar>
            <w:shd w:fill="F8F9FA"/>
          </w:tcPr>
          <w:p>
            <w:r>
              <w:rPr>
                <w:rFonts w:ascii="Inter" w:hAnsi="Inter"/>
                <w:color w:val="14213D"/>
                <w:sz w:val="18"/>
              </w:rPr>
              <w:t>Observe</w:t>
            </w:r>
          </w:p>
        </w:tc>
        <w:tc>
          <w:tcPr>
            <w:tcW w:type="dxa" w:w="8208"/>
            <w:tcMar>
              <w:top w:w="120" w:type="dxa"/>
              <w:start w:w="140" w:type="dxa"/>
              <w:bottom w:w="120" w:type="dxa"/>
              <w:end w:w="140" w:type="dxa"/>
            </w:tcMar>
            <w:shd w:fill="F8F9FA"/>
          </w:tcPr>
          <w:p>
            <w:r>
              <w:rPr>
                <w:rFonts w:ascii="Inter" w:hAnsi="Inter"/>
                <w:color w:val="14213D"/>
                <w:sz w:val="18"/>
              </w:rPr>
              <w:t>Bestehen uses the exam corpus to understand recurring task patterns, topics, vocabulary, grammar, difficulty and exam strategy.</w:t>
            </w:r>
          </w:p>
        </w:tc>
      </w:tr>
      <w:tr>
        <w:tc>
          <w:tcPr>
            <w:tcW w:type="dxa" w:w="1656"/>
            <w:tcMar>
              <w:top w:w="120" w:type="dxa"/>
              <w:start w:w="140" w:type="dxa"/>
              <w:bottom w:w="120" w:type="dxa"/>
              <w:end w:w="140" w:type="dxa"/>
            </w:tcMar>
          </w:tcPr>
          <w:p>
            <w:r>
              <w:rPr>
                <w:rFonts w:ascii="Inter" w:hAnsi="Inter"/>
                <w:color w:val="14213D"/>
                <w:sz w:val="18"/>
              </w:rPr>
              <w:t>Attempt</w:t>
            </w:r>
          </w:p>
        </w:tc>
        <w:tc>
          <w:tcPr>
            <w:tcW w:type="dxa" w:w="8208"/>
            <w:tcMar>
              <w:top w:w="120" w:type="dxa"/>
              <w:start w:w="140" w:type="dxa"/>
              <w:bottom w:w="120" w:type="dxa"/>
              <w:end w:w="140" w:type="dxa"/>
            </w:tcMar>
          </w:tcPr>
          <w:p>
            <w:r>
              <w:rPr>
                <w:rFonts w:ascii="Inter" w:hAnsi="Inter"/>
                <w:color w:val="14213D"/>
                <w:sz w:val="18"/>
              </w:rPr>
              <w:t>The learner completes an exam-shaped activity appropriate to the current level and target skill.</w:t>
            </w:r>
          </w:p>
        </w:tc>
      </w:tr>
      <w:tr>
        <w:tc>
          <w:tcPr>
            <w:tcW w:type="dxa" w:w="1656"/>
            <w:tcMar>
              <w:top w:w="120" w:type="dxa"/>
              <w:start w:w="140" w:type="dxa"/>
              <w:bottom w:w="120" w:type="dxa"/>
              <w:end w:w="140" w:type="dxa"/>
            </w:tcMar>
            <w:shd w:fill="F8F9FA"/>
          </w:tcPr>
          <w:p>
            <w:r>
              <w:rPr>
                <w:rFonts w:ascii="Inter" w:hAnsi="Inter"/>
                <w:color w:val="14213D"/>
                <w:sz w:val="18"/>
              </w:rPr>
              <w:t>Diagnose</w:t>
            </w:r>
          </w:p>
        </w:tc>
        <w:tc>
          <w:tcPr>
            <w:tcW w:type="dxa" w:w="8208"/>
            <w:tcMar>
              <w:top w:w="120" w:type="dxa"/>
              <w:start w:w="140" w:type="dxa"/>
              <w:bottom w:w="120" w:type="dxa"/>
              <w:end w:w="140" w:type="dxa"/>
            </w:tcMar>
            <w:shd w:fill="F8F9FA"/>
          </w:tcPr>
          <w:p>
            <w:r>
              <w:rPr>
                <w:rFonts w:ascii="Inter" w:hAnsi="Inter"/>
                <w:color w:val="14213D"/>
                <w:sz w:val="18"/>
              </w:rPr>
              <w:t>The system determines why points were lost: vocabulary, grammar, comprehension, production, strategy, or repeated error pattern.</w:t>
            </w:r>
          </w:p>
        </w:tc>
      </w:tr>
      <w:tr>
        <w:tc>
          <w:tcPr>
            <w:tcW w:type="dxa" w:w="1656"/>
            <w:tcMar>
              <w:top w:w="120" w:type="dxa"/>
              <w:start w:w="140" w:type="dxa"/>
              <w:bottom w:w="120" w:type="dxa"/>
              <w:end w:w="140" w:type="dxa"/>
            </w:tcMar>
          </w:tcPr>
          <w:p>
            <w:r>
              <w:rPr>
                <w:rFonts w:ascii="Inter" w:hAnsi="Inter"/>
                <w:color w:val="14213D"/>
                <w:sz w:val="18"/>
              </w:rPr>
              <w:t>Repair</w:t>
            </w:r>
          </w:p>
        </w:tc>
        <w:tc>
          <w:tcPr>
            <w:tcW w:type="dxa" w:w="8208"/>
            <w:tcMar>
              <w:top w:w="120" w:type="dxa"/>
              <w:start w:w="140" w:type="dxa"/>
              <w:bottom w:w="120" w:type="dxa"/>
              <w:end w:w="140" w:type="dxa"/>
            </w:tcMar>
          </w:tcPr>
          <w:p>
            <w:r>
              <w:rPr>
                <w:rFonts w:ascii="Inter" w:hAnsi="Inter"/>
                <w:color w:val="14213D"/>
                <w:sz w:val="18"/>
              </w:rPr>
              <w:t>A short targeted explanation or micro-practice addresses only the weakness that blocked performance.</w:t>
            </w:r>
          </w:p>
        </w:tc>
      </w:tr>
      <w:tr>
        <w:tc>
          <w:tcPr>
            <w:tcW w:type="dxa" w:w="1656"/>
            <w:tcMar>
              <w:top w:w="120" w:type="dxa"/>
              <w:start w:w="140" w:type="dxa"/>
              <w:bottom w:w="120" w:type="dxa"/>
              <w:end w:w="140" w:type="dxa"/>
            </w:tcMar>
            <w:shd w:fill="F8F9FA"/>
          </w:tcPr>
          <w:p>
            <w:r>
              <w:rPr>
                <w:rFonts w:ascii="Inter" w:hAnsi="Inter"/>
                <w:color w:val="14213D"/>
                <w:sz w:val="18"/>
              </w:rPr>
              <w:t>Retry</w:t>
            </w:r>
          </w:p>
        </w:tc>
        <w:tc>
          <w:tcPr>
            <w:tcW w:type="dxa" w:w="8208"/>
            <w:tcMar>
              <w:top w:w="120" w:type="dxa"/>
              <w:start w:w="140" w:type="dxa"/>
              <w:bottom w:w="120" w:type="dxa"/>
              <w:end w:w="140" w:type="dxa"/>
            </w:tcMar>
            <w:shd w:fill="F8F9FA"/>
          </w:tcPr>
          <w:p>
            <w:r>
              <w:rPr>
                <w:rFonts w:ascii="Inter" w:hAnsi="Inter"/>
                <w:color w:val="14213D"/>
                <w:sz w:val="18"/>
              </w:rPr>
              <w:t>A fresh but equivalent task tests the same skill without simply repeating the original answer.</w:t>
            </w:r>
          </w:p>
        </w:tc>
      </w:tr>
      <w:tr>
        <w:tc>
          <w:tcPr>
            <w:tcW w:type="dxa" w:w="1656"/>
            <w:tcMar>
              <w:top w:w="120" w:type="dxa"/>
              <w:start w:w="140" w:type="dxa"/>
              <w:bottom w:w="120" w:type="dxa"/>
              <w:end w:w="140" w:type="dxa"/>
            </w:tcMar>
          </w:tcPr>
          <w:p>
            <w:r>
              <w:rPr>
                <w:rFonts w:ascii="Inter" w:hAnsi="Inter"/>
                <w:color w:val="14213D"/>
                <w:sz w:val="18"/>
              </w:rPr>
              <w:t>Remember</w:t>
            </w:r>
          </w:p>
        </w:tc>
        <w:tc>
          <w:tcPr>
            <w:tcW w:type="dxa" w:w="8208"/>
            <w:tcMar>
              <w:top w:w="120" w:type="dxa"/>
              <w:start w:w="140" w:type="dxa"/>
              <w:bottom w:w="120" w:type="dxa"/>
              <w:end w:w="140" w:type="dxa"/>
            </w:tcMar>
          </w:tcPr>
          <w:p>
            <w:r>
              <w:rPr>
                <w:rFonts w:ascii="Inter" w:hAnsi="Inter"/>
                <w:color w:val="14213D"/>
                <w:sz w:val="18"/>
              </w:rPr>
              <w:t>The learner model records the result and reintroduces the weakness later through adaptive review.</w:t>
            </w:r>
          </w:p>
        </w:tc>
      </w:tr>
    </w:tbl>
    <w:p/>
    <w:tbl>
      <w:tblPr>
        <w:tblW w:type="auto" w:w="0"/>
        <w:jc w:val="center"/>
        <w:tblLook w:firstColumn="1" w:firstRow="1" w:lastColumn="0" w:lastRow="0" w:noHBand="0" w:noVBand="1" w:val="04A0"/>
      </w:tblPr>
      <w:tblGrid>
        <w:gridCol w:w="9994"/>
      </w:tblGrid>
      <w:tr>
        <w:tc>
          <w:tcPr>
            <w:tcW w:type="dxa" w:w="9994"/>
            <w:shd w:fill="E8F5EF"/>
            <w:tcMar>
              <w:top w:w="180" w:type="dxa"/>
              <w:start w:w="200" w:type="dxa"/>
              <w:bottom w:w="180" w:type="dxa"/>
              <w:end w:w="200" w:type="dxa"/>
            </w:tcMar>
          </w:tcPr>
          <w:p>
            <w:r>
              <w:rPr>
                <w:rFonts w:ascii="Inter" w:hAnsi="Inter"/>
                <w:b/>
                <w:color w:val="1D6F50"/>
                <w:sz w:val="24"/>
              </w:rPr>
              <w:t>Never teach something simply because it belongs to B1 German. Teach it because it helps the learner earn B1 exam points.</w:t>
            </w:r>
          </w:p>
        </w:tc>
      </w:tr>
    </w:tbl>
    <w:p/>
    <w:p>
      <w:pPr>
        <w:pStyle w:val="Heading2"/>
      </w:pPr>
      <w:r>
        <w:t>3.2 Progression from A1 to B1</w:t>
      </w:r>
    </w:p>
    <w:p>
      <w:r>
        <w:t>The exam shape remains visible from the beginning, while the level of assistance changes. An A1 learner should not be thrown directly into unassisted B1 material. Instead, Bestehen progressively removes training wheels.</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2088"/>
            <w:shd w:fill="14213D"/>
            <w:tcMar>
              <w:top w:w="120" w:type="dxa"/>
              <w:start w:w="140" w:type="dxa"/>
              <w:bottom w:w="120" w:type="dxa"/>
              <w:end w:w="140" w:type="dxa"/>
            </w:tcMar>
          </w:tcPr>
          <w:p>
            <w:r>
              <w:rPr>
                <w:rFonts w:ascii="Inter" w:hAnsi="Inter"/>
                <w:b/>
                <w:color w:val="FFFFFF"/>
                <w:sz w:val="17"/>
              </w:rPr>
              <w:t>Mode</w:t>
            </w:r>
          </w:p>
        </w:tc>
        <w:tc>
          <w:tcPr>
            <w:tcW w:type="dxa" w:w="4608"/>
            <w:shd w:fill="14213D"/>
            <w:tcMar>
              <w:top w:w="120" w:type="dxa"/>
              <w:start w:w="140" w:type="dxa"/>
              <w:bottom w:w="120" w:type="dxa"/>
              <w:end w:w="140" w:type="dxa"/>
            </w:tcMar>
          </w:tcPr>
          <w:p>
            <w:r>
              <w:rPr>
                <w:rFonts w:ascii="Inter" w:hAnsi="Inter"/>
                <w:b/>
                <w:color w:val="FFFFFF"/>
                <w:sz w:val="17"/>
              </w:rPr>
              <w:t>Typical experience</w:t>
            </w:r>
          </w:p>
        </w:tc>
        <w:tc>
          <w:tcPr>
            <w:tcW w:type="dxa" w:w="3168"/>
            <w:shd w:fill="14213D"/>
            <w:tcMar>
              <w:top w:w="120" w:type="dxa"/>
              <w:start w:w="140" w:type="dxa"/>
              <w:bottom w:w="120" w:type="dxa"/>
              <w:end w:w="140" w:type="dxa"/>
            </w:tcMar>
          </w:tcPr>
          <w:p>
            <w:r>
              <w:rPr>
                <w:rFonts w:ascii="Inter" w:hAnsi="Inter"/>
                <w:b/>
                <w:color w:val="FFFFFF"/>
                <w:sz w:val="17"/>
              </w:rPr>
              <w:t>Purpose</w:t>
            </w:r>
          </w:p>
        </w:tc>
      </w:tr>
      <w:tr>
        <w:tc>
          <w:tcPr>
            <w:tcW w:type="dxa" w:w="2088"/>
            <w:tcMar>
              <w:top w:w="120" w:type="dxa"/>
              <w:start w:w="140" w:type="dxa"/>
              <w:bottom w:w="120" w:type="dxa"/>
              <w:end w:w="140" w:type="dxa"/>
            </w:tcMar>
            <w:shd w:fill="F8F9FA"/>
          </w:tcPr>
          <w:p>
            <w:r>
              <w:rPr>
                <w:rFonts w:ascii="Inter" w:hAnsi="Inter"/>
                <w:color w:val="14213D"/>
                <w:sz w:val="18"/>
              </w:rPr>
              <w:t>Assisted exam training</w:t>
            </w:r>
          </w:p>
        </w:tc>
        <w:tc>
          <w:tcPr>
            <w:tcW w:type="dxa" w:w="4608"/>
            <w:tcMar>
              <w:top w:w="120" w:type="dxa"/>
              <w:start w:w="140" w:type="dxa"/>
              <w:bottom w:w="120" w:type="dxa"/>
              <w:end w:w="140" w:type="dxa"/>
            </w:tcMar>
            <w:shd w:fill="F8F9FA"/>
          </w:tcPr>
          <w:p>
            <w:r>
              <w:rPr>
                <w:rFonts w:ascii="Inter" w:hAnsi="Inter"/>
                <w:color w:val="14213D"/>
                <w:sz w:val="18"/>
              </w:rPr>
              <w:t>Simpler A1/A2 language, translations, vocabulary previews, hints, slower or replayable audio, guided writing/speaking.</w:t>
            </w:r>
          </w:p>
        </w:tc>
        <w:tc>
          <w:tcPr>
            <w:tcW w:type="dxa" w:w="3168"/>
            <w:tcMar>
              <w:top w:w="120" w:type="dxa"/>
              <w:start w:w="140" w:type="dxa"/>
              <w:bottom w:w="120" w:type="dxa"/>
              <w:end w:w="140" w:type="dxa"/>
            </w:tcMar>
            <w:shd w:fill="F8F9FA"/>
          </w:tcPr>
          <w:p>
            <w:r>
              <w:rPr>
                <w:rFonts w:ascii="Inter" w:hAnsi="Inter"/>
                <w:color w:val="14213D"/>
                <w:sz w:val="18"/>
              </w:rPr>
              <w:t>Learn through the shape of exam tasks without being overwhelmed.</w:t>
            </w:r>
          </w:p>
        </w:tc>
      </w:tr>
      <w:tr>
        <w:tc>
          <w:tcPr>
            <w:tcW w:type="dxa" w:w="2088"/>
            <w:tcMar>
              <w:top w:w="120" w:type="dxa"/>
              <w:start w:w="140" w:type="dxa"/>
              <w:bottom w:w="120" w:type="dxa"/>
              <w:end w:w="140" w:type="dxa"/>
            </w:tcMar>
          </w:tcPr>
          <w:p>
            <w:r>
              <w:rPr>
                <w:rFonts w:ascii="Inter" w:hAnsi="Inter"/>
                <w:color w:val="14213D"/>
                <w:sz w:val="18"/>
              </w:rPr>
              <w:t>Guided exam training</w:t>
            </w:r>
          </w:p>
        </w:tc>
        <w:tc>
          <w:tcPr>
            <w:tcW w:type="dxa" w:w="4608"/>
            <w:tcMar>
              <w:top w:w="120" w:type="dxa"/>
              <w:start w:w="140" w:type="dxa"/>
              <w:bottom w:w="120" w:type="dxa"/>
              <w:end w:w="140" w:type="dxa"/>
            </w:tcMar>
          </w:tcPr>
          <w:p>
            <w:r>
              <w:rPr>
                <w:rFonts w:ascii="Inter" w:hAnsi="Inter"/>
                <w:color w:val="14213D"/>
                <w:sz w:val="18"/>
              </w:rPr>
              <w:t>A2 to early-B1 language, fewer hints, limited assistance, more realistic task length and time pressure.</w:t>
            </w:r>
          </w:p>
        </w:tc>
        <w:tc>
          <w:tcPr>
            <w:tcW w:type="dxa" w:w="3168"/>
            <w:tcMar>
              <w:top w:w="120" w:type="dxa"/>
              <w:start w:w="140" w:type="dxa"/>
              <w:bottom w:w="120" w:type="dxa"/>
              <w:end w:w="140" w:type="dxa"/>
            </w:tcMar>
          </w:tcPr>
          <w:p>
            <w:r>
              <w:rPr>
                <w:rFonts w:ascii="Inter" w:hAnsi="Inter"/>
                <w:color w:val="14213D"/>
                <w:sz w:val="18"/>
              </w:rPr>
              <w:t>Bridge language acquisition and exam performance.</w:t>
            </w:r>
          </w:p>
        </w:tc>
      </w:tr>
      <w:tr>
        <w:tc>
          <w:tcPr>
            <w:tcW w:type="dxa" w:w="2088"/>
            <w:tcMar>
              <w:top w:w="120" w:type="dxa"/>
              <w:start w:w="140" w:type="dxa"/>
              <w:bottom w:w="120" w:type="dxa"/>
              <w:end w:w="140" w:type="dxa"/>
            </w:tcMar>
            <w:shd w:fill="F8F9FA"/>
          </w:tcPr>
          <w:p>
            <w:r>
              <w:rPr>
                <w:rFonts w:ascii="Inter" w:hAnsi="Inter"/>
                <w:color w:val="14213D"/>
                <w:sz w:val="18"/>
              </w:rPr>
              <w:t>Exam mode</w:t>
            </w:r>
          </w:p>
        </w:tc>
        <w:tc>
          <w:tcPr>
            <w:tcW w:type="dxa" w:w="4608"/>
            <w:tcMar>
              <w:top w:w="120" w:type="dxa"/>
              <w:start w:w="140" w:type="dxa"/>
              <w:bottom w:w="120" w:type="dxa"/>
              <w:end w:w="140" w:type="dxa"/>
            </w:tcMar>
            <w:shd w:fill="F8F9FA"/>
          </w:tcPr>
          <w:p>
            <w:r>
              <w:rPr>
                <w:rFonts w:ascii="Inter" w:hAnsi="Inter"/>
                <w:color w:val="14213D"/>
                <w:sz w:val="18"/>
              </w:rPr>
              <w:t>Authentic B1 difficulty, exam-like constraints, timed tasks, no learning assistance during the attempt.</w:t>
            </w:r>
          </w:p>
        </w:tc>
        <w:tc>
          <w:tcPr>
            <w:tcW w:type="dxa" w:w="3168"/>
            <w:tcMar>
              <w:top w:w="120" w:type="dxa"/>
              <w:start w:w="140" w:type="dxa"/>
              <w:bottom w:w="120" w:type="dxa"/>
              <w:end w:w="140" w:type="dxa"/>
            </w:tcMar>
            <w:shd w:fill="F8F9FA"/>
          </w:tcPr>
          <w:p>
            <w:r>
              <w:rPr>
                <w:rFonts w:ascii="Inter" w:hAnsi="Inter"/>
                <w:color w:val="14213D"/>
                <w:sz w:val="18"/>
              </w:rPr>
              <w:t>Measure readiness and build reliable performance under exam conditions.</w:t>
            </w:r>
          </w:p>
        </w:tc>
      </w:tr>
    </w:tbl>
    <w:p/>
    <w:p>
      <w:pPr>
        <w:pStyle w:val="Heading1"/>
      </w:pPr>
      <w:r>
        <w:t>4. Bestehen / Corpus</w:t>
      </w:r>
    </w:p>
    <w:p>
      <w:r>
        <w:t>Bestehen / Corpus is a separate data project whose purpose is to build the largest reasonably trustworthy A2/B1 German exam corpus available to the system. It is not limited to TELC, because a broad corpus provides far more evidence about how German is tested at these levels. TELC remains the target signal and should receive the strongest weighting where format-specific conclusions are drawn.</w:t>
      </w:r>
    </w:p>
    <w:p>
      <w:pPr>
        <w:pStyle w:val="Heading2"/>
      </w:pPr>
      <w:r>
        <w:t>4.1 Source philosophy</w:t>
      </w:r>
    </w:p>
    <w:p>
      <w:pPr>
        <w:pStyle w:val="ListBullet"/>
        <w:spacing w:after="60"/>
      </w:pPr>
      <w:r>
        <w:rPr>
          <w:rFonts w:ascii="Inter" w:hAnsi="Inter"/>
          <w:color w:val="14213D"/>
          <w:sz w:val="20"/>
        </w:rPr>
        <w:t>Include official practice and model exams from established examination providers.</w:t>
      </w:r>
    </w:p>
    <w:p>
      <w:pPr>
        <w:pStyle w:val="ListBullet"/>
        <w:spacing w:after="60"/>
      </w:pPr>
      <w:r>
        <w:rPr>
          <w:rFonts w:ascii="Inter" w:hAnsi="Inter"/>
          <w:color w:val="14213D"/>
          <w:sz w:val="20"/>
        </w:rPr>
        <w:t>Include reputable educational and exam-preparation material.</w:t>
      </w:r>
    </w:p>
    <w:p>
      <w:pPr>
        <w:pStyle w:val="ListBullet"/>
        <w:spacing w:after="60"/>
      </w:pPr>
      <w:r>
        <w:rPr>
          <w:rFonts w:ascii="Inter" w:hAnsi="Inter"/>
          <w:color w:val="14213D"/>
          <w:sz w:val="20"/>
        </w:rPr>
        <w:t>Include unofficial exams, PDFs, forums, shared documents, teacher resources, archives and other collections when the material appears credible enough to provide useful evidence.</w:t>
      </w:r>
    </w:p>
    <w:p>
      <w:pPr>
        <w:pStyle w:val="ListBullet"/>
        <w:spacing w:after="60"/>
      </w:pPr>
      <w:r>
        <w:rPr>
          <w:rFonts w:ascii="Inter" w:hAnsi="Inter"/>
          <w:color w:val="14213D"/>
          <w:sz w:val="20"/>
        </w:rPr>
        <w:t>Do not assume that public accessibility grants redistribution rights. Authenticity and usage rights are separate attributes.</w:t>
      </w:r>
    </w:p>
    <w:p>
      <w:pPr>
        <w:pStyle w:val="ListBullet"/>
        <w:spacing w:after="60"/>
      </w:pPr>
      <w:r>
        <w:rPr>
          <w:rFonts w:ascii="Inter" w:hAnsi="Inter"/>
          <w:color w:val="14213D"/>
          <w:sz w:val="20"/>
        </w:rPr>
        <w:t>Track provenance, confidence, duplication and rights metadata for every source.</w:t>
      </w:r>
    </w:p>
    <w:p>
      <w:pPr>
        <w:pStyle w:val="Heading2"/>
      </w:pPr>
      <w:r>
        <w:t>4.2 Two independent source scores</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2448"/>
            <w:shd w:fill="14213D"/>
            <w:tcMar>
              <w:top w:w="120" w:type="dxa"/>
              <w:start w:w="140" w:type="dxa"/>
              <w:bottom w:w="120" w:type="dxa"/>
              <w:end w:w="140" w:type="dxa"/>
            </w:tcMar>
          </w:tcPr>
          <w:p>
            <w:r>
              <w:rPr>
                <w:rFonts w:ascii="Inter" w:hAnsi="Inter"/>
                <w:b/>
                <w:color w:val="FFFFFF"/>
                <w:sz w:val="17"/>
              </w:rPr>
              <w:t>Dimension</w:t>
            </w:r>
          </w:p>
        </w:tc>
        <w:tc>
          <w:tcPr>
            <w:tcW w:type="dxa" w:w="4320"/>
            <w:shd w:fill="14213D"/>
            <w:tcMar>
              <w:top w:w="120" w:type="dxa"/>
              <w:start w:w="140" w:type="dxa"/>
              <w:bottom w:w="120" w:type="dxa"/>
              <w:end w:w="140" w:type="dxa"/>
            </w:tcMar>
          </w:tcPr>
          <w:p>
            <w:r>
              <w:rPr>
                <w:rFonts w:ascii="Inter" w:hAnsi="Inter"/>
                <w:b/>
                <w:color w:val="FFFFFF"/>
                <w:sz w:val="17"/>
              </w:rPr>
              <w:t>Question it answers</w:t>
            </w:r>
          </w:p>
        </w:tc>
        <w:tc>
          <w:tcPr>
            <w:tcW w:type="dxa" w:w="3096"/>
            <w:shd w:fill="14213D"/>
            <w:tcMar>
              <w:top w:w="120" w:type="dxa"/>
              <w:start w:w="140" w:type="dxa"/>
              <w:bottom w:w="120" w:type="dxa"/>
              <w:end w:w="140" w:type="dxa"/>
            </w:tcMar>
          </w:tcPr>
          <w:p>
            <w:r>
              <w:rPr>
                <w:rFonts w:ascii="Inter" w:hAnsi="Inter"/>
                <w:b/>
                <w:color w:val="FFFFFF"/>
                <w:sz w:val="17"/>
              </w:rPr>
              <w:t>Example</w:t>
            </w:r>
          </w:p>
        </w:tc>
      </w:tr>
      <w:tr>
        <w:tc>
          <w:tcPr>
            <w:tcW w:type="dxa" w:w="2448"/>
            <w:tcMar>
              <w:top w:w="120" w:type="dxa"/>
              <w:start w:w="140" w:type="dxa"/>
              <w:bottom w:w="120" w:type="dxa"/>
              <w:end w:w="140" w:type="dxa"/>
            </w:tcMar>
            <w:shd w:fill="F8F9FA"/>
          </w:tcPr>
          <w:p>
            <w:r>
              <w:rPr>
                <w:rFonts w:ascii="Inter" w:hAnsi="Inter"/>
                <w:color w:val="14213D"/>
                <w:sz w:val="18"/>
              </w:rPr>
              <w:t>Authenticity / confidence</w:t>
            </w:r>
          </w:p>
        </w:tc>
        <w:tc>
          <w:tcPr>
            <w:tcW w:type="dxa" w:w="4320"/>
            <w:tcMar>
              <w:top w:w="120" w:type="dxa"/>
              <w:start w:w="140" w:type="dxa"/>
              <w:bottom w:w="120" w:type="dxa"/>
              <w:end w:w="140" w:type="dxa"/>
            </w:tcMar>
            <w:shd w:fill="F8F9FA"/>
          </w:tcPr>
          <w:p>
            <w:r>
              <w:rPr>
                <w:rFonts w:ascii="Inter" w:hAnsi="Inter"/>
                <w:color w:val="14213D"/>
                <w:sz w:val="18"/>
              </w:rPr>
              <w:t>How likely is this material to represent genuine or realistic A2/B1 exam practice?</w:t>
            </w:r>
          </w:p>
        </w:tc>
        <w:tc>
          <w:tcPr>
            <w:tcW w:type="dxa" w:w="3096"/>
            <w:tcMar>
              <w:top w:w="120" w:type="dxa"/>
              <w:start w:w="140" w:type="dxa"/>
              <w:bottom w:w="120" w:type="dxa"/>
              <w:end w:w="140" w:type="dxa"/>
            </w:tcMar>
            <w:shd w:fill="F8F9FA"/>
          </w:tcPr>
          <w:p>
            <w:r>
              <w:rPr>
                <w:rFonts w:ascii="Inter" w:hAnsi="Inter"/>
                <w:color w:val="14213D"/>
                <w:sz w:val="18"/>
              </w:rPr>
              <w:t>A structurally accurate unofficial B1 mock may score high despite weak provenance.</w:t>
            </w:r>
          </w:p>
        </w:tc>
      </w:tr>
      <w:tr>
        <w:tc>
          <w:tcPr>
            <w:tcW w:type="dxa" w:w="2448"/>
            <w:tcMar>
              <w:top w:w="120" w:type="dxa"/>
              <w:start w:w="140" w:type="dxa"/>
              <w:bottom w:w="120" w:type="dxa"/>
              <w:end w:w="140" w:type="dxa"/>
            </w:tcMar>
          </w:tcPr>
          <w:p>
            <w:r>
              <w:rPr>
                <w:rFonts w:ascii="Inter" w:hAnsi="Inter"/>
                <w:color w:val="14213D"/>
                <w:sz w:val="18"/>
              </w:rPr>
              <w:t>Usage rights</w:t>
            </w:r>
          </w:p>
        </w:tc>
        <w:tc>
          <w:tcPr>
            <w:tcW w:type="dxa" w:w="4320"/>
            <w:tcMar>
              <w:top w:w="120" w:type="dxa"/>
              <w:start w:w="140" w:type="dxa"/>
              <w:bottom w:w="120" w:type="dxa"/>
              <w:end w:w="140" w:type="dxa"/>
            </w:tcMar>
          </w:tcPr>
          <w:p>
            <w:r>
              <w:rPr>
                <w:rFonts w:ascii="Inter" w:hAnsi="Inter"/>
                <w:color w:val="14213D"/>
                <w:sz w:val="18"/>
              </w:rPr>
              <w:t>Can the exact original text, audio, image or question be redistributed inside Bestehen?</w:t>
            </w:r>
          </w:p>
        </w:tc>
        <w:tc>
          <w:tcPr>
            <w:tcW w:type="dxa" w:w="3096"/>
            <w:tcMar>
              <w:top w:w="120" w:type="dxa"/>
              <w:start w:w="140" w:type="dxa"/>
              <w:bottom w:w="120" w:type="dxa"/>
              <w:end w:w="140" w:type="dxa"/>
            </w:tcMar>
          </w:tcPr>
          <w:p>
            <w:r>
              <w:rPr>
                <w:rFonts w:ascii="Inter" w:hAnsi="Inter"/>
                <w:color w:val="14213D"/>
                <w:sz w:val="18"/>
              </w:rPr>
              <w:t>A free PDF may still be reference-only if reuse rights are unclear.</w:t>
            </w:r>
          </w:p>
        </w:tc>
      </w:tr>
    </w:tbl>
    <w:p/>
    <w:p>
      <w:pPr>
        <w:pStyle w:val="Heading2"/>
      </w:pPr>
      <w:r>
        <w:t>4.3 Corpus responsibilities</w:t>
      </w:r>
    </w:p>
    <w:p>
      <w:pPr>
        <w:pStyle w:val="ListBullet"/>
        <w:spacing w:after="60"/>
      </w:pPr>
      <w:r>
        <w:rPr>
          <w:rFonts w:ascii="Inter" w:hAnsi="Inter"/>
          <w:color w:val="14213D"/>
          <w:sz w:val="20"/>
        </w:rPr>
        <w:t>Discover and ingest documents, web pages, audio and other exam assets.</w:t>
      </w:r>
    </w:p>
    <w:p>
      <w:pPr>
        <w:pStyle w:val="ListBullet"/>
        <w:spacing w:after="60"/>
      </w:pPr>
      <w:r>
        <w:rPr>
          <w:rFonts w:ascii="Inter" w:hAnsi="Inter"/>
          <w:color w:val="14213D"/>
          <w:sz w:val="20"/>
        </w:rPr>
        <w:t>Extract exam structure, sections, tasks, questions, choices, answer keys and relevant media relationships.</w:t>
      </w:r>
    </w:p>
    <w:p>
      <w:pPr>
        <w:pStyle w:val="ListBullet"/>
        <w:spacing w:after="60"/>
      </w:pPr>
      <w:r>
        <w:rPr>
          <w:rFonts w:ascii="Inter" w:hAnsi="Inter"/>
          <w:color w:val="14213D"/>
          <w:sz w:val="20"/>
        </w:rPr>
        <w:t>Deduplicate mirrors and near-identical exams so repeated uploads do not distort frequency analysis.</w:t>
      </w:r>
    </w:p>
    <w:p>
      <w:pPr>
        <w:pStyle w:val="ListBullet"/>
        <w:spacing w:after="60"/>
      </w:pPr>
      <w:r>
        <w:rPr>
          <w:rFonts w:ascii="Inter" w:hAnsi="Inter"/>
          <w:color w:val="14213D"/>
          <w:sz w:val="20"/>
        </w:rPr>
        <w:t>Classify level, provider style, task type, topic, tested skill, vocabulary, grammar, difficulty and distractor pattern.</w:t>
      </w:r>
    </w:p>
    <w:p>
      <w:pPr>
        <w:pStyle w:val="ListBullet"/>
        <w:spacing w:after="60"/>
      </w:pPr>
      <w:r>
        <w:rPr>
          <w:rFonts w:ascii="Inter" w:hAnsi="Inter"/>
          <w:color w:val="14213D"/>
          <w:sz w:val="20"/>
        </w:rPr>
        <w:t>Score source confidence and TELC relevance.</w:t>
      </w:r>
    </w:p>
    <w:p>
      <w:pPr>
        <w:pStyle w:val="ListBullet"/>
        <w:spacing w:after="60"/>
      </w:pPr>
      <w:r>
        <w:rPr>
          <w:rFonts w:ascii="Inter" w:hAnsi="Inter"/>
          <w:color w:val="14213D"/>
          <w:sz w:val="20"/>
        </w:rPr>
        <w:t>Expose structured evidence that the learning engine can use to prioritize what matters.</w:t>
      </w:r>
    </w:p>
    <w:p>
      <w:pPr>
        <w:pStyle w:val="Heading2"/>
      </w:pPr>
      <w:r>
        <w:t>4.4 Corpus vs. exercise bank</w:t>
      </w:r>
    </w:p>
    <w:p>
      <w:r>
        <w:t>The corpus is evidence; the exercise bank is what the learner practices. They should not be treated as the same thing. Real or reference exam items teach Bestehen what gets tested. The App should primarily serve original exercises that reproduce the same skill, reasoning pattern and difficulty without depending on verbatim redistribution of source material.</w:t>
      </w:r>
    </w:p>
    <w:tbl>
      <w:tblPr>
        <w:tblW w:type="auto" w:w="0"/>
        <w:jc w:val="center"/>
        <w:tblLook w:firstColumn="1" w:firstRow="1" w:lastColumn="0" w:lastRow="0" w:noHBand="0" w:noVBand="1" w:val="04A0"/>
      </w:tblPr>
      <w:tblGrid>
        <w:gridCol w:w="9994"/>
      </w:tblGrid>
      <w:tr>
        <w:tc>
          <w:tcPr>
            <w:tcW w:type="dxa" w:w="9994"/>
            <w:shd w:fill="E8F5EF"/>
            <w:tcMar>
              <w:top w:w="180" w:type="dxa"/>
              <w:start w:w="200" w:type="dxa"/>
              <w:bottom w:w="180" w:type="dxa"/>
              <w:end w:w="200" w:type="dxa"/>
            </w:tcMar>
          </w:tcPr>
          <w:p>
            <w:r>
              <w:rPr>
                <w:rFonts w:ascii="Inter" w:hAnsi="Inter"/>
                <w:b/>
                <w:color w:val="1D6F50"/>
                <w:sz w:val="24"/>
              </w:rPr>
              <w:t>Real exams define what we teach. Original exercises provide how we practice it.</w:t>
            </w:r>
          </w:p>
        </w:tc>
      </w:tr>
    </w:tbl>
    <w:p/>
    <w:p>
      <w:pPr>
        <w:pStyle w:val="Heading1"/>
      </w:pPr>
      <w:r>
        <w:t>5. Bestehen / App</w:t>
      </w:r>
    </w:p>
    <w:p>
      <w:r>
        <w:t>Bestehen / App is the learner-facing exam coach. Its job is to convert the Corpus, the learner’s history and the target exam into the best next training decision. The App should feel complete as a product: reading, language elements, listening, writing, speaking, review, mock exams and readiness all belong to the target experience.</w:t>
      </w:r>
    </w:p>
    <w:p>
      <w:pPr>
        <w:pStyle w:val="Heading2"/>
      </w:pPr>
      <w:r>
        <w:t>5.1 Core capabilities</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2376"/>
            <w:shd w:fill="14213D"/>
            <w:tcMar>
              <w:top w:w="120" w:type="dxa"/>
              <w:start w:w="140" w:type="dxa"/>
              <w:bottom w:w="120" w:type="dxa"/>
              <w:end w:w="140" w:type="dxa"/>
            </w:tcMar>
          </w:tcPr>
          <w:p>
            <w:r>
              <w:rPr>
                <w:rFonts w:ascii="Inter" w:hAnsi="Inter"/>
                <w:b/>
                <w:color w:val="FFFFFF"/>
                <w:sz w:val="17"/>
              </w:rPr>
              <w:t>Capability</w:t>
            </w:r>
          </w:p>
        </w:tc>
        <w:tc>
          <w:tcPr>
            <w:tcW w:type="dxa" w:w="7488"/>
            <w:shd w:fill="14213D"/>
            <w:tcMar>
              <w:top w:w="120" w:type="dxa"/>
              <w:start w:w="140" w:type="dxa"/>
              <w:bottom w:w="120" w:type="dxa"/>
              <w:end w:w="140" w:type="dxa"/>
            </w:tcMar>
          </w:tcPr>
          <w:p>
            <w:r>
              <w:rPr>
                <w:rFonts w:ascii="Inter" w:hAnsi="Inter"/>
                <w:b/>
                <w:color w:val="FFFFFF"/>
                <w:sz w:val="17"/>
              </w:rPr>
              <w:t>Role in the product</w:t>
            </w:r>
          </w:p>
        </w:tc>
      </w:tr>
      <w:tr>
        <w:tc>
          <w:tcPr>
            <w:tcW w:type="dxa" w:w="2376"/>
            <w:tcMar>
              <w:top w:w="120" w:type="dxa"/>
              <w:start w:w="140" w:type="dxa"/>
              <w:bottom w:w="120" w:type="dxa"/>
              <w:end w:w="140" w:type="dxa"/>
            </w:tcMar>
            <w:shd w:fill="F8F9FA"/>
          </w:tcPr>
          <w:p>
            <w:r>
              <w:rPr>
                <w:rFonts w:ascii="Inter" w:hAnsi="Inter"/>
                <w:color w:val="14213D"/>
                <w:sz w:val="18"/>
              </w:rPr>
              <w:t>Diagnostic</w:t>
            </w:r>
          </w:p>
        </w:tc>
        <w:tc>
          <w:tcPr>
            <w:tcW w:type="dxa" w:w="7488"/>
            <w:tcMar>
              <w:top w:w="120" w:type="dxa"/>
              <w:start w:w="140" w:type="dxa"/>
              <w:bottom w:w="120" w:type="dxa"/>
              <w:end w:w="140" w:type="dxa"/>
            </w:tcMar>
            <w:shd w:fill="F8F9FA"/>
          </w:tcPr>
          <w:p>
            <w:r>
              <w:rPr>
                <w:rFonts w:ascii="Inter" w:hAnsi="Inter"/>
                <w:color w:val="14213D"/>
                <w:sz w:val="18"/>
              </w:rPr>
              <w:t>Establish the learner’s starting state without forcing an A1 learner through a full B1 exam.</w:t>
            </w:r>
          </w:p>
        </w:tc>
      </w:tr>
      <w:tr>
        <w:tc>
          <w:tcPr>
            <w:tcW w:type="dxa" w:w="2376"/>
            <w:tcMar>
              <w:top w:w="120" w:type="dxa"/>
              <w:start w:w="140" w:type="dxa"/>
              <w:bottom w:w="120" w:type="dxa"/>
              <w:end w:w="140" w:type="dxa"/>
            </w:tcMar>
          </w:tcPr>
          <w:p>
            <w:r>
              <w:rPr>
                <w:rFonts w:ascii="Inter" w:hAnsi="Inter"/>
                <w:color w:val="14213D"/>
                <w:sz w:val="18"/>
              </w:rPr>
              <w:t>Daily coaching plan</w:t>
            </w:r>
          </w:p>
        </w:tc>
        <w:tc>
          <w:tcPr>
            <w:tcW w:type="dxa" w:w="7488"/>
            <w:tcMar>
              <w:top w:w="120" w:type="dxa"/>
              <w:start w:w="140" w:type="dxa"/>
              <w:bottom w:w="120" w:type="dxa"/>
              <w:end w:w="140" w:type="dxa"/>
            </w:tcMar>
          </w:tcPr>
          <w:p>
            <w:r>
              <w:rPr>
                <w:rFonts w:ascii="Inter" w:hAnsi="Inter"/>
                <w:color w:val="14213D"/>
                <w:sz w:val="18"/>
              </w:rPr>
              <w:t>Choose the highest-value activities for the available time based on weakness, exam importance and review needs.</w:t>
            </w:r>
          </w:p>
        </w:tc>
      </w:tr>
      <w:tr>
        <w:tc>
          <w:tcPr>
            <w:tcW w:type="dxa" w:w="2376"/>
            <w:tcMar>
              <w:top w:w="120" w:type="dxa"/>
              <w:start w:w="140" w:type="dxa"/>
              <w:bottom w:w="120" w:type="dxa"/>
              <w:end w:w="140" w:type="dxa"/>
            </w:tcMar>
            <w:shd w:fill="F8F9FA"/>
          </w:tcPr>
          <w:p>
            <w:r>
              <w:rPr>
                <w:rFonts w:ascii="Inter" w:hAnsi="Inter"/>
                <w:color w:val="14213D"/>
                <w:sz w:val="18"/>
              </w:rPr>
              <w:t>Exam-shaped practice</w:t>
            </w:r>
          </w:p>
        </w:tc>
        <w:tc>
          <w:tcPr>
            <w:tcW w:type="dxa" w:w="7488"/>
            <w:tcMar>
              <w:top w:w="120" w:type="dxa"/>
              <w:start w:w="140" w:type="dxa"/>
              <w:bottom w:w="120" w:type="dxa"/>
              <w:end w:w="140" w:type="dxa"/>
            </w:tcMar>
            <w:shd w:fill="F8F9FA"/>
          </w:tcPr>
          <w:p>
            <w:r>
              <w:rPr>
                <w:rFonts w:ascii="Inter" w:hAnsi="Inter"/>
                <w:color w:val="14213D"/>
                <w:sz w:val="18"/>
              </w:rPr>
              <w:t>Train all relevant exam skills from assisted A1/A2 activities through realistic B1 tasks.</w:t>
            </w:r>
          </w:p>
        </w:tc>
      </w:tr>
      <w:tr>
        <w:tc>
          <w:tcPr>
            <w:tcW w:type="dxa" w:w="2376"/>
            <w:tcMar>
              <w:top w:w="120" w:type="dxa"/>
              <w:start w:w="140" w:type="dxa"/>
              <w:bottom w:w="120" w:type="dxa"/>
              <w:end w:w="140" w:type="dxa"/>
            </w:tcMar>
          </w:tcPr>
          <w:p>
            <w:r>
              <w:rPr>
                <w:rFonts w:ascii="Inter" w:hAnsi="Inter"/>
                <w:color w:val="14213D"/>
                <w:sz w:val="18"/>
              </w:rPr>
              <w:t>Mistake memory</w:t>
            </w:r>
          </w:p>
        </w:tc>
        <w:tc>
          <w:tcPr>
            <w:tcW w:type="dxa" w:w="7488"/>
            <w:tcMar>
              <w:top w:w="120" w:type="dxa"/>
              <w:start w:w="140" w:type="dxa"/>
              <w:bottom w:w="120" w:type="dxa"/>
              <w:end w:w="140" w:type="dxa"/>
            </w:tcMar>
          </w:tcPr>
          <w:p>
            <w:r>
              <w:rPr>
                <w:rFonts w:ascii="Inter" w:hAnsi="Inter"/>
                <w:color w:val="14213D"/>
                <w:sz w:val="18"/>
              </w:rPr>
              <w:t>Turn individual wrong answers and weak responses into persistent learner-model signals.</w:t>
            </w:r>
          </w:p>
        </w:tc>
      </w:tr>
      <w:tr>
        <w:tc>
          <w:tcPr>
            <w:tcW w:type="dxa" w:w="2376"/>
            <w:tcMar>
              <w:top w:w="120" w:type="dxa"/>
              <w:start w:w="140" w:type="dxa"/>
              <w:bottom w:w="120" w:type="dxa"/>
              <w:end w:w="140" w:type="dxa"/>
            </w:tcMar>
            <w:shd w:fill="F8F9FA"/>
          </w:tcPr>
          <w:p>
            <w:r>
              <w:rPr>
                <w:rFonts w:ascii="Inter" w:hAnsi="Inter"/>
                <w:color w:val="14213D"/>
                <w:sz w:val="18"/>
              </w:rPr>
              <w:t>Targeted repair</w:t>
            </w:r>
          </w:p>
        </w:tc>
        <w:tc>
          <w:tcPr>
            <w:tcW w:type="dxa" w:w="7488"/>
            <w:tcMar>
              <w:top w:w="120" w:type="dxa"/>
              <w:start w:w="140" w:type="dxa"/>
              <w:bottom w:w="120" w:type="dxa"/>
              <w:end w:w="140" w:type="dxa"/>
            </w:tcMar>
            <w:shd w:fill="F8F9FA"/>
          </w:tcPr>
          <w:p>
            <w:r>
              <w:rPr>
                <w:rFonts w:ascii="Inter" w:hAnsi="Inter"/>
                <w:color w:val="14213D"/>
                <w:sz w:val="18"/>
              </w:rPr>
              <w:t>Teach the smallest useful concept needed to fix a performance problem.</w:t>
            </w:r>
          </w:p>
        </w:tc>
      </w:tr>
      <w:tr>
        <w:tc>
          <w:tcPr>
            <w:tcW w:type="dxa" w:w="2376"/>
            <w:tcMar>
              <w:top w:w="120" w:type="dxa"/>
              <w:start w:w="140" w:type="dxa"/>
              <w:bottom w:w="120" w:type="dxa"/>
              <w:end w:w="140" w:type="dxa"/>
            </w:tcMar>
          </w:tcPr>
          <w:p>
            <w:r>
              <w:rPr>
                <w:rFonts w:ascii="Inter" w:hAnsi="Inter"/>
                <w:color w:val="14213D"/>
                <w:sz w:val="18"/>
              </w:rPr>
              <w:t>Adaptive review</w:t>
            </w:r>
          </w:p>
        </w:tc>
        <w:tc>
          <w:tcPr>
            <w:tcW w:type="dxa" w:w="7488"/>
            <w:tcMar>
              <w:top w:w="120" w:type="dxa"/>
              <w:start w:w="140" w:type="dxa"/>
              <w:bottom w:w="120" w:type="dxa"/>
              <w:end w:w="140" w:type="dxa"/>
            </w:tcMar>
          </w:tcPr>
          <w:p>
            <w:r>
              <w:rPr>
                <w:rFonts w:ascii="Inter" w:hAnsi="Inter"/>
                <w:color w:val="14213D"/>
                <w:sz w:val="18"/>
              </w:rPr>
              <w:t>Revisit recurring weaknesses using spaced and evidence-driven practice.</w:t>
            </w:r>
          </w:p>
        </w:tc>
      </w:tr>
      <w:tr>
        <w:tc>
          <w:tcPr>
            <w:tcW w:type="dxa" w:w="2376"/>
            <w:tcMar>
              <w:top w:w="120" w:type="dxa"/>
              <w:start w:w="140" w:type="dxa"/>
              <w:bottom w:w="120" w:type="dxa"/>
              <w:end w:w="140" w:type="dxa"/>
            </w:tcMar>
            <w:shd w:fill="F8F9FA"/>
          </w:tcPr>
          <w:p>
            <w:r>
              <w:rPr>
                <w:rFonts w:ascii="Inter" w:hAnsi="Inter"/>
                <w:color w:val="14213D"/>
                <w:sz w:val="18"/>
              </w:rPr>
              <w:t>Writing evaluation</w:t>
            </w:r>
          </w:p>
        </w:tc>
        <w:tc>
          <w:tcPr>
            <w:tcW w:type="dxa" w:w="7488"/>
            <w:tcMar>
              <w:top w:w="120" w:type="dxa"/>
              <w:start w:w="140" w:type="dxa"/>
              <w:bottom w:w="120" w:type="dxa"/>
              <w:end w:w="140" w:type="dxa"/>
            </w:tcMar>
            <w:shd w:fill="F8F9FA"/>
          </w:tcPr>
          <w:p>
            <w:r>
              <w:rPr>
                <w:rFonts w:ascii="Inter" w:hAnsi="Inter"/>
                <w:color w:val="14213D"/>
                <w:sz w:val="18"/>
              </w:rPr>
              <w:t>Judge task fulfillment and B1 exam usefulness rather than rewriting everything into advanced German.</w:t>
            </w:r>
          </w:p>
        </w:tc>
      </w:tr>
      <w:tr>
        <w:tc>
          <w:tcPr>
            <w:tcW w:type="dxa" w:w="2376"/>
            <w:tcMar>
              <w:top w:w="120" w:type="dxa"/>
              <w:start w:w="140" w:type="dxa"/>
              <w:bottom w:w="120" w:type="dxa"/>
              <w:end w:w="140" w:type="dxa"/>
            </w:tcMar>
          </w:tcPr>
          <w:p>
            <w:r>
              <w:rPr>
                <w:rFonts w:ascii="Inter" w:hAnsi="Inter"/>
                <w:color w:val="14213D"/>
                <w:sz w:val="18"/>
              </w:rPr>
              <w:t>Speaking coach</w:t>
            </w:r>
          </w:p>
        </w:tc>
        <w:tc>
          <w:tcPr>
            <w:tcW w:type="dxa" w:w="7488"/>
            <w:tcMar>
              <w:top w:w="120" w:type="dxa"/>
              <w:start w:w="140" w:type="dxa"/>
              <w:bottom w:w="120" w:type="dxa"/>
              <w:end w:w="140" w:type="dxa"/>
            </w:tcMar>
          </w:tcPr>
          <w:p>
            <w:r>
              <w:rPr>
                <w:rFonts w:ascii="Inter" w:hAnsi="Inter"/>
                <w:color w:val="14213D"/>
                <w:sz w:val="18"/>
              </w:rPr>
              <w:t>Simulate exam interaction, evaluate communication and give practical B1-level repair.</w:t>
            </w:r>
          </w:p>
        </w:tc>
      </w:tr>
      <w:tr>
        <w:tc>
          <w:tcPr>
            <w:tcW w:type="dxa" w:w="2376"/>
            <w:tcMar>
              <w:top w:w="120" w:type="dxa"/>
              <w:start w:w="140" w:type="dxa"/>
              <w:bottom w:w="120" w:type="dxa"/>
              <w:end w:w="140" w:type="dxa"/>
            </w:tcMar>
            <w:shd w:fill="F8F9FA"/>
          </w:tcPr>
          <w:p>
            <w:r>
              <w:rPr>
                <w:rFonts w:ascii="Inter" w:hAnsi="Inter"/>
                <w:color w:val="14213D"/>
                <w:sz w:val="18"/>
              </w:rPr>
              <w:t>Mock exams</w:t>
            </w:r>
          </w:p>
        </w:tc>
        <w:tc>
          <w:tcPr>
            <w:tcW w:type="dxa" w:w="7488"/>
            <w:tcMar>
              <w:top w:w="120" w:type="dxa"/>
              <w:start w:w="140" w:type="dxa"/>
              <w:bottom w:w="120" w:type="dxa"/>
              <w:end w:w="140" w:type="dxa"/>
            </w:tcMar>
            <w:shd w:fill="F8F9FA"/>
          </w:tcPr>
          <w:p>
            <w:r>
              <w:rPr>
                <w:rFonts w:ascii="Inter" w:hAnsi="Inter"/>
                <w:color w:val="14213D"/>
                <w:sz w:val="18"/>
              </w:rPr>
              <w:t>Measure performance under increasingly realistic constraints.</w:t>
            </w:r>
          </w:p>
        </w:tc>
      </w:tr>
      <w:tr>
        <w:tc>
          <w:tcPr>
            <w:tcW w:type="dxa" w:w="2376"/>
            <w:tcMar>
              <w:top w:w="120" w:type="dxa"/>
              <w:start w:w="140" w:type="dxa"/>
              <w:bottom w:w="120" w:type="dxa"/>
              <w:end w:w="140" w:type="dxa"/>
            </w:tcMar>
          </w:tcPr>
          <w:p>
            <w:r>
              <w:rPr>
                <w:rFonts w:ascii="Inter" w:hAnsi="Inter"/>
                <w:color w:val="14213D"/>
                <w:sz w:val="18"/>
              </w:rPr>
              <w:t>Readiness model</w:t>
            </w:r>
          </w:p>
        </w:tc>
        <w:tc>
          <w:tcPr>
            <w:tcW w:type="dxa" w:w="7488"/>
            <w:tcMar>
              <w:top w:w="120" w:type="dxa"/>
              <w:start w:w="140" w:type="dxa"/>
              <w:bottom w:w="120" w:type="dxa"/>
              <w:end w:w="140" w:type="dxa"/>
            </w:tcMar>
          </w:tcPr>
          <w:p>
            <w:r>
              <w:rPr>
                <w:rFonts w:ascii="Inter" w:hAnsi="Inter"/>
                <w:color w:val="14213D"/>
                <w:sz w:val="18"/>
              </w:rPr>
              <w:t>Estimate how close the learner is to the safe pass range and explain what is holding them back.</w:t>
            </w:r>
          </w:p>
        </w:tc>
      </w:tr>
    </w:tbl>
    <w:p/>
    <w:p>
      <w:pPr>
        <w:pStyle w:val="Heading2"/>
      </w:pPr>
      <w:r>
        <w:t>5.2 The daily experience</w:t>
      </w:r>
    </w:p>
    <w:p>
      <w:r>
        <w:t>A typical session should feel like a coach-led mission rather than a lesson sequence. A possible 20–30 minute session may contain:</w:t>
      </w:r>
    </w:p>
    <w:p>
      <w:pPr>
        <w:pStyle w:val="ListNumber"/>
        <w:spacing w:after="80"/>
      </w:pPr>
      <w:r>
        <w:rPr>
          <w:rFonts w:ascii="Inter" w:hAnsi="Inter"/>
          <w:color w:val="14213D"/>
          <w:sz w:val="20"/>
        </w:rPr>
        <w:t>A short review of recurring mistakes or due memory items.</w:t>
      </w:r>
    </w:p>
    <w:p>
      <w:pPr>
        <w:pStyle w:val="ListNumber"/>
        <w:spacing w:after="80"/>
      </w:pPr>
      <w:r>
        <w:rPr>
          <w:rFonts w:ascii="Inter" w:hAnsi="Inter"/>
          <w:color w:val="14213D"/>
          <w:sz w:val="20"/>
        </w:rPr>
        <w:t>A focused exam-style challenge selected for the learner’s current priorities.</w:t>
      </w:r>
    </w:p>
    <w:p>
      <w:pPr>
        <w:pStyle w:val="ListNumber"/>
        <w:spacing w:after="80"/>
      </w:pPr>
      <w:r>
        <w:rPr>
          <w:rFonts w:ascii="Inter" w:hAnsi="Inter"/>
          <w:color w:val="14213D"/>
          <w:sz w:val="20"/>
        </w:rPr>
        <w:t>A diagnosis explaining where points were lost and why.</w:t>
      </w:r>
    </w:p>
    <w:p>
      <w:pPr>
        <w:pStyle w:val="ListNumber"/>
        <w:spacing w:after="80"/>
      </w:pPr>
      <w:r>
        <w:rPr>
          <w:rFonts w:ascii="Inter" w:hAnsi="Inter"/>
          <w:color w:val="14213D"/>
          <w:sz w:val="20"/>
        </w:rPr>
        <w:t>A brief repair activity for the blocking vocabulary, grammar, comprehension or strategy issue.</w:t>
      </w:r>
    </w:p>
    <w:p>
      <w:pPr>
        <w:pStyle w:val="ListNumber"/>
        <w:spacing w:after="80"/>
      </w:pPr>
      <w:r>
        <w:rPr>
          <w:rFonts w:ascii="Inter" w:hAnsi="Inter"/>
          <w:color w:val="14213D"/>
          <w:sz w:val="20"/>
        </w:rPr>
        <w:t>A fresh retry that checks whether the repair transferred.</w:t>
      </w:r>
    </w:p>
    <w:p>
      <w:pPr>
        <w:pStyle w:val="ListNumber"/>
        <w:spacing w:after="80"/>
      </w:pPr>
      <w:r>
        <w:rPr>
          <w:rFonts w:ascii="Inter" w:hAnsi="Inter"/>
          <w:color w:val="14213D"/>
          <w:sz w:val="20"/>
        </w:rPr>
        <w:t>An updated readiness view and a concise coaching takeaway.</w:t>
      </w:r>
    </w:p>
    <w:p>
      <w:pPr>
        <w:pStyle w:val="Heading1"/>
      </w:pPr>
      <w:r>
        <w:t>6. Learner Model and Knowledge Model</w:t>
      </w:r>
    </w:p>
    <w:p>
      <w:r>
        <w:t>Bestehen should not rely on a fixed textbook curriculum. Internally, it should maintain a structured model of the knowledge and behaviors that influence B1 exam performance. Corpus items, generated exercises and learner mistakes all connect to that model.</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2160"/>
            <w:shd w:fill="14213D"/>
            <w:tcMar>
              <w:top w:w="120" w:type="dxa"/>
              <w:start w:w="140" w:type="dxa"/>
              <w:bottom w:w="120" w:type="dxa"/>
              <w:end w:w="140" w:type="dxa"/>
            </w:tcMar>
          </w:tcPr>
          <w:p>
            <w:r>
              <w:rPr>
                <w:rFonts w:ascii="Inter" w:hAnsi="Inter"/>
                <w:b/>
                <w:color w:val="FFFFFF"/>
                <w:sz w:val="17"/>
              </w:rPr>
              <w:t>Area</w:t>
            </w:r>
          </w:p>
        </w:tc>
        <w:tc>
          <w:tcPr>
            <w:tcW w:type="dxa" w:w="7704"/>
            <w:shd w:fill="14213D"/>
            <w:tcMar>
              <w:top w:w="120" w:type="dxa"/>
              <w:start w:w="140" w:type="dxa"/>
              <w:bottom w:w="120" w:type="dxa"/>
              <w:end w:w="140" w:type="dxa"/>
            </w:tcMar>
          </w:tcPr>
          <w:p>
            <w:r>
              <w:rPr>
                <w:rFonts w:ascii="Inter" w:hAnsi="Inter"/>
                <w:b/>
                <w:color w:val="FFFFFF"/>
                <w:sz w:val="17"/>
              </w:rPr>
              <w:t>Examples of tracked nodes</w:t>
            </w:r>
          </w:p>
        </w:tc>
      </w:tr>
      <w:tr>
        <w:tc>
          <w:tcPr>
            <w:tcW w:type="dxa" w:w="2160"/>
            <w:tcMar>
              <w:top w:w="120" w:type="dxa"/>
              <w:start w:w="140" w:type="dxa"/>
              <w:bottom w:w="120" w:type="dxa"/>
              <w:end w:w="140" w:type="dxa"/>
            </w:tcMar>
            <w:shd w:fill="F8F9FA"/>
          </w:tcPr>
          <w:p>
            <w:r>
              <w:rPr>
                <w:rFonts w:ascii="Inter" w:hAnsi="Inter"/>
                <w:color w:val="14213D"/>
                <w:sz w:val="18"/>
              </w:rPr>
              <w:t>Vocabulary</w:t>
            </w:r>
          </w:p>
        </w:tc>
        <w:tc>
          <w:tcPr>
            <w:tcW w:type="dxa" w:w="7704"/>
            <w:tcMar>
              <w:top w:w="120" w:type="dxa"/>
              <w:start w:w="140" w:type="dxa"/>
              <w:bottom w:w="120" w:type="dxa"/>
              <w:end w:w="140" w:type="dxa"/>
            </w:tcMar>
            <w:shd w:fill="F8F9FA"/>
          </w:tcPr>
          <w:p>
            <w:r>
              <w:rPr>
                <w:rFonts w:ascii="Inter" w:hAnsi="Inter"/>
                <w:color w:val="14213D"/>
                <w:sz w:val="18"/>
              </w:rPr>
              <w:t>Housing, appointments, travel, work, services, health, scheduling, common exam verbs and synonym groups.</w:t>
            </w:r>
          </w:p>
        </w:tc>
      </w:tr>
      <w:tr>
        <w:tc>
          <w:tcPr>
            <w:tcW w:type="dxa" w:w="2160"/>
            <w:tcMar>
              <w:top w:w="120" w:type="dxa"/>
              <w:start w:w="140" w:type="dxa"/>
              <w:bottom w:w="120" w:type="dxa"/>
              <w:end w:w="140" w:type="dxa"/>
            </w:tcMar>
          </w:tcPr>
          <w:p>
            <w:r>
              <w:rPr>
                <w:rFonts w:ascii="Inter" w:hAnsi="Inter"/>
                <w:color w:val="14213D"/>
                <w:sz w:val="18"/>
              </w:rPr>
              <w:t>Grammar</w:t>
            </w:r>
          </w:p>
        </w:tc>
        <w:tc>
          <w:tcPr>
            <w:tcW w:type="dxa" w:w="7704"/>
            <w:tcMar>
              <w:top w:w="120" w:type="dxa"/>
              <w:start w:w="140" w:type="dxa"/>
              <w:bottom w:w="120" w:type="dxa"/>
              <w:end w:w="140" w:type="dxa"/>
            </w:tcMar>
          </w:tcPr>
          <w:p>
            <w:r>
              <w:rPr>
                <w:rFonts w:ascii="Inter" w:hAnsi="Inter"/>
                <w:color w:val="14213D"/>
                <w:sz w:val="18"/>
              </w:rPr>
              <w:t>Word order, subordinate clauses, connectors, modal verbs, cases, prepositions, tense usage, relative structures.</w:t>
            </w:r>
          </w:p>
        </w:tc>
      </w:tr>
      <w:tr>
        <w:tc>
          <w:tcPr>
            <w:tcW w:type="dxa" w:w="2160"/>
            <w:tcMar>
              <w:top w:w="120" w:type="dxa"/>
              <w:start w:w="140" w:type="dxa"/>
              <w:bottom w:w="120" w:type="dxa"/>
              <w:end w:w="140" w:type="dxa"/>
            </w:tcMar>
            <w:shd w:fill="F8F9FA"/>
          </w:tcPr>
          <w:p>
            <w:r>
              <w:rPr>
                <w:rFonts w:ascii="Inter" w:hAnsi="Inter"/>
                <w:color w:val="14213D"/>
                <w:sz w:val="18"/>
              </w:rPr>
              <w:t>Reading skills</w:t>
            </w:r>
          </w:p>
        </w:tc>
        <w:tc>
          <w:tcPr>
            <w:tcW w:type="dxa" w:w="7704"/>
            <w:tcMar>
              <w:top w:w="120" w:type="dxa"/>
              <w:start w:w="140" w:type="dxa"/>
              <w:bottom w:w="120" w:type="dxa"/>
              <w:end w:w="140" w:type="dxa"/>
            </w:tcMar>
            <w:shd w:fill="F8F9FA"/>
          </w:tcPr>
          <w:p>
            <w:r>
              <w:rPr>
                <w:rFonts w:ascii="Inter" w:hAnsi="Inter"/>
                <w:color w:val="14213D"/>
                <w:sz w:val="18"/>
              </w:rPr>
              <w:t>Scanning, inference, synonym recognition, matching, detail extraction, distractor rejection.</w:t>
            </w:r>
          </w:p>
        </w:tc>
      </w:tr>
      <w:tr>
        <w:tc>
          <w:tcPr>
            <w:tcW w:type="dxa" w:w="2160"/>
            <w:tcMar>
              <w:top w:w="120" w:type="dxa"/>
              <w:start w:w="140" w:type="dxa"/>
              <w:bottom w:w="120" w:type="dxa"/>
              <w:end w:w="140" w:type="dxa"/>
            </w:tcMar>
          </w:tcPr>
          <w:p>
            <w:r>
              <w:rPr>
                <w:rFonts w:ascii="Inter" w:hAnsi="Inter"/>
                <w:color w:val="14213D"/>
                <w:sz w:val="18"/>
              </w:rPr>
              <w:t>Listening skills</w:t>
            </w:r>
          </w:p>
        </w:tc>
        <w:tc>
          <w:tcPr>
            <w:tcW w:type="dxa" w:w="7704"/>
            <w:tcMar>
              <w:top w:w="120" w:type="dxa"/>
              <w:start w:w="140" w:type="dxa"/>
              <w:bottom w:w="120" w:type="dxa"/>
              <w:end w:w="140" w:type="dxa"/>
            </w:tcMar>
          </w:tcPr>
          <w:p>
            <w:r>
              <w:rPr>
                <w:rFonts w:ascii="Inter" w:hAnsi="Inter"/>
                <w:color w:val="14213D"/>
                <w:sz w:val="18"/>
              </w:rPr>
              <w:t>Numbers, dates, announcements, gist, detail, speaker intention, noise/speed tolerance.</w:t>
            </w:r>
          </w:p>
        </w:tc>
      </w:tr>
      <w:tr>
        <w:tc>
          <w:tcPr>
            <w:tcW w:type="dxa" w:w="2160"/>
            <w:tcMar>
              <w:top w:w="120" w:type="dxa"/>
              <w:start w:w="140" w:type="dxa"/>
              <w:bottom w:w="120" w:type="dxa"/>
              <w:end w:w="140" w:type="dxa"/>
            </w:tcMar>
            <w:shd w:fill="F8F9FA"/>
          </w:tcPr>
          <w:p>
            <w:r>
              <w:rPr>
                <w:rFonts w:ascii="Inter" w:hAnsi="Inter"/>
                <w:color w:val="14213D"/>
                <w:sz w:val="18"/>
              </w:rPr>
              <w:t>Writing</w:t>
            </w:r>
          </w:p>
        </w:tc>
        <w:tc>
          <w:tcPr>
            <w:tcW w:type="dxa" w:w="7704"/>
            <w:tcMar>
              <w:top w:w="120" w:type="dxa"/>
              <w:start w:w="140" w:type="dxa"/>
              <w:bottom w:w="120" w:type="dxa"/>
              <w:end w:w="140" w:type="dxa"/>
            </w:tcMar>
            <w:shd w:fill="F8F9FA"/>
          </w:tcPr>
          <w:p>
            <w:r>
              <w:rPr>
                <w:rFonts w:ascii="Inter" w:hAnsi="Inter"/>
                <w:color w:val="14213D"/>
                <w:sz w:val="18"/>
              </w:rPr>
              <w:t>Task coverage, register, structure, clarity, connectors, grammatical control, useful exam phrases.</w:t>
            </w:r>
          </w:p>
        </w:tc>
      </w:tr>
      <w:tr>
        <w:tc>
          <w:tcPr>
            <w:tcW w:type="dxa" w:w="2160"/>
            <w:tcMar>
              <w:top w:w="120" w:type="dxa"/>
              <w:start w:w="140" w:type="dxa"/>
              <w:bottom w:w="120" w:type="dxa"/>
              <w:end w:w="140" w:type="dxa"/>
            </w:tcMar>
          </w:tcPr>
          <w:p>
            <w:r>
              <w:rPr>
                <w:rFonts w:ascii="Inter" w:hAnsi="Inter"/>
                <w:color w:val="14213D"/>
                <w:sz w:val="18"/>
              </w:rPr>
              <w:t>Speaking</w:t>
            </w:r>
          </w:p>
        </w:tc>
        <w:tc>
          <w:tcPr>
            <w:tcW w:type="dxa" w:w="7704"/>
            <w:tcMar>
              <w:top w:w="120" w:type="dxa"/>
              <w:start w:w="140" w:type="dxa"/>
              <w:bottom w:w="120" w:type="dxa"/>
              <w:end w:w="140" w:type="dxa"/>
            </w:tcMar>
          </w:tcPr>
          <w:p>
            <w:r>
              <w:rPr>
                <w:rFonts w:ascii="Inter" w:hAnsi="Inter"/>
                <w:color w:val="14213D"/>
                <w:sz w:val="18"/>
              </w:rPr>
              <w:t>Interaction, task completion, fluency, repair, turn-taking, planning language, comprehensibility.</w:t>
            </w:r>
          </w:p>
        </w:tc>
      </w:tr>
      <w:tr>
        <w:tc>
          <w:tcPr>
            <w:tcW w:type="dxa" w:w="2160"/>
            <w:tcMar>
              <w:top w:w="120" w:type="dxa"/>
              <w:start w:w="140" w:type="dxa"/>
              <w:bottom w:w="120" w:type="dxa"/>
              <w:end w:w="140" w:type="dxa"/>
            </w:tcMar>
            <w:shd w:fill="F8F9FA"/>
          </w:tcPr>
          <w:p>
            <w:r>
              <w:rPr>
                <w:rFonts w:ascii="Inter" w:hAnsi="Inter"/>
                <w:color w:val="14213D"/>
                <w:sz w:val="18"/>
              </w:rPr>
              <w:t>Exam strategy</w:t>
            </w:r>
          </w:p>
        </w:tc>
        <w:tc>
          <w:tcPr>
            <w:tcW w:type="dxa" w:w="7704"/>
            <w:tcMar>
              <w:top w:w="120" w:type="dxa"/>
              <w:start w:w="140" w:type="dxa"/>
              <w:bottom w:w="120" w:type="dxa"/>
              <w:end w:w="140" w:type="dxa"/>
            </w:tcMar>
            <w:shd w:fill="F8F9FA"/>
          </w:tcPr>
          <w:p>
            <w:r>
              <w:rPr>
                <w:rFonts w:ascii="Inter" w:hAnsi="Inter"/>
                <w:color w:val="14213D"/>
                <w:sz w:val="18"/>
              </w:rPr>
              <w:t>Time management, elimination, recognizing distractors, handling unknown words, using preparation time.</w:t>
            </w:r>
          </w:p>
        </w:tc>
      </w:tr>
    </w:tbl>
    <w:p/>
    <w:p>
      <w:pPr>
        <w:pStyle w:val="Heading1"/>
      </w:pPr>
      <w:r>
        <w:t>7. Readiness as the Primary Metric</w:t>
      </w:r>
    </w:p>
    <w:p>
      <w:r>
        <w:t>Readiness is the central product metric and must be more than an attractive percentage. It should be derived from observed performance across exam-relevant skills, recent evidence, difficulty, assistance used, time constraints and mock-exam results. It should become more reliable as the learner generates more evidence.</w:t>
      </w:r>
    </w:p>
    <w:p>
      <w:pPr>
        <w:pStyle w:val="ListBullet"/>
        <w:spacing w:after="60"/>
      </w:pPr>
      <w:r>
        <w:rPr>
          <w:rFonts w:ascii="Inter" w:hAnsi="Inter"/>
          <w:color w:val="14213D"/>
          <w:sz w:val="20"/>
        </w:rPr>
        <w:t>Show written and oral readiness separately where useful; a strong area should not hide a pass-critical weak area.</w:t>
      </w:r>
    </w:p>
    <w:p>
      <w:pPr>
        <w:pStyle w:val="ListBullet"/>
        <w:spacing w:after="60"/>
      </w:pPr>
      <w:r>
        <w:rPr>
          <w:rFonts w:ascii="Inter" w:hAnsi="Inter"/>
          <w:color w:val="14213D"/>
          <w:sz w:val="20"/>
        </w:rPr>
        <w:t>Show confidence or evidence quality when the estimate is still uncertain.</w:t>
      </w:r>
    </w:p>
    <w:p>
      <w:pPr>
        <w:pStyle w:val="ListBullet"/>
        <w:spacing w:after="60"/>
      </w:pPr>
      <w:r>
        <w:rPr>
          <w:rFonts w:ascii="Inter" w:hAnsi="Inter"/>
          <w:color w:val="14213D"/>
          <w:sz w:val="20"/>
        </w:rPr>
        <w:t>Explain the largest factors holding the score down and the best opportunities to improve it.</w:t>
      </w:r>
    </w:p>
    <w:p>
      <w:pPr>
        <w:pStyle w:val="ListBullet"/>
        <w:spacing w:after="60"/>
      </w:pPr>
      <w:r>
        <w:rPr>
          <w:rFonts w:ascii="Inter" w:hAnsi="Inter"/>
          <w:color w:val="14213D"/>
          <w:sz w:val="20"/>
        </w:rPr>
        <w:t>Use realistic “pass range” language rather than promising an exam result.</w:t>
      </w:r>
    </w:p>
    <w:p>
      <w:pPr>
        <w:pStyle w:val="ListBullet"/>
        <w:spacing w:after="60"/>
      </w:pPr>
      <w:r>
        <w:rPr>
          <w:rFonts w:ascii="Inter" w:hAnsi="Inter"/>
          <w:color w:val="14213D"/>
          <w:sz w:val="20"/>
        </w:rPr>
        <w:t>As the exam approaches, weight realistic, timed and unassisted evidence more heavily than assisted practice.</w:t>
      </w:r>
    </w:p>
    <w:tbl>
      <w:tblPr>
        <w:tblW w:type="auto" w:w="0"/>
        <w:jc w:val="center"/>
        <w:tblLook w:firstColumn="1" w:firstRow="1" w:lastColumn="0" w:lastRow="0" w:noHBand="0" w:noVBand="1" w:val="04A0"/>
      </w:tblPr>
      <w:tblGrid>
        <w:gridCol w:w="9994"/>
      </w:tblGrid>
      <w:tr>
        <w:tc>
          <w:tcPr>
            <w:tcW w:type="dxa" w:w="9994"/>
            <w:shd w:fill="E8F5EF"/>
            <w:tcMar>
              <w:top w:w="180" w:type="dxa"/>
              <w:start w:w="200" w:type="dxa"/>
              <w:bottom w:w="180" w:type="dxa"/>
              <w:end w:w="200" w:type="dxa"/>
            </w:tcMar>
          </w:tcPr>
          <w:p>
            <w:r>
              <w:rPr>
                <w:rFonts w:ascii="Inter" w:hAnsi="Inter"/>
                <w:b/>
                <w:color w:val="1D6F50"/>
                <w:sz w:val="24"/>
              </w:rPr>
              <w:t>The App should answer three questions every day: Where am I? What is holding me back? What should I do next?</w:t>
            </w:r>
          </w:p>
        </w:tc>
      </w:tr>
    </w:tbl>
    <w:p/>
    <w:p>
      <w:pPr>
        <w:pStyle w:val="Heading1"/>
      </w:pPr>
      <w:r>
        <w:t>8. Complete Product, Phased Implementation</w:t>
      </w:r>
    </w:p>
    <w:p>
      <w:r>
        <w:t>Bestehen should be designed as one complete product rather than five incomplete product versions. Implementation may still be phased to reduce engineering risk, but the architecture, data model and product decisions should anticipate the full experience from the start.</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2448"/>
            <w:shd w:fill="14213D"/>
            <w:tcMar>
              <w:top w:w="120" w:type="dxa"/>
              <w:start w:w="140" w:type="dxa"/>
              <w:bottom w:w="120" w:type="dxa"/>
              <w:end w:w="140" w:type="dxa"/>
            </w:tcMar>
          </w:tcPr>
          <w:p>
            <w:r>
              <w:rPr>
                <w:rFonts w:ascii="Inter" w:hAnsi="Inter"/>
                <w:b/>
                <w:color w:val="FFFFFF"/>
                <w:sz w:val="17"/>
              </w:rPr>
              <w:t>Principle</w:t>
            </w:r>
          </w:p>
        </w:tc>
        <w:tc>
          <w:tcPr>
            <w:tcW w:type="dxa" w:w="7416"/>
            <w:shd w:fill="14213D"/>
            <w:tcMar>
              <w:top w:w="120" w:type="dxa"/>
              <w:start w:w="140" w:type="dxa"/>
              <w:bottom w:w="120" w:type="dxa"/>
              <w:end w:w="140" w:type="dxa"/>
            </w:tcMar>
          </w:tcPr>
          <w:p>
            <w:r>
              <w:rPr>
                <w:rFonts w:ascii="Inter" w:hAnsi="Inter"/>
                <w:b/>
                <w:color w:val="FFFFFF"/>
                <w:sz w:val="17"/>
              </w:rPr>
              <w:t>Meaning</w:t>
            </w:r>
          </w:p>
        </w:tc>
      </w:tr>
      <w:tr>
        <w:tc>
          <w:tcPr>
            <w:tcW w:type="dxa" w:w="2448"/>
            <w:tcMar>
              <w:top w:w="120" w:type="dxa"/>
              <w:start w:w="140" w:type="dxa"/>
              <w:bottom w:w="120" w:type="dxa"/>
              <w:end w:w="140" w:type="dxa"/>
            </w:tcMar>
            <w:shd w:fill="F8F9FA"/>
          </w:tcPr>
          <w:p>
            <w:r>
              <w:rPr>
                <w:rFonts w:ascii="Inter" w:hAnsi="Inter"/>
                <w:color w:val="14213D"/>
                <w:sz w:val="18"/>
              </w:rPr>
              <w:t>Complete target experience</w:t>
            </w:r>
          </w:p>
        </w:tc>
        <w:tc>
          <w:tcPr>
            <w:tcW w:type="dxa" w:w="7416"/>
            <w:tcMar>
              <w:top w:w="120" w:type="dxa"/>
              <w:start w:w="140" w:type="dxa"/>
              <w:bottom w:w="120" w:type="dxa"/>
              <w:end w:w="140" w:type="dxa"/>
            </w:tcMar>
            <w:shd w:fill="F8F9FA"/>
          </w:tcPr>
          <w:p>
            <w:r>
              <w:rPr>
                <w:rFonts w:ascii="Inter" w:hAnsi="Inter"/>
                <w:color w:val="14213D"/>
                <w:sz w:val="18"/>
              </w:rPr>
              <w:t>Reading, listening, language elements, writing, speaking, review, mock exams and readiness are all part of the intended product.</w:t>
            </w:r>
          </w:p>
        </w:tc>
      </w:tr>
      <w:tr>
        <w:tc>
          <w:tcPr>
            <w:tcW w:type="dxa" w:w="2448"/>
            <w:tcMar>
              <w:top w:w="120" w:type="dxa"/>
              <w:start w:w="140" w:type="dxa"/>
              <w:bottom w:w="120" w:type="dxa"/>
              <w:end w:w="140" w:type="dxa"/>
            </w:tcMar>
          </w:tcPr>
          <w:p>
            <w:r>
              <w:rPr>
                <w:rFonts w:ascii="Inter" w:hAnsi="Inter"/>
                <w:color w:val="14213D"/>
                <w:sz w:val="18"/>
              </w:rPr>
              <w:t>Incremental engineering</w:t>
            </w:r>
          </w:p>
        </w:tc>
        <w:tc>
          <w:tcPr>
            <w:tcW w:type="dxa" w:w="7416"/>
            <w:tcMar>
              <w:top w:w="120" w:type="dxa"/>
              <w:start w:w="140" w:type="dxa"/>
              <w:bottom w:w="120" w:type="dxa"/>
              <w:end w:w="140" w:type="dxa"/>
            </w:tcMar>
          </w:tcPr>
          <w:p>
            <w:r>
              <w:rPr>
                <w:rFonts w:ascii="Inter" w:hAnsi="Inter"/>
                <w:color w:val="14213D"/>
                <w:sz w:val="18"/>
              </w:rPr>
              <w:t>Individual capabilities can be built and validated in controlled phases before the next capability is connected.</w:t>
            </w:r>
          </w:p>
        </w:tc>
      </w:tr>
      <w:tr>
        <w:tc>
          <w:tcPr>
            <w:tcW w:type="dxa" w:w="2448"/>
            <w:tcMar>
              <w:top w:w="120" w:type="dxa"/>
              <w:start w:w="140" w:type="dxa"/>
              <w:bottom w:w="120" w:type="dxa"/>
              <w:end w:w="140" w:type="dxa"/>
            </w:tcMar>
            <w:shd w:fill="F8F9FA"/>
          </w:tcPr>
          <w:p>
            <w:r>
              <w:rPr>
                <w:rFonts w:ascii="Inter" w:hAnsi="Inter"/>
                <w:color w:val="14213D"/>
                <w:sz w:val="18"/>
              </w:rPr>
              <w:t>Shared foundations first</w:t>
            </w:r>
          </w:p>
        </w:tc>
        <w:tc>
          <w:tcPr>
            <w:tcW w:type="dxa" w:w="7416"/>
            <w:tcMar>
              <w:top w:w="120" w:type="dxa"/>
              <w:start w:w="140" w:type="dxa"/>
              <w:bottom w:w="120" w:type="dxa"/>
              <w:end w:w="140" w:type="dxa"/>
            </w:tcMar>
            <w:shd w:fill="F8F9FA"/>
          </w:tcPr>
          <w:p>
            <w:r>
              <w:rPr>
                <w:rFonts w:ascii="Inter" w:hAnsi="Inter"/>
                <w:color w:val="14213D"/>
                <w:sz w:val="18"/>
              </w:rPr>
              <w:t>The learner model, skill taxonomy, exercise model, evidence model and corpus interfaces should avoid section-specific dead ends.</w:t>
            </w:r>
          </w:p>
        </w:tc>
      </w:tr>
      <w:tr>
        <w:tc>
          <w:tcPr>
            <w:tcW w:type="dxa" w:w="2448"/>
            <w:tcMar>
              <w:top w:w="120" w:type="dxa"/>
              <w:start w:w="140" w:type="dxa"/>
              <w:bottom w:w="120" w:type="dxa"/>
              <w:end w:w="140" w:type="dxa"/>
            </w:tcMar>
          </w:tcPr>
          <w:p>
            <w:r>
              <w:rPr>
                <w:rFonts w:ascii="Inter" w:hAnsi="Inter"/>
                <w:color w:val="14213D"/>
                <w:sz w:val="18"/>
              </w:rPr>
              <w:t>Later phases deepen, not rescue</w:t>
            </w:r>
          </w:p>
        </w:tc>
        <w:tc>
          <w:tcPr>
            <w:tcW w:type="dxa" w:w="7416"/>
            <w:tcMar>
              <w:top w:w="120" w:type="dxa"/>
              <w:start w:w="140" w:type="dxa"/>
              <w:bottom w:w="120" w:type="dxa"/>
              <w:end w:w="140" w:type="dxa"/>
            </w:tcMar>
          </w:tcPr>
          <w:p>
            <w:r>
              <w:rPr>
                <w:rFonts w:ascii="Inter" w:hAnsi="Inter"/>
                <w:color w:val="14213D"/>
                <w:sz w:val="18"/>
              </w:rPr>
              <w:t>Later work should improve accuracy, content scale, adaptivity and polish rather than finally making the product concept whole.</w:t>
            </w:r>
          </w:p>
        </w:tc>
      </w:tr>
    </w:tbl>
    <w:p/>
    <w:p>
      <w:pPr>
        <w:pStyle w:val="Heading1"/>
      </w:pPr>
      <w:r>
        <w:t>9. Product Principles</w:t>
      </w:r>
    </w:p>
    <w:p>
      <w:pPr>
        <w:pStyle w:val="ListBullet"/>
        <w:spacing w:after="60"/>
      </w:pPr>
      <w:r>
        <w:rPr>
          <w:rFonts w:ascii="Inter" w:hAnsi="Inter"/>
          <w:color w:val="14213D"/>
          <w:sz w:val="20"/>
        </w:rPr>
        <w:t>Exam readiness is the objective function. Features should justify themselves through their contribution to passing.</w:t>
      </w:r>
    </w:p>
    <w:p>
      <w:pPr>
        <w:pStyle w:val="ListBullet"/>
        <w:spacing w:after="60"/>
      </w:pPr>
      <w:r>
        <w:rPr>
          <w:rFonts w:ascii="Inter" w:hAnsi="Inter"/>
          <w:color w:val="14213D"/>
          <w:sz w:val="20"/>
        </w:rPr>
        <w:t>Teach from evidence. The corpus should influence priorities rather than relying only on a hand-authored curriculum.</w:t>
      </w:r>
    </w:p>
    <w:p>
      <w:pPr>
        <w:pStyle w:val="ListBullet"/>
        <w:spacing w:after="60"/>
      </w:pPr>
      <w:r>
        <w:rPr>
          <w:rFonts w:ascii="Inter" w:hAnsi="Inter"/>
          <w:color w:val="14213D"/>
          <w:sz w:val="20"/>
        </w:rPr>
        <w:t>Diagnose before teaching. A wrong answer is a signal to understand, not merely something to mark red.</w:t>
      </w:r>
    </w:p>
    <w:p>
      <w:pPr>
        <w:pStyle w:val="ListBullet"/>
        <w:spacing w:after="60"/>
      </w:pPr>
      <w:r>
        <w:rPr>
          <w:rFonts w:ascii="Inter" w:hAnsi="Inter"/>
          <w:color w:val="14213D"/>
          <w:sz w:val="20"/>
        </w:rPr>
        <w:t>Repair narrowly. Prefer a five-minute intervention that fixes the specific blocker over a generic forty-minute lesson.</w:t>
      </w:r>
    </w:p>
    <w:p>
      <w:pPr>
        <w:pStyle w:val="ListBullet"/>
        <w:spacing w:after="60"/>
      </w:pPr>
      <w:r>
        <w:rPr>
          <w:rFonts w:ascii="Inter" w:hAnsi="Inter"/>
          <w:color w:val="14213D"/>
          <w:sz w:val="20"/>
        </w:rPr>
        <w:t>Practice transfer, not memorization. Retries should be fresh tasks that require the same underlying skill.</w:t>
      </w:r>
    </w:p>
    <w:p>
      <w:pPr>
        <w:pStyle w:val="ListBullet"/>
        <w:spacing w:after="60"/>
      </w:pPr>
      <w:r>
        <w:rPr>
          <w:rFonts w:ascii="Inter" w:hAnsi="Inter"/>
          <w:color w:val="14213D"/>
          <w:sz w:val="20"/>
        </w:rPr>
        <w:t>Adapt assistance, not the goal. The learner may start at A1, but the system always points toward B1 exam performance.</w:t>
      </w:r>
    </w:p>
    <w:p>
      <w:pPr>
        <w:pStyle w:val="ListBullet"/>
        <w:spacing w:after="60"/>
      </w:pPr>
      <w:r>
        <w:rPr>
          <w:rFonts w:ascii="Inter" w:hAnsi="Inter"/>
          <w:color w:val="14213D"/>
          <w:sz w:val="20"/>
        </w:rPr>
        <w:t>Be honest about uncertainty. Readiness is an evidence-based estimate, not a guarantee.</w:t>
      </w:r>
    </w:p>
    <w:p>
      <w:pPr>
        <w:pStyle w:val="ListBullet"/>
        <w:spacing w:after="60"/>
      </w:pPr>
      <w:r>
        <w:rPr>
          <w:rFonts w:ascii="Inter" w:hAnsi="Inter"/>
          <w:color w:val="14213D"/>
          <w:sz w:val="20"/>
        </w:rPr>
        <w:t>Avoid artificial gamification as the primary motivation. The meaningful reward is visible movement toward the pass range.</w:t>
      </w:r>
    </w:p>
    <w:p>
      <w:pPr>
        <w:pStyle w:val="Heading1"/>
      </w:pPr>
      <w:r>
        <w:t>10. Current Product Definition</w:t>
      </w:r>
    </w:p>
    <w:tbl>
      <w:tblPr>
        <w:tblW w:type="auto" w:w="0"/>
        <w:jc w:val="center"/>
        <w:tblLook w:firstColumn="1" w:firstRow="1" w:lastColumn="0" w:lastRow="0" w:noHBand="0" w:noVBand="1" w:val="04A0"/>
      </w:tblPr>
      <w:tblGrid>
        <w:gridCol w:w="9994"/>
      </w:tblGrid>
      <w:tr>
        <w:tc>
          <w:tcPr>
            <w:tcW w:type="dxa" w:w="9994"/>
            <w:shd w:fill="E8F5EF"/>
            <w:tcMar>
              <w:top w:w="180" w:type="dxa"/>
              <w:start w:w="200" w:type="dxa"/>
              <w:bottom w:w="180" w:type="dxa"/>
              <w:end w:w="200" w:type="dxa"/>
            </w:tcMar>
          </w:tcPr>
          <w:p>
            <w:r>
              <w:rPr>
                <w:rFonts w:ascii="Inter" w:hAnsi="Inter"/>
                <w:b/>
                <w:color w:val="1D6F50"/>
                <w:sz w:val="24"/>
              </w:rPr>
              <w:t>Bestehen is an adaptive German exam coach that teaches German through exam preparation and continuously tells the learner how close they are to passing TELC B1.</w:t>
            </w:r>
          </w:p>
        </w:tc>
      </w:tr>
    </w:tbl>
    <w:p/>
    <w:p>
      <w:r>
        <w:t>Bestehen / Corpus builds the evidence. Bestehen / App turns that evidence into coaching. Together they form one system whose goal is not to complete a conventional German curriculum, but to make the learner measurably ready for the target exam.</w:t>
      </w:r>
    </w:p>
    <w:sectPr w:rsidR="00FC693F" w:rsidRPr="0006063C" w:rsidSect="00034616">
      <w:headerReference w:type="default" r:id="rId9"/>
      <w:footerReference w:type="default" r:id="rId10"/>
      <w:pgSz w:w="12240" w:h="15840"/>
      <w:pgMar w:top="1037" w:right="1123" w:bottom="1037"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Inter" w:hAnsi="Inter"/>
        <w:color w:val="5D6675"/>
        <w:sz w:val="16"/>
      </w:rPr>
      <w:t>Bestehen  •  Working Product Documentation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Inter" w:hAnsi="Inter"/>
        <w:b/>
        <w:color w:val="1D6F50"/>
        <w:sz w:val="17"/>
      </w:rPr>
      <w:t>BESTEHEN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Inter" w:hAnsi="Inter"/>
      <w:color w:val="14213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Inter" w:hAnsi="Inter"/>
      <w:b/>
      <w:bCs/>
      <w:color w:val="14213D"/>
      <w:sz w:val="38"/>
      <w:szCs w:val="28"/>
    </w:rPr>
  </w:style>
  <w:style w:type="paragraph" w:styleId="Heading2">
    <w:name w:val="heading 2"/>
    <w:basedOn w:val="Normal"/>
    <w:next w:val="Normal"/>
    <w:link w:val="Heading2Char"/>
    <w:uiPriority w:val="9"/>
    <w:unhideWhenUsed/>
    <w:qFormat/>
    <w:rsid w:val="00FC693F"/>
    <w:pPr>
      <w:keepNext/>
      <w:keepLines/>
      <w:spacing w:before="260" w:after="100"/>
      <w:outlineLvl w:val="1"/>
    </w:pPr>
    <w:rPr>
      <w:rFonts w:asciiTheme="majorHAnsi" w:eastAsiaTheme="majorEastAsia" w:hAnsiTheme="majorHAnsi" w:cstheme="majorBidi" w:ascii="Inter" w:hAnsi="Inter"/>
      <w:b/>
      <w:bCs/>
      <w:color w:val="1D6F50"/>
      <w:sz w:val="27"/>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Inter" w:hAnsi="Inter"/>
      <w:b/>
      <w:bCs/>
      <w:color w:val="14213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before="0"/>
      <w:contextualSpacing/>
    </w:pPr>
    <w:rPr>
      <w:rFonts w:asciiTheme="majorHAnsi" w:eastAsiaTheme="majorEastAsia" w:hAnsiTheme="majorHAnsi" w:cstheme="majorBidi" w:ascii="Inter" w:hAnsi="Inter"/>
      <w:b/>
      <w:color w:val="14213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pPr>
      <w:spacing w:before="160" w:after="160"/>
      <w:ind w:left="259" w:right="259"/>
    </w:pPr>
    <w:rPr>
      <w:rFonts w:ascii="Inter" w:hAnsi="Inter"/>
      <w:b/>
      <w:color w:val="1D6F50"/>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