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</w:pPr>
      <w:r>
        <w:rPr>
          <w:rFonts w:ascii="Inter" w:hAnsi="Inter"/>
          <w:b/>
          <w:color w:val="2A9D6F"/>
          <w:sz w:val="26"/>
        </w:rPr>
        <w:t>BESTEHEN</w:t>
      </w:r>
    </w:p>
    <w:p>
      <w:pPr>
        <w:pStyle w:val="Title"/>
      </w:pPr>
      <w:r>
        <w:t>Identity</w:t>
      </w:r>
    </w:p>
    <w:p>
      <w:pPr>
        <w:spacing w:after="360"/>
      </w:pPr>
      <w:r>
        <w:rPr>
          <w:rFonts w:ascii="Inter" w:hAnsi="Inter"/>
          <w:color w:val="5D6675"/>
          <w:sz w:val="26"/>
        </w:rPr>
        <w:t>Brand, product voice and exam-coach experience</w:t>
      </w:r>
    </w:p>
    <w:p>
      <w:pPr>
        <w:pBdr>
          <w:bottom w:val="single" w:sz="20" w:space="1" w:color="2A9D6F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992"/>
      </w:tblGrid>
      <w:tr>
        <w:tc>
          <w:tcPr>
            <w:tcW w:type="dxa" w:w="1944"/>
            <w:shd w:fill="F7F4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5D6675"/>
                <w:sz w:val="16"/>
              </w:rPr>
              <w:t>BRAND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9"/>
              </w:rPr>
              <w:t>Bestehen</w:t>
            </w:r>
          </w:p>
        </w:tc>
      </w:tr>
      <w:tr>
        <w:tc>
          <w:tcPr>
            <w:tcW w:type="dxa" w:w="1944"/>
            <w:shd w:fill="F7F4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5D6675"/>
                <w:sz w:val="16"/>
              </w:rPr>
              <w:t>SUB-PRODUCTS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9"/>
              </w:rPr>
              <w:t>Bestehen / Corpus · Bestehen / App</w:t>
            </w:r>
          </w:p>
        </w:tc>
      </w:tr>
      <w:tr>
        <w:tc>
          <w:tcPr>
            <w:tcW w:type="dxa" w:w="1944"/>
            <w:shd w:fill="F7F4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5D6675"/>
                <w:sz w:val="16"/>
              </w:rPr>
              <w:t>IDENTITY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9"/>
              </w:rPr>
              <w:t>Personal exam coach</w:t>
            </w:r>
          </w:p>
        </w:tc>
      </w:tr>
      <w:tr>
        <w:tc>
          <w:tcPr>
            <w:tcW w:type="dxa" w:w="1944"/>
            <w:shd w:fill="F7F4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5D6675"/>
                <w:sz w:val="16"/>
              </w:rPr>
              <w:t>CORE OUTCOME</w:t>
            </w:r>
          </w:p>
        </w:tc>
        <w:tc>
          <w:tcPr>
            <w:tcW w:type="dxa" w:w="79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9"/>
              </w:rPr>
              <w:t>Build confidence through measurable exam readiness.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Inter" w:hAnsi="Inter"/>
                <w:b/>
                <w:color w:val="1D6F50"/>
                <w:sz w:val="24"/>
              </w:rPr>
              <w:t>Bestehen should feel like a calm, sharp coach who knows the exam, knows your weaknesses, and always knows the next highest-value move.</w:t>
            </w:r>
          </w:p>
        </w:tc>
      </w:tr>
    </w:tbl>
    <w:p/>
    <w:p>
      <w:r>
        <w:rPr>
          <w:rFonts w:ascii="Inter" w:hAnsi="Inter"/>
          <w:color w:val="5D6675"/>
          <w:sz w:val="21"/>
        </w:rPr>
        <w:t>This document defines how Bestehen should look, sound and behave. It is intended to guide product design, copy, UX decisions, generated feedback, dashboards and future branding work.</w:t>
      </w:r>
    </w:p>
    <w:p>
      <w:r>
        <w:br w:type="page"/>
      </w:r>
    </w:p>
    <w:p>
      <w:pPr>
        <w:pStyle w:val="Heading1"/>
      </w:pPr>
      <w:r>
        <w:t>1. Brand Idea</w:t>
      </w:r>
    </w:p>
    <w:p>
      <w:r>
        <w:t>Bestehen means “to pass” in German. The name deliberately focuses on outcome rather than general language study. The brand promise is not that the learner will become a perfect German speaker; it is that their preparation will be focused, measurable and aligned with the B1 exam they intend to pass.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Inter" w:hAnsi="Inter"/>
                <w:b/>
                <w:color w:val="1D6F50"/>
                <w:sz w:val="24"/>
              </w:rPr>
              <w:t>Bestehen = the place where German learning is organized around the question: “What improves my chances of passing?”</w:t>
            </w:r>
          </w:p>
        </w:tc>
      </w:tr>
    </w:tbl>
    <w:p/>
    <w:p>
      <w:pPr>
        <w:pStyle w:val="Heading2"/>
      </w:pPr>
      <w:r>
        <w:t>1.1 Brand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5256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30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Audience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Bestehen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Umbrella brand and shared identity.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Everyone interacting with the project.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Bestehen / Corpus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Exam intelligence and data-gathering system.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Primarily internal/developer/admin; potentially research-facing later.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Bestehen / App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Learner-facing exam coach.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People preparing for a German certificate, initially TELC B1.</w:t>
            </w:r>
          </w:p>
        </w:tc>
      </w:tr>
    </w:tbl>
    <w:p/>
    <w:p>
      <w:r>
        <w:t>The slash naming convention should remain functional and understated. “Corpus” and “App” are descriptors, not separate brands competing with Bestehen. Consumer-facing experiences can usually lead with simply “Bestehen” unless the distinction matters.</w:t>
      </w:r>
    </w:p>
    <w:p>
      <w:pPr>
        <w:pStyle w:val="Heading1"/>
      </w:pPr>
      <w:r>
        <w:t>2. Positioning</w:t>
      </w:r>
    </w:p>
    <w:p>
      <w:pPr>
        <w:pStyle w:val="Heading2"/>
      </w:pPr>
      <w:r>
        <w:t>2.1 Category</w:t>
      </w:r>
    </w:p>
    <w:p>
      <w:r>
        <w:t>Bestehen should position itself as an exam coach, not as a generic language-learning app, textbook replacement, flashcard system, AI tutor, or mock-exam library. It may use capabilities from all of those categories, but the organizing identity is coaching toward exam readiness.</w:t>
      </w:r>
    </w:p>
    <w:p>
      <w:pPr>
        <w:pStyle w:val="Heading2"/>
      </w:pPr>
      <w:r>
        <w:t>2.2 Core positioning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Inter" w:hAnsi="Inter"/>
                <w:b/>
                <w:color w:val="1D6F50"/>
                <w:sz w:val="24"/>
              </w:rPr>
              <w:t>Bestehen is a personal German exam coach that learns where you lose points, trains the skills that matter most, and shows when you are ready to pass.</w:t>
            </w:r>
          </w:p>
        </w:tc>
      </w:tr>
    </w:tbl>
    <w:p/>
    <w:p>
      <w:pPr>
        <w:pStyle w:val="Heading2"/>
      </w:pPr>
      <w:r>
        <w:t>2.3 What makes the positioning distinctive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Outcome-first: the product is organized around passing, not course completion.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Evidence-led: the learning priorities are informed by a large exam corpus rather than only a generic CEFR syllabus.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Adaptive: the coach responds to the learner’s mistakes, evidence and target date.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Exam-native from A1 onward: the learner grows through exam-shaped tasks instead of waiting until B1 to begin exam preparation.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Readiness-centered: progress is expressed in exam-relevant terms rather than abstract XP.</w:t>
      </w:r>
    </w:p>
    <w:p>
      <w:pPr>
        <w:pStyle w:val="Heading1"/>
      </w:pPr>
      <w:r>
        <w:t>3. Audience and Mindset</w:t>
      </w:r>
    </w:p>
    <w:p>
      <w:r>
        <w:t>The primary learner has a concrete certification goal. They may care about German in general, but they are willing to optimize their study around the exam. They value efficiency, clarity and confidence more than a broad “language journey.”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600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Learner thought</w:t>
            </w:r>
          </w:p>
        </w:tc>
        <w:tc>
          <w:tcPr>
            <w:tcW w:type="dxa" w:w="626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Bestehen response</w:t>
            </w:r>
          </w:p>
        </w:tc>
      </w:tr>
      <w:tr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“I do not know what I should study today.”</w:t>
            </w:r>
          </w:p>
        </w:tc>
        <w:tc>
          <w:tcPr>
            <w:tcW w:type="dxa" w:w="626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Here is the highest-value session based on your current readiness.</w:t>
            </w:r>
          </w:p>
        </w:tc>
      </w:tr>
      <w:tr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“I keep getting this type of question wrong.”</w:t>
            </w:r>
          </w:p>
        </w:tc>
        <w:tc>
          <w:tcPr>
            <w:tcW w:type="dxa" w:w="6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Here is the actual weakness behind those lost points, followed by a focused repair.</w:t>
            </w:r>
          </w:p>
        </w:tc>
      </w:tr>
      <w:tr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“Am I getting closer to B1?”</w:t>
            </w:r>
          </w:p>
        </w:tc>
        <w:tc>
          <w:tcPr>
            <w:tcW w:type="dxa" w:w="626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Here is the evidence, the current readiness estimate and the areas still below safe range.</w:t>
            </w:r>
          </w:p>
        </w:tc>
      </w:tr>
      <w:tr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“I am A1; real B1 tasks are too hard.”</w:t>
            </w:r>
          </w:p>
        </w:tc>
        <w:tc>
          <w:tcPr>
            <w:tcW w:type="dxa" w:w="626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Use the same exam-shaped thinking with assistance and progressively remove the help.</w:t>
            </w:r>
          </w:p>
        </w:tc>
      </w:tr>
      <w:tr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“I have limited time.”</w:t>
            </w:r>
          </w:p>
        </w:tc>
        <w:tc>
          <w:tcPr>
            <w:tcW w:type="dxa" w:w="626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Prioritize the work with the highest expected impact on exam performance.</w:t>
            </w:r>
          </w:p>
        </w:tc>
      </w:tr>
    </w:tbl>
    <w:p/>
    <w:p>
      <w:pPr>
        <w:pStyle w:val="Heading1"/>
      </w:pPr>
      <w:r>
        <w:t>4. Personality</w:t>
      </w:r>
    </w:p>
    <w:p>
      <w:r>
        <w:t>The coach should feel competent, calm, practical and specific. It should never feel childish, theatrical or falsely certain. The emotional tone should make the learner feel oriented rather than entertained.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Trait</w:t>
            </w:r>
          </w:p>
        </w:tc>
        <w:tc>
          <w:tcPr>
            <w:tcW w:type="dxa" w:w="410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4032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What it is not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Focused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Always connects feedback to exam performance and the next action.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Obsessive, stressful or only interested in scores.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Diagnostic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Explains the reason behind mistakes and patterns.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Overly academic or filled with grammar jargon.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Encouraging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Recognizes meaningful progress and makes improvement visible.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Empty praise, confetti for trivial actions, or cheerleading.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Direct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States weaknesses clearly and prioritizes them.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Harsh, judgmental or discouraging.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Evidence-based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Distinguishes observed performance from uncertain estimates.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Pretending an AI score is an official prediction.</w:t>
            </w:r>
          </w:p>
        </w:tc>
      </w:tr>
      <w:tr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Efficient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Respects the learner’s time and teaches narrowly.</w:t>
            </w:r>
          </w:p>
        </w:tc>
        <w:tc>
          <w:tcPr>
            <w:tcW w:type="dxa" w:w="40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Rushed, shallow or unwilling to explain when needed.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Inter" w:hAnsi="Inter"/>
                <w:b/>
                <w:color w:val="1D6F50"/>
                <w:sz w:val="24"/>
              </w:rPr>
              <w:t>The desired feeling: “My coach understands exactly where I am, why I am losing points, and what I should do next.”</w:t>
            </w:r>
          </w:p>
        </w:tc>
      </w:tr>
    </w:tbl>
    <w:p/>
    <w:p>
      <w:pPr>
        <w:pStyle w:val="Heading1"/>
      </w:pPr>
      <w:r>
        <w:t>5. Voice and Tone</w:t>
      </w:r>
    </w:p>
    <w:p>
      <w:pPr>
        <w:pStyle w:val="Heading2"/>
      </w:pPr>
      <w:r>
        <w:t>5.1 Voice principles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Use simple, precise language. Prefer short explanations with one clear reason and one clear next action.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Speak like a coach beside the learner, not an examiner above them.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Use exam vocabulary naturally: readiness, pass range, section, task, points, evidence, weakness, retry, mock exam.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Keep advanced grammatical terminology optional. Explain the practical pattern first.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Be transparent when an evaluation is approximate or evidence is limited.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Celebrate improvement in terms of capability: “You are now handling appointment vocabulary reliably,” not merely “Great job!”</w:t>
      </w:r>
    </w:p>
    <w:p>
      <w:pPr>
        <w:pStyle w:val="Heading2"/>
      </w:pPr>
      <w:r>
        <w:t>5.2 Tone by situation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230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Tone</w:t>
            </w:r>
          </w:p>
        </w:tc>
        <w:tc>
          <w:tcPr>
            <w:tcW w:type="dxa" w:w="5760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Daily start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Confident and orienting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“Your biggest opportunity today is Speaking. We’ll spend 12 minutes there, then review two recurring mistakes.”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Wrong answer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Diagnostic, neutral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“You understood the topic, but missed the restriction ‘nur werktags’. This is a scanning error, not a vocabulary gap.”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Weak performance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Clear but constructive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“Speaking is still below the current pass range. Interaction is the main blocker, so it stays your top priority this week.”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Improvement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Specific and earned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“Listening: dates and times moved from inconsistent to reliable across the last four attempts.”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Uncertain readiness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Transparent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“Current estimate: 58%. Confidence is still low because we have little timed speaking evidence.”</w:t>
            </w:r>
          </w:p>
        </w:tc>
      </w:tr>
      <w:tr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Mock exam pass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Measured confidence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“You cleared the pass range in this mock. Repeat it under similar conditions before treating this as stable readiness.”</w:t>
            </w:r>
          </w:p>
        </w:tc>
      </w:tr>
    </w:tbl>
    <w:p/>
    <w:p>
      <w:pPr>
        <w:pStyle w:val="Heading2"/>
      </w:pPr>
      <w:r>
        <w:t>5.3 Language to avoid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Overpromising: “You will definitely pass.”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Generic positivity: “Amazing! You’re crushing it!” when there is no meaningful evidence.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Childlike game language as the main interaction model: “Collect 20 gems to unlock grammar.”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Shame or pressure: “You should know this by now.”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Unnecessary academic complexity: long explanations of terminology when the learner only needs the usable pattern.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Artificial certainty from AI-generated scoring.</w:t>
      </w:r>
    </w:p>
    <w:p>
      <w:pPr>
        <w:pStyle w:val="Heading1"/>
      </w:pPr>
      <w:r>
        <w:t>6. Product Language System</w:t>
      </w:r>
    </w:p>
    <w:p>
      <w:r>
        <w:t>Words used repeatedly in the interface shape the product identity. Bestehen should favor coaching and exam-performance language over course and game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Prefer</w:t>
            </w:r>
          </w:p>
        </w:tc>
        <w:tc>
          <w:tcPr>
            <w:tcW w:type="dxa" w:w="3168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Avoid as the primary concept</w:t>
            </w:r>
          </w:p>
        </w:tc>
        <w:tc>
          <w:tcPr>
            <w:tcW w:type="dxa" w:w="4392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Readiness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XP / level points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Readiness maps directly to the goal.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Today’s plan / Today’s training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Lesson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The coach chooses a useful session rather than advancing a textbook chapter.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Weakness / opportunity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Failed skill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Keeps the diagnosis practical without labeling the learner.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Repair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Remedial lesson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Signals a narrow intervention that fixes a blocker.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Retry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Repeat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Emphasizes transfer to a fresh task.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Evidence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AI score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Signals that the estimate is grounded in observed performance.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Pass range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Win / complete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Matches the actual target outcome.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Mock exam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Boss level / challenge</w:t>
            </w:r>
          </w:p>
        </w:tc>
        <w:tc>
          <w:tcPr>
            <w:tcW w:type="dxa" w:w="43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Keep exam simulations serious and recognizable.</w:t>
            </w:r>
          </w:p>
        </w:tc>
      </w:tr>
    </w:tbl>
    <w:p/>
    <w:p>
      <w:pPr>
        <w:pStyle w:val="Heading1"/>
      </w:pPr>
      <w:r>
        <w:t>7. Readiness Identity</w:t>
      </w:r>
    </w:p>
    <w:p>
      <w:r>
        <w:t>Readiness is not only a metric; it is the visual and conceptual center of Bestehen. The dashboard should continuously translate the learner’s activity into an answer to “How close am I to passing?”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Make the pass threshold visually explicit without implying certainty.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Show separate dimensions when one can block the overall result, especially written vs. oral performance.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Show movement over time, but avoid rewarding tiny noisy changes as if they were meaningful gains.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Surface the top causes of the current score immediately beside the number.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Distinguish assisted evidence from realistic timed evidence.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When evidence is weak, show uncertainty rather than filling the gap with confidence theater.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Inter" w:hAnsi="Inter"/>
                <w:b/>
                <w:color w:val="1D6F50"/>
                <w:sz w:val="24"/>
              </w:rPr>
              <w:t>Readiness should feel like a coach’s assessment, not a game progress bar.</w:t>
            </w:r>
          </w:p>
        </w:tc>
      </w:tr>
    </w:tbl>
    <w:p/>
    <w:p>
      <w:pPr>
        <w:pStyle w:val="Heading1"/>
      </w:pPr>
      <w:r>
        <w:t>8. Visual Direction</w:t>
      </w:r>
    </w:p>
    <w:p>
      <w:r>
        <w:t>The visual identity should reinforce calm competence and measurable progress. Bestehen should feel closer to a modern coaching/productivity tool than a colorful children’s language game, while still being welcoming enough for daily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7776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Recommended direction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Primary palette</w:t>
            </w:r>
          </w:p>
        </w:tc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Deep ink/navy for authority and focus; a clear green for progress and “safe range”; warm off-white backgrounds for comfort.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Status colors</w:t>
            </w:r>
          </w:p>
        </w:tc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Green for safely on track, amber for attention/uncertainty, restrained red for pass-critical risk. Avoid turning the screen into a traffic-light dashboard.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Typography</w:t>
            </w:r>
          </w:p>
        </w:tc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Modern sans-serif with strong legibility. Clear hierarchy, generous spacing, and little decorative typography.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Shapes</w:t>
            </w:r>
          </w:p>
        </w:tc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Simple cards, subtle rounding, thin dividers and restrained elevation. Avoid cartoon bubbles or heavily playful components.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Data visualization</w:t>
            </w:r>
          </w:p>
        </w:tc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Readable bars, trends and evidence markers. Charts should explain readiness rather than decorate the dashboard.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Motion</w:t>
            </w:r>
          </w:p>
        </w:tc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Use sparingly to show state change or progress. Avoid celebration animations for routine interactions.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Imagery</w:t>
            </w:r>
          </w:p>
        </w:tc>
        <w:tc>
          <w:tcPr>
            <w:tcW w:type="dxa" w:w="7776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Minimal. Prefer functional illustrations, exam artifacts or abstract progress/structure motifs over mascots.</w:t>
            </w:r>
          </w:p>
        </w:tc>
      </w:tr>
    </w:tbl>
    <w:p/>
    <w:p>
      <w:pPr>
        <w:pStyle w:val="Heading2"/>
      </w:pPr>
      <w:r>
        <w:t>8.1 Working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58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Hex</w:t>
            </w:r>
          </w:p>
        </w:tc>
        <w:tc>
          <w:tcPr>
            <w:tcW w:type="dxa" w:w="6192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Deep Ink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#14213D</w:t>
            </w:r>
          </w:p>
        </w:tc>
        <w:tc>
          <w:tcPr>
            <w:tcW w:type="dxa" w:w="619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Primary text, navigation, strong surfaces.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Bestehen Green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#2A9D6F</w:t>
            </w:r>
          </w:p>
        </w:tc>
        <w:tc>
          <w:tcPr>
            <w:tcW w:type="dxa" w:w="61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Progress, selected state, brand accent.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Deep Green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#1D6F50</w:t>
            </w:r>
          </w:p>
        </w:tc>
        <w:tc>
          <w:tcPr>
            <w:tcW w:type="dxa" w:w="619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Accessible accent text and strong positive states.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Warm Paper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#F7F4EE</w:t>
            </w:r>
          </w:p>
        </w:tc>
        <w:tc>
          <w:tcPr>
            <w:tcW w:type="dxa" w:w="61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Primary light background / calm study surface.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Mist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#EDF0F4</w:t>
            </w:r>
          </w:p>
        </w:tc>
        <w:tc>
          <w:tcPr>
            <w:tcW w:type="dxa" w:w="619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Secondary panels and structural separation.</w:t>
            </w:r>
          </w:p>
        </w:tc>
      </w:tr>
      <w:tr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Risk Red</w:t>
            </w:r>
          </w:p>
        </w:tc>
        <w:tc>
          <w:tcPr>
            <w:tcW w:type="dxa" w:w="15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#B64B4B</w:t>
            </w:r>
          </w:p>
        </w:tc>
        <w:tc>
          <w:tcPr>
            <w:tcW w:type="dxa" w:w="619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Use only for genuinely important risk or incorrect states.</w:t>
            </w:r>
          </w:p>
        </w:tc>
      </w:tr>
    </w:tbl>
    <w:p/>
    <w:p>
      <w:r>
        <w:t>This palette is a recommended starting direction, not a locked design system. The important identity principle is the balance: serious enough to feel credible, warm enough to invite daily use, and restrained enough that readiness data remains the focus.</w:t>
      </w:r>
    </w:p>
    <w:p>
      <w:pPr>
        <w:pStyle w:val="Heading1"/>
      </w:pPr>
      <w:r>
        <w:t>9. Coach Behavior</w:t>
      </w:r>
    </w:p>
    <w:p>
      <w:r>
        <w:t>The coach identity must affect system behavior, not just copy. A coaching product takes responsibility for prioritization. The learner should not have to browse a large catalog every day and guess what matters.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Coach behavior</w:t>
            </w:r>
          </w:p>
        </w:tc>
        <w:tc>
          <w:tcPr>
            <w:tcW w:type="dxa" w:w="7560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Product implication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Prioritizes</w:t>
            </w:r>
          </w:p>
        </w:tc>
        <w:tc>
          <w:tcPr>
            <w:tcW w:type="dxa" w:w="756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Default home action is a recommended plan, not a content library.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Explains decisions</w:t>
            </w:r>
          </w:p>
        </w:tc>
        <w:tc>
          <w:tcPr>
            <w:tcW w:type="dxa" w:w="75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The learner can see why today’s activity was selected.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Keeps memory</w:t>
            </w:r>
          </w:p>
        </w:tc>
        <w:tc>
          <w:tcPr>
            <w:tcW w:type="dxa" w:w="756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Recurring mistakes influence future plans automatically.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Adapts pressure</w:t>
            </w:r>
          </w:p>
        </w:tc>
        <w:tc>
          <w:tcPr>
            <w:tcW w:type="dxa" w:w="75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Assistance decreases as readiness grows and as the exam approaches.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Knows the target</w:t>
            </w:r>
          </w:p>
        </w:tc>
        <w:tc>
          <w:tcPr>
            <w:tcW w:type="dxa" w:w="756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TELC-specific weighting and task behavior matter more near the final stages.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Challenges selectively</w:t>
            </w:r>
          </w:p>
        </w:tc>
        <w:tc>
          <w:tcPr>
            <w:tcW w:type="dxa" w:w="756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The system should sometimes target uncomfortable weak areas instead of optimizing only for engagement.</w:t>
            </w:r>
          </w:p>
        </w:tc>
      </w:tr>
      <w:tr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Reassesses</w:t>
            </w:r>
          </w:p>
        </w:tc>
        <w:tc>
          <w:tcPr>
            <w:tcW w:type="dxa" w:w="756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Mock results and new evidence can move priorities materially, even if that interrupts a comfortable routine.</w:t>
            </w:r>
          </w:p>
        </w:tc>
      </w:tr>
    </w:tbl>
    <w:p/>
    <w:p>
      <w:pPr>
        <w:pStyle w:val="Heading1"/>
      </w:pPr>
      <w:r>
        <w:t>10. Gamification Boundary</w:t>
      </w:r>
    </w:p>
    <w:p>
      <w:r>
        <w:t>Bestehen can still use motivational mechanics, but they should support the exam-coach identity rather than replace it. A streak may encourage consistency; it should not become more important than the learner’s readiness. Small milestones can be useful, but they should correspond to meaningful capability.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Good: “7 days of preparation completed” as a secondary consistency signal.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Good: milestone when Speaking crosses and sustains the estimated pass range.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Good: showing a weakness moving from “unstable” to “reliable.”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Avoid: currencies, loot, lives, cartoon rewards or artificial level gates as the main motivation loop.</w:t>
      </w:r>
    </w:p>
    <w:p>
      <w:pPr>
        <w:pStyle w:val="Heading1"/>
      </w:pPr>
      <w:r>
        <w:t>11. Tagline and Messaging Territory</w:t>
      </w:r>
    </w:p>
    <w:p>
      <w:pPr>
        <w:pStyle w:val="Heading2"/>
      </w:pPr>
      <w:r>
        <w:t>11.1 Recommended primary 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Inter" w:hAnsi="Inter"/>
                <w:b/>
                <w:color w:val="1D6F50"/>
                <w:sz w:val="24"/>
              </w:rPr>
              <w:t>Train for the exam. Know when you’re ready.</w:t>
            </w:r>
          </w:p>
        </w:tc>
      </w:tr>
    </w:tbl>
    <w:p/>
    <w:p>
      <w:pPr>
        <w:pStyle w:val="Heading2"/>
      </w:pPr>
      <w:r>
        <w:t>11.2 Supporting lines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Your personal German exam coach.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Learn what the exam actually rewards.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Turn mistakes into points.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From A1 to exam-ready, one weakness at a time.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Stop guessing what to study next.</w:t>
      </w:r>
    </w:p>
    <w:p>
      <w:pPr>
        <w:pStyle w:val="Heading2"/>
      </w:pPr>
      <w:r>
        <w:t>11.3 Internal product sentence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Inter" w:hAnsi="Inter"/>
                <w:b/>
                <w:color w:val="1D6F50"/>
                <w:sz w:val="24"/>
              </w:rPr>
              <w:t>Bestehen is an adaptive exam coach that teaches German through exam preparation and continuously tells the learner how close they are to passing.</w:t>
            </w:r>
          </w:p>
        </w:tc>
      </w:tr>
    </w:tbl>
    <w:p/>
    <w:p>
      <w:pPr>
        <w:pStyle w:val="Heading1"/>
      </w:pPr>
      <w:r>
        <w:t>12. Example Product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7632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Home</w:t>
            </w:r>
          </w:p>
        </w:tc>
        <w:tc>
          <w:tcPr>
            <w:tcW w:type="dxa" w:w="76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“B1 Readiness: 43%. Speaking is currently the biggest blocker. Today’s 24-minute plan focuses there first.”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After reading task</w:t>
            </w:r>
          </w:p>
        </w:tc>
        <w:tc>
          <w:tcPr>
            <w:tcW w:type="dxa" w:w="76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“6/10. Two misses came from synonym recognition; one came from overlooking a time restriction. We’ll repair both before the retry.”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Repair prompt</w:t>
            </w:r>
          </w:p>
        </w:tc>
        <w:tc>
          <w:tcPr>
            <w:tcW w:type="dxa" w:w="76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“You are losing points when the same idea is expressed with different words. Let’s train that pattern for four minutes.”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Speaking feedback</w:t>
            </w:r>
          </w:p>
        </w:tc>
        <w:tc>
          <w:tcPr>
            <w:tcW w:type="dxa" w:w="76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“You completed the task, but interaction dropped when you disagreed. Practice two ways to respond and propose an alternative.”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Readiness change</w:t>
            </w:r>
          </w:p>
        </w:tc>
        <w:tc>
          <w:tcPr>
            <w:tcW w:type="dxa" w:w="7632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“Written readiness is stable at 64%. Oral readiness rose to 55%, but we still need more timed evidence.”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Exam recommendation</w:t>
            </w:r>
          </w:p>
        </w:tc>
        <w:tc>
          <w:tcPr>
            <w:tcW w:type="dxa" w:w="76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“Your recent evidence is consistently above the estimated pass range. It is reasonable to start planning a real exam date.”</w:t>
            </w:r>
          </w:p>
        </w:tc>
      </w:tr>
    </w:tbl>
    <w:p/>
    <w:p>
      <w:pPr>
        <w:pStyle w:val="Heading1"/>
      </w:pPr>
      <w:r>
        <w:t>13. Identity Guardrails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Bestehen is an exam coach first. New features should strengthen diagnosis, prioritization, practice, feedback or readiness.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Do not drift into a generic “learn German” catalog unless the content clearly supports the exam journey.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Do not hide difficult feedback behind cheerful UI. The coach can be kind and still say that a section is not ready.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Do not make the learner interpret raw analytics. Translate evidence into a practical next action.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Do not let the Corpus brand overwhelm the learner experience. Corpus is the intelligence behind the coach, not something every learner needs to understand.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Do not use TELC branding in a way that implies official affiliation. TELC is the target exam; Bestehen remains its own product identity.</w:t>
      </w:r>
    </w:p>
    <w:p>
      <w:pPr>
        <w:pStyle w:val="ListBullet"/>
        <w:spacing w:after="60"/>
      </w:pPr>
      <w:r>
        <w:rPr>
          <w:rFonts w:ascii="Inter" w:hAnsi="Inter"/>
          <w:color w:val="14213D"/>
          <w:sz w:val="20"/>
        </w:rPr>
        <w:t>Do not treat readiness as a promise. It is a model whose confidence should grow with realistic evidence.</w:t>
      </w:r>
    </w:p>
    <w:p>
      <w:pPr>
        <w:pStyle w:val="Heading1"/>
        <w:pageBreakBefore w:val="1"/>
      </w:pPr>
      <w:r>
        <w:t>14. Identity in One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6984"/>
            <w:shd w:fill="14213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What is Bestehen?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A personal German exam coach.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What does it optimize for?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Readiness to pass the target B1 exam.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How does it teach?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Through exam-shaped practice, diagnosis, targeted repair, retry and adaptive memory.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How should it feel?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Calm, competent, direct, evidence-based and practical.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What is the primary progress language?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Readiness, pass range, strengths, blockers and evidence.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What should it not feel like?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A generic course, an arcade game, a textbook, or an overconfident AI tutor.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What does Corpus contribute?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  <w:shd w:fill="F8F9FA"/>
          </w:tcPr>
          <w:p>
            <w:r>
              <w:rPr>
                <w:rFonts w:ascii="Inter" w:hAnsi="Inter"/>
                <w:color w:val="14213D"/>
                <w:sz w:val="18"/>
              </w:rPr>
              <w:t>The evidence base that helps the coach understand what exams repeatedly test.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What is the promise?</w:t>
            </w:r>
          </w:p>
        </w:tc>
        <w:tc>
          <w:tcPr>
            <w:tcW w:type="dxa" w:w="698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Inter" w:hAnsi="Inter"/>
                <w:color w:val="14213D"/>
                <w:sz w:val="18"/>
              </w:rPr>
              <w:t>Train for the exam. Know when you’re ready.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5D6675"/>
        <w:sz w:val="16"/>
      </w:rPr>
      <w:t>Bestehen  •  Working Product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1D6F50"/>
        <w:sz w:val="17"/>
      </w:rPr>
      <w:t>BESTEHEN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Inter" w:hAnsi="Inter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Inter" w:hAnsi="Inter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Inter" w:hAnsi="Inter"/>
      <w:b/>
      <w:bCs/>
      <w:color w:val="1D6F5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Inter" w:hAnsi="Inter"/>
      <w:b/>
      <w:bCs/>
      <w:color w:val="1421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59" w:right="259"/>
    </w:pPr>
    <w:rPr>
      <w:rFonts w:ascii="Inter" w:hAnsi="Inter"/>
      <w:b/>
      <w:color w:val="1D6F5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