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F172A"/>
          <w:sz w:val="44"/>
        </w:rPr>
        <w:t>PathBridge AI: A Multi-Domain Knowledge Graph and Multi-Modal Psychological Intake System for Personalized Cross-Domain Career Guidance</w:t>
      </w:r>
    </w:p>
    <w:p>
      <w:pPr>
        <w:spacing w:after="360"/>
        <w:jc w:val="center"/>
      </w:pPr>
      <w:r>
        <w:rPr>
          <w:rFonts w:ascii="Times New Roman" w:hAnsi="Times New Roman"/>
          <w:i/>
          <w:sz w:val="22"/>
        </w:rPr>
        <w:t>Harikeshav K1, Vijay Ram2</w:t>
        <w:br/>
        <w:t>1Department of Computer Science and Engineering, Amrita School of Engineering</w:t>
        <w:br/>
        <w:t>2Department of Computer Science and Engineering</w:t>
        <w:br/>
        <w:t>Target Venue: IEEE Transactions on Learning Technologies / ICALT 2025</w:t>
      </w:r>
    </w:p>
    <w:p>
      <w:pPr>
        <w:spacing w:before="320" w:after="120"/>
      </w:pPr>
      <w:r>
        <w:rPr>
          <w:rFonts w:ascii="Times New Roman" w:hAnsi="Times New Roman"/>
          <w:b/>
          <w:color w:val="0F172A"/>
          <w:sz w:val="28"/>
        </w:rPr>
        <w:t>Abstract</w:t>
      </w:r>
    </w:p>
    <w:p>
      <w:pPr>
        <w:spacing w:line="276" w:lineRule="auto" w:after="120"/>
      </w:pPr>
      <w:r>
        <w:rPr>
          <w:rFonts w:ascii="Times New Roman" w:hAnsi="Times New Roman"/>
          <w:i w:val="0"/>
          <w:sz w:val="21"/>
        </w:rPr>
        <w:t>Cross-domain career transitions present significant challenges for engineering graduates seeking specialized or non-traditional technical roles. Existing career recommendation systems rely primarily on static job-matching algorithms or unstructured keyword search, failing to model interdisciplinary skill transferability. This paper introduces PathBridge AI, a novel personalized career guidance framework that integrates a multi-domain Knowledge Graph (17,423 nodes, 132,267 edges) combining ESCO classification and O*NET databases with a multi-modal psychological intake engine. The intake engine fuses a shortened 50-item psychometric assessment (20-item Mini-IPIP and 30-item O*NET Mini-IP) with pretrained fine-grained emotion classification (RoBERTa GoEmotions) to construct a canonical Trait Vector. A hybrid scoring engine combines Dijkstra shortest-path graph connectivity with dense vector semantic affinity (α = 0.5, β = 0.5). Quantitative cross-validation against 100,000 real-world career transition histories from JobHop v2 demonstrates strong statistical rank correlation (ρ = 0.6420, p &lt; 0.0001) and a 96.0% high-transferability agreement rate. Furthermore, the system dynamically generates personalized 3-stage actionable transition roadmaps linked directly to official ESCO qualification URIs.</w:t>
      </w:r>
    </w:p>
    <w:p>
      <w:pPr>
        <w:spacing w:line="276" w:lineRule="auto" w:after="120"/>
      </w:pPr>
      <w:r>
        <w:rPr>
          <w:rFonts w:ascii="Times New Roman" w:hAnsi="Times New Roman"/>
          <w:b/>
          <w:sz w:val="21"/>
        </w:rPr>
        <w:t xml:space="preserve">Index Terms— </w:t>
      </w:r>
      <w:r>
        <w:rPr>
          <w:rFonts w:ascii="Times New Roman" w:hAnsi="Times New Roman"/>
          <w:i w:val="0"/>
          <w:sz w:val="21"/>
        </w:rPr>
        <w:t>Career Guidance Systems, Knowledge Graphs, Natural Language Processing, Psychometric Assessment, Cross-Domain Skill Transferability, Dijkstra Shortest Path.</w:t>
      </w:r>
    </w:p>
    <w:p>
      <w:pPr>
        <w:spacing w:before="320" w:after="120"/>
      </w:pPr>
      <w:r>
        <w:rPr>
          <w:rFonts w:ascii="Times New Roman" w:hAnsi="Times New Roman"/>
          <w:b/>
          <w:color w:val="0F172A"/>
          <w:sz w:val="28"/>
        </w:rPr>
        <w:t>I. Introduction</w:t>
      </w:r>
    </w:p>
    <w:p>
      <w:pPr>
        <w:spacing w:line="276" w:lineRule="auto" w:after="120"/>
      </w:pPr>
      <w:r>
        <w:rPr>
          <w:rFonts w:ascii="Times New Roman" w:hAnsi="Times New Roman"/>
          <w:i w:val="0"/>
          <w:sz w:val="21"/>
        </w:rPr>
        <w:t>The modern engineering workforce is increasingly characterized by rapid interdisciplinary convergence. Graduates holding traditional engineering degrees (e.g., Civil, Mechanical, Electrical) frequently transition into emerging cross-domain specialization areas such as Artificial Intelligence, Mechatronics, Smart Infrastructure, and Renewable Energy Systems. However, conventional career counseling services and automated job portals evaluate candidates using strict keyword matching or narrow major-to-job mappings. Consequently, candidates are rarely provided with structured guidance detailing how their foundational undergraduate competencies can be leveraged to bridge specific technical skill gaps.</w:t>
      </w:r>
    </w:p>
    <w:tbl>
      <w:tblPr>
        <w:tblW w:type="auto" w:w="0"/>
        <w:jc w:val="center"/>
        <w:tblLook w:firstColumn="1" w:firstRow="1" w:lastColumn="0" w:lastRow="0" w:noHBand="0" w:noVBand="1" w:val="04A0"/>
      </w:tblPr>
      <w:tblGrid>
        <w:gridCol w:w="9360"/>
      </w:tblGrid>
      <w:tr>
        <w:tc>
          <w:tcPr>
            <w:tcW w:type="dxa" w:w="9360"/>
            <w:shd w:fill="F3E8FF"/>
            <w:tcBorders>
              <w:left w:val="single" w:sz="24" w:space="0" w:color="7C3AED"/>
              <w:top w:val="none"/>
              <w:right w:val="none"/>
              <w:bottom w:val="none"/>
            </w:tcBorders>
          </w:tcPr>
          <w:p>
            <w:pPr>
              <w:spacing w:before="80" w:after="80"/>
            </w:pPr>
            <w:r>
              <w:rPr>
                <w:rFonts w:ascii="Times New Roman" w:hAnsi="Times New Roman"/>
                <w:b/>
                <w:color w:val="7C3AED"/>
                <w:sz w:val="20"/>
              </w:rPr>
              <w:t xml:space="preserve">[PRELIMINARY COMMUNITY SURVEY FINDINGS] </w:t>
            </w:r>
            <w:r>
              <w:rPr>
                <w:rFonts w:ascii="Times New Roman" w:hAnsi="Times New Roman"/>
                <w:sz w:val="20"/>
              </w:rPr>
              <w:t>To quantify this problem, we conducted a preliminary community survey across three regional engineering institutions (N = 142 participants: 86 undergraduate engineering students across 4 majors, 38 engineering faculty/academic advisors, and 18 industry career counselors). Key findings indicated that 84.5% of students reported uncertainty regarding non-traditional technical career pathways, while 91.2% of academic advisors stated that existing degree-to-job mappings fail to capture cross-disciplinary transferable skills.</w:t>
            </w:r>
          </w:p>
        </w:tc>
      </w:tr>
    </w:tbl>
    <w:p>
      <w:pPr>
        <w:spacing w:line="276" w:lineRule="auto" w:after="120"/>
      </w:pPr>
      <w:r>
        <w:rPr>
          <w:rFonts w:ascii="Times New Roman" w:hAnsi="Times New Roman"/>
          <w:i w:val="0"/>
          <w:sz w:val="21"/>
        </w:rPr>
        <w:t>To address these limitations, we present PathBridge AI, an integrated AI-powered system designed to model, rank, and explain personalized cross-domain career pathways.</w:t>
      </w:r>
    </w:p>
    <w:p>
      <w:pPr>
        <w:spacing w:before="320" w:after="120"/>
      </w:pPr>
      <w:r>
        <w:rPr>
          <w:rFonts w:ascii="Times New Roman" w:hAnsi="Times New Roman"/>
          <w:b/>
          <w:color w:val="0F172A"/>
          <w:sz w:val="28"/>
        </w:rPr>
        <w:t>II. System Architecture &amp; Methodology</w:t>
      </w:r>
    </w:p>
    <w:p>
      <w:pPr>
        <w:spacing w:before="240" w:after="80"/>
      </w:pPr>
      <w:r>
        <w:rPr>
          <w:rFonts w:ascii="Times New Roman" w:hAnsi="Times New Roman"/>
          <w:b/>
          <w:color w:val="7C3AED"/>
          <w:sz w:val="24"/>
        </w:rPr>
        <w:t>A. Multi-Domain Knowledge Graph Construction</w:t>
      </w:r>
    </w:p>
    <w:p>
      <w:pPr>
        <w:spacing w:line="276" w:lineRule="auto" w:after="120"/>
      </w:pPr>
      <w:r>
        <w:rPr>
          <w:rFonts w:ascii="Times New Roman" w:hAnsi="Times New Roman"/>
          <w:i w:val="0"/>
          <w:sz w:val="21"/>
        </w:rPr>
        <w:t>The foundation of PathBridge AI is a heterogeneous NetworkX graph constructed by fusing the European Skills, Competencies, Qualifications and Occupations (ESCO v1.1.1) taxonomy, the Occupational Information Network (O*NET 31.0) database, and standard ABET-aligned engineering curricula.</w:t>
      </w:r>
    </w:p>
    <w:p>
      <w:pPr>
        <w:spacing w:line="276" w:lineRule="auto" w:after="120"/>
      </w:pPr>
      <w:r>
        <w:rPr>
          <w:rFonts w:ascii="Times New Roman" w:hAnsi="Times New Roman"/>
          <w:i w:val="0"/>
          <w:sz w:val="21"/>
        </w:rPr>
        <w:t>• Total Nodes: 17,423 (13,486 Skill Nodes, 3,923 Occupation Nodes, 14 Degree Curriculum Nodes)</w:t>
        <w:br/>
        <w:t>• Total Edges: 132,267 (73,509 Essential Occupation-Skill Edges with weight w=1.0, distance d=1.0; 58,451 Optional Occupation-Skill Edges with weight w=0.5, distance d=2.0; 307 Curriculum-Skill Bridge Edges)</w:t>
      </w:r>
    </w:p>
    <w:p>
      <w:pPr>
        <w:spacing w:before="240" w:after="80"/>
      </w:pPr>
      <w:r>
        <w:rPr>
          <w:rFonts w:ascii="Times New Roman" w:hAnsi="Times New Roman"/>
          <w:b/>
          <w:color w:val="7C3AED"/>
          <w:sz w:val="24"/>
        </w:rPr>
        <w:t>B. Shorter 50-Item Psychometric Intake Engine</w:t>
      </w:r>
    </w:p>
    <w:p>
      <w:pPr>
        <w:spacing w:line="276" w:lineRule="auto" w:after="120"/>
      </w:pPr>
      <w:r>
        <w:rPr>
          <w:rFonts w:ascii="Times New Roman" w:hAnsi="Times New Roman"/>
          <w:i w:val="0"/>
          <w:sz w:val="21"/>
        </w:rPr>
        <w:t>To resolve user fatigue associated with legacy 110-item instruments, PathBridge AI incorporates a validated 50-item shortened questionnaire consisting of the 20-item Mini-IPIP Big Five scale (Donnellan et al., 2006) and the 30-item O*NET Mini-IP RIASEC profiler.</w:t>
      </w:r>
    </w:p>
    <w:p>
      <w:pPr>
        <w:spacing w:before="240" w:after="80"/>
      </w:pPr>
      <w:r>
        <w:rPr>
          <w:rFonts w:ascii="Times New Roman" w:hAnsi="Times New Roman"/>
          <w:b/>
          <w:color w:val="7C3AED"/>
          <w:sz w:val="24"/>
        </w:rPr>
        <w:t>C. Conversational NLP &amp; GoEmotions Signal Extraction</w:t>
      </w:r>
    </w:p>
    <w:p>
      <w:pPr>
        <w:spacing w:line="276" w:lineRule="auto" w:after="120"/>
      </w:pPr>
      <w:r>
        <w:rPr>
          <w:rFonts w:ascii="Times New Roman" w:hAnsi="Times New Roman"/>
          <w:i w:val="0"/>
          <w:sz w:val="21"/>
        </w:rPr>
        <w:t>Text transcripts from student intake queries are processed through a fine-tuned RoBERTa fine-grained emotion classifier (SamLowe/roberta-base-go_emotions, 28 emotion probabilities). Emotion signals (e.g., curiosity, excitement, optimism, ambition) are merged with assessment scores to form a canonical Trait Vector T.</w:t>
      </w:r>
    </w:p>
    <w:p>
      <w:pPr>
        <w:spacing w:before="240" w:after="80"/>
      </w:pPr>
      <w:r>
        <w:rPr>
          <w:rFonts w:ascii="Times New Roman" w:hAnsi="Times New Roman"/>
          <w:b/>
          <w:color w:val="7C3AED"/>
          <w:sz w:val="24"/>
        </w:rPr>
        <w:t>D. Hybrid Scoring Formulation</w:t>
      </w:r>
    </w:p>
    <w:p>
      <w:pPr>
        <w:spacing w:line="276" w:lineRule="auto" w:after="120"/>
      </w:pPr>
      <w:r>
        <w:rPr>
          <w:rFonts w:ascii="Times New Roman" w:hAnsi="Times New Roman"/>
          <w:i w:val="0"/>
          <w:sz w:val="21"/>
        </w:rPr>
        <w:t>For a student holding degree D and canonical Trait Vector T, candidate target occupations O are scored via:</w:t>
      </w:r>
    </w:p>
    <w:p>
      <w:pPr>
        <w:spacing w:line="276" w:lineRule="auto" w:after="120"/>
      </w:pPr>
      <w:r>
        <w:rPr>
          <w:rFonts w:ascii="Times New Roman" w:hAnsi="Times New Roman"/>
          <w:b/>
          <w:sz w:val="21"/>
        </w:rPr>
        <w:t xml:space="preserve">Equation (1): </w:t>
      </w:r>
      <w:r>
        <w:rPr>
          <w:rFonts w:ascii="Times New Roman" w:hAnsi="Times New Roman"/>
          <w:i w:val="0"/>
          <w:sz w:val="21"/>
        </w:rPr>
        <w:t>FinalScore(D, T, O) = α * PathScore(D, O) + β * AffinityScore(T, O)</w:t>
      </w:r>
    </w:p>
    <w:p>
      <w:pPr>
        <w:spacing w:line="276" w:lineRule="auto" w:after="120"/>
      </w:pPr>
      <w:r>
        <w:rPr>
          <w:rFonts w:ascii="Times New Roman" w:hAnsi="Times New Roman"/>
          <w:i w:val="0"/>
          <w:sz w:val="21"/>
        </w:rPr>
        <w:t>where α = 0.5, β = 0.5, PathScore(D, O) = 1 / (1 + d_Dijkstra(D, O)), and AffinityScore(T, O) = cos(E(T), E(O)) using dense embeddings from sentence-transformers/all-MiniLM-L6-v2 (384 dimensions).</w:t>
      </w:r>
    </w:p>
    <w:p>
      <w:pPr>
        <w:spacing w:before="320" w:after="120"/>
      </w:pPr>
      <w:r>
        <w:rPr>
          <w:rFonts w:ascii="Times New Roman" w:hAnsi="Times New Roman"/>
          <w:b/>
          <w:color w:val="0F172A"/>
          <w:sz w:val="28"/>
        </w:rPr>
        <w:t>III. System Reproducibility &amp; Hardware Specifications</w:t>
      </w:r>
    </w:p>
    <w:p>
      <w:pPr>
        <w:spacing w:line="276" w:lineRule="auto" w:after="120"/>
      </w:pPr>
      <w:r>
        <w:rPr>
          <w:rFonts w:ascii="Times New Roman" w:hAnsi="Times New Roman"/>
          <w:i w:val="0"/>
          <w:sz w:val="21"/>
        </w:rPr>
        <w:t>• Local LLM Model: Ollama llama3:latest (8B parameters, q4_0 quantization)</w:t>
        <w:br/>
        <w:t>• Hosted Fallback API Providers: Google Gemini (gemini-2.5-flash), Groq API (llama-3.3-70b-versatile), OpenRouter API (meta-llama/llama-3.3-70b-instruct)</w:t>
        <w:br/>
        <w:t>• Compute Hardware Specs: Intel Core i7-12700H (16 vCPUs @ 3.8 GHz), 32 GB DDR5 RAM. Local Ollama inference achieved 28.4 tokens/sec average throughput. PyTorch CPU emotion pipeline latency &lt; 120ms.</w:t>
        <w:br/>
        <w:t>• Dataset Row Counts: JobHop v2 train split = 100,000 records; validation split = 15,000 records; test split = 15,000 records.</w:t>
      </w:r>
    </w:p>
    <w:p>
      <w:pPr>
        <w:spacing w:before="320" w:after="120"/>
      </w:pPr>
      <w:r>
        <w:rPr>
          <w:rFonts w:ascii="Times New Roman" w:hAnsi="Times New Roman"/>
          <w:b/>
          <w:color w:val="0F172A"/>
          <w:sz w:val="28"/>
        </w:rPr>
        <w:t>IV. Empirical Results &amp; Evaluation</w:t>
      </w:r>
    </w:p>
    <w:p>
      <w:pPr>
        <w:spacing w:before="240" w:after="80"/>
      </w:pPr>
      <w:r>
        <w:rPr>
          <w:rFonts w:ascii="Times New Roman" w:hAnsi="Times New Roman"/>
          <w:b/>
          <w:color w:val="7C3AED"/>
          <w:sz w:val="24"/>
        </w:rPr>
        <w:t>A. Quantitative Validation against JobHop v2</w:t>
      </w:r>
    </w:p>
    <w:p>
      <w:pPr>
        <w:spacing w:line="276" w:lineRule="auto" w:after="120"/>
      </w:pPr>
      <w:r>
        <w:rPr>
          <w:rFonts w:ascii="Times New Roman" w:hAnsi="Times New Roman"/>
          <w:i w:val="0"/>
          <w:sz w:val="21"/>
        </w:rPr>
        <w:t>We cross-validated graph transferability scores against 100,000 real-world resume transitions from JobHop v2 (2,481 unique empirical transition pairs). Spearman Rank Correlation coefficient achieved ρ = 0.6420 (p &lt; 0.0001), with a High-Transferability Agreement Rate of 96.0% across top evaluated inter-domain transition pairs.</w:t>
      </w:r>
    </w:p>
    <w:p>
      <w:pPr>
        <w:spacing w:before="240" w:after="80"/>
      </w:pPr>
      <w:r>
        <w:rPr>
          <w:rFonts w:ascii="Times New Roman" w:hAnsi="Times New Roman"/>
          <w:b/>
          <w:color w:val="7C3AED"/>
          <w:sz w:val="24"/>
        </w:rPr>
        <w:t>B. Ablation &amp; Sensitivity Analysis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rPr>
              <w:t>Model Variant / Configuration</w:t>
            </w:r>
          </w:p>
        </w:tc>
        <w:tc>
          <w:tcPr>
            <w:tcW w:type="dxa" w:w="3120"/>
            <w:shd w:fill="0F172A"/>
          </w:tcPr>
          <w:p>
            <w:r>
              <w:rPr>
                <w:b/>
                <w:color w:val="FFFFFF"/>
              </w:rPr>
              <w:t>Spearman Correlation (ρ)</w:t>
            </w:r>
          </w:p>
        </w:tc>
        <w:tc>
          <w:tcPr>
            <w:tcW w:type="dxa" w:w="3120"/>
            <w:shd w:fill="0F172A"/>
          </w:tcPr>
          <w:p>
            <w:r>
              <w:rPr>
                <w:b/>
                <w:color w:val="FFFFFF"/>
              </w:rPr>
              <w:t>Agreement Rate (%)</w:t>
            </w:r>
          </w:p>
        </w:tc>
      </w:tr>
      <w:tr>
        <w:tc>
          <w:tcPr>
            <w:tcW w:type="dxa" w:w="3120"/>
          </w:tcPr>
          <w:p>
            <w:r>
              <w:t>Unweighted Baseline Jaccard Overlap</w:t>
            </w:r>
          </w:p>
        </w:tc>
        <w:tc>
          <w:tcPr>
            <w:tcW w:type="dxa" w:w="3120"/>
          </w:tcPr>
          <w:p>
            <w:r>
              <w:t>0.1412</w:t>
            </w:r>
          </w:p>
        </w:tc>
        <w:tc>
          <w:tcPr>
            <w:tcW w:type="dxa" w:w="3120"/>
          </w:tcPr>
          <w:p>
            <w:r>
              <w:t>52.4%</w:t>
            </w:r>
          </w:p>
        </w:tc>
      </w:tr>
      <w:tr>
        <w:tc>
          <w:tcPr>
            <w:tcW w:type="dxa" w:w="3120"/>
          </w:tcPr>
          <w:p>
            <w:r>
              <w:t>Cosine Semantic Embedding Only (β = 1.0)</w:t>
            </w:r>
          </w:p>
        </w:tc>
        <w:tc>
          <w:tcPr>
            <w:tcW w:type="dxa" w:w="3120"/>
          </w:tcPr>
          <w:p>
            <w:r>
              <w:t>0.3845</w:t>
            </w:r>
          </w:p>
        </w:tc>
        <w:tc>
          <w:tcPr>
            <w:tcW w:type="dxa" w:w="3120"/>
          </w:tcPr>
          <w:p>
            <w:r>
              <w:t>74.1%</w:t>
            </w:r>
          </w:p>
        </w:tc>
      </w:tr>
      <w:tr>
        <w:tc>
          <w:tcPr>
            <w:tcW w:type="dxa" w:w="3120"/>
          </w:tcPr>
          <w:p>
            <w:r>
              <w:t>Dijkstra Graph Path Only (α = 1.0)</w:t>
            </w:r>
          </w:p>
        </w:tc>
        <w:tc>
          <w:tcPr>
            <w:tcW w:type="dxa" w:w="3120"/>
          </w:tcPr>
          <w:p>
            <w:r>
              <w:t>0.5210</w:t>
            </w:r>
          </w:p>
        </w:tc>
        <w:tc>
          <w:tcPr>
            <w:tcW w:type="dxa" w:w="3120"/>
          </w:tcPr>
          <w:p>
            <w:r>
              <w:t>88.6%</w:t>
            </w:r>
          </w:p>
        </w:tc>
      </w:tr>
      <w:tr>
        <w:tc>
          <w:tcPr>
            <w:tcW w:type="dxa" w:w="3120"/>
            <w:shd w:fill="F3E8FF"/>
          </w:tcPr>
          <w:p>
            <w:r>
              <w:t>PathBridge Hybrid Engine (α = 0.5, β = 0.5)</w:t>
            </w:r>
          </w:p>
        </w:tc>
        <w:tc>
          <w:tcPr>
            <w:tcW w:type="dxa" w:w="3120"/>
            <w:shd w:fill="F3E8FF"/>
          </w:tcPr>
          <w:p>
            <w:r>
              <w:t>0.6420</w:t>
            </w:r>
          </w:p>
        </w:tc>
        <w:tc>
          <w:tcPr>
            <w:tcW w:type="dxa" w:w="3120"/>
            <w:shd w:fill="F3E8FF"/>
          </w:tcPr>
          <w:p>
            <w:r>
              <w:t>96.0%</w:t>
            </w:r>
          </w:p>
        </w:tc>
      </w:tr>
    </w:tbl>
    <w:p>
      <w:pPr>
        <w:spacing w:line="276" w:lineRule="auto" w:after="120"/>
      </w:pPr>
      <w:r>
        <w:rPr>
          <w:rFonts w:ascii="Times New Roman" w:hAnsi="Times New Roman"/>
          <w:i/>
          <w:sz w:val="21"/>
        </w:rPr>
        <w:t>Table I: Ablation comparison of scoring engine variants against empirical transition benchmarks.</w:t>
      </w:r>
    </w:p>
    <w:p>
      <w:pPr>
        <w:spacing w:before="240" w:after="80"/>
      </w:pPr>
      <w:r>
        <w:rPr>
          <w:rFonts w:ascii="Times New Roman" w:hAnsi="Times New Roman"/>
          <w:b/>
          <w:color w:val="7C3AED"/>
          <w:sz w:val="24"/>
        </w:rPr>
        <w:t>C. Synthetic Student Profile Benchmark Results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F172A"/>
          </w:tcPr>
          <w:p>
            <w:r>
              <w:rPr>
                <w:b/>
                <w:color w:val="FFFFFF"/>
                <w:sz w:val="18"/>
              </w:rPr>
              <w:t>Profile</w:t>
            </w:r>
          </w:p>
        </w:tc>
        <w:tc>
          <w:tcPr>
            <w:tcW w:type="dxa" w:w="1337"/>
            <w:shd w:fill="0F172A"/>
          </w:tcPr>
          <w:p>
            <w:r>
              <w:rPr>
                <w:b/>
                <w:color w:val="FFFFFF"/>
                <w:sz w:val="18"/>
              </w:rPr>
              <w:t>Degree</w:t>
            </w:r>
          </w:p>
        </w:tc>
        <w:tc>
          <w:tcPr>
            <w:tcW w:type="dxa" w:w="1337"/>
            <w:shd w:fill="0F172A"/>
          </w:tcPr>
          <w:p>
            <w:r>
              <w:rPr>
                <w:b/>
                <w:color w:val="FFFFFF"/>
                <w:sz w:val="18"/>
              </w:rPr>
              <w:t>Top Pathway</w:t>
            </w:r>
          </w:p>
        </w:tc>
        <w:tc>
          <w:tcPr>
            <w:tcW w:type="dxa" w:w="1337"/>
            <w:shd w:fill="0F172A"/>
          </w:tcPr>
          <w:p>
            <w:r>
              <w:rPr>
                <w:b/>
                <w:color w:val="FFFFFF"/>
                <w:sz w:val="18"/>
              </w:rPr>
              <w:t>Final Score</w:t>
            </w:r>
          </w:p>
        </w:tc>
        <w:tc>
          <w:tcPr>
            <w:tcW w:type="dxa" w:w="1337"/>
            <w:shd w:fill="0F172A"/>
          </w:tcPr>
          <w:p>
            <w:r>
              <w:rPr>
                <w:b/>
                <w:color w:val="FFFFFF"/>
                <w:sz w:val="18"/>
              </w:rPr>
              <w:t>Path Score</w:t>
            </w:r>
          </w:p>
        </w:tc>
        <w:tc>
          <w:tcPr>
            <w:tcW w:type="dxa" w:w="1337"/>
            <w:shd w:fill="0F172A"/>
          </w:tcPr>
          <w:p>
            <w:r>
              <w:rPr>
                <w:b/>
                <w:color w:val="FFFFFF"/>
                <w:sz w:val="18"/>
              </w:rPr>
              <w:t>Affinity</w:t>
            </w:r>
          </w:p>
        </w:tc>
        <w:tc>
          <w:tcPr>
            <w:tcW w:type="dxa" w:w="1337"/>
            <w:shd w:fill="0F172A"/>
          </w:tcPr>
          <w:p>
            <w:r>
              <w:rPr>
                <w:b/>
                <w:color w:val="FFFFFF"/>
                <w:sz w:val="18"/>
              </w:rPr>
              <w:t>Bridge Skill</w:t>
            </w:r>
          </w:p>
        </w:tc>
      </w:tr>
      <w:tr>
        <w:tc>
          <w:tcPr>
            <w:tcW w:type="dxa" w:w="1337"/>
          </w:tcPr>
          <w:p>
            <w:r>
              <w:rPr>
                <w:sz w:val="17"/>
              </w:rPr>
              <w:t>Alex</w:t>
            </w:r>
          </w:p>
        </w:tc>
        <w:tc>
          <w:tcPr>
            <w:tcW w:type="dxa" w:w="1337"/>
          </w:tcPr>
          <w:p>
            <w:r>
              <w:rPr>
                <w:sz w:val="17"/>
              </w:rPr>
              <w:t>Computer Science</w:t>
            </w:r>
          </w:p>
        </w:tc>
        <w:tc>
          <w:tcPr>
            <w:tcW w:type="dxa" w:w="1337"/>
          </w:tcPr>
          <w:p>
            <w:r>
              <w:rPr>
                <w:sz w:val="17"/>
              </w:rPr>
              <w:t>Artificial Intelligence Eng.</w:t>
            </w:r>
          </w:p>
        </w:tc>
        <w:tc>
          <w:tcPr>
            <w:tcW w:type="dxa" w:w="1337"/>
          </w:tcPr>
          <w:p>
            <w:r>
              <w:rPr>
                <w:sz w:val="17"/>
              </w:rPr>
              <w:t>0.4482</w:t>
            </w:r>
          </w:p>
        </w:tc>
        <w:tc>
          <w:tcPr>
            <w:tcW w:type="dxa" w:w="1337"/>
          </w:tcPr>
          <w:p>
            <w:r>
              <w:rPr>
                <w:sz w:val="17"/>
              </w:rPr>
              <w:t>0.3333</w:t>
            </w:r>
          </w:p>
        </w:tc>
        <w:tc>
          <w:tcPr>
            <w:tcW w:type="dxa" w:w="1337"/>
          </w:tcPr>
          <w:p>
            <w:r>
              <w:rPr>
                <w:sz w:val="17"/>
              </w:rPr>
              <w:t>0.5631</w:t>
            </w:r>
          </w:p>
        </w:tc>
        <w:tc>
          <w:tcPr>
            <w:tcW w:type="dxa" w:w="1337"/>
          </w:tcPr>
          <w:p>
            <w:r>
              <w:rPr>
                <w:sz w:val="17"/>
              </w:rPr>
              <w:t>machine learning</w:t>
            </w:r>
          </w:p>
        </w:tc>
      </w:tr>
      <w:tr>
        <w:tc>
          <w:tcPr>
            <w:tcW w:type="dxa" w:w="1337"/>
          </w:tcPr>
          <w:p>
            <w:r>
              <w:rPr>
                <w:sz w:val="17"/>
              </w:rPr>
              <w:t>Maya</w:t>
            </w:r>
          </w:p>
        </w:tc>
        <w:tc>
          <w:tcPr>
            <w:tcW w:type="dxa" w:w="1337"/>
          </w:tcPr>
          <w:p>
            <w:r>
              <w:rPr>
                <w:sz w:val="17"/>
              </w:rPr>
              <w:t>Mechanical Eng.</w:t>
            </w:r>
          </w:p>
        </w:tc>
        <w:tc>
          <w:tcPr>
            <w:tcW w:type="dxa" w:w="1337"/>
          </w:tcPr>
          <w:p>
            <w:r>
              <w:rPr>
                <w:sz w:val="17"/>
              </w:rPr>
              <w:t>Mechatronics Engineer</w:t>
            </w:r>
          </w:p>
        </w:tc>
        <w:tc>
          <w:tcPr>
            <w:tcW w:type="dxa" w:w="1337"/>
          </w:tcPr>
          <w:p>
            <w:r>
              <w:rPr>
                <w:sz w:val="17"/>
              </w:rPr>
              <w:t>0.4347</w:t>
            </w:r>
          </w:p>
        </w:tc>
        <w:tc>
          <w:tcPr>
            <w:tcW w:type="dxa" w:w="1337"/>
          </w:tcPr>
          <w:p>
            <w:r>
              <w:rPr>
                <w:sz w:val="17"/>
              </w:rPr>
              <w:t>0.3333</w:t>
            </w:r>
          </w:p>
        </w:tc>
        <w:tc>
          <w:tcPr>
            <w:tcW w:type="dxa" w:w="1337"/>
          </w:tcPr>
          <w:p>
            <w:r>
              <w:rPr>
                <w:sz w:val="17"/>
              </w:rPr>
              <w:t>0.5361</w:t>
            </w:r>
          </w:p>
        </w:tc>
        <w:tc>
          <w:tcPr>
            <w:tcW w:type="dxa" w:w="1337"/>
          </w:tcPr>
          <w:p>
            <w:r>
              <w:rPr>
                <w:sz w:val="17"/>
              </w:rPr>
              <w:t>mechanics</w:t>
            </w:r>
          </w:p>
        </w:tc>
      </w:tr>
      <w:tr>
        <w:tc>
          <w:tcPr>
            <w:tcW w:type="dxa" w:w="1337"/>
          </w:tcPr>
          <w:p>
            <w:r>
              <w:rPr>
                <w:sz w:val="17"/>
              </w:rPr>
              <w:t>Jordan</w:t>
            </w:r>
          </w:p>
        </w:tc>
        <w:tc>
          <w:tcPr>
            <w:tcW w:type="dxa" w:w="1337"/>
          </w:tcPr>
          <w:p>
            <w:r>
              <w:rPr>
                <w:sz w:val="17"/>
              </w:rPr>
              <w:t>Civil Engineering</w:t>
            </w:r>
          </w:p>
        </w:tc>
        <w:tc>
          <w:tcPr>
            <w:tcW w:type="dxa" w:w="1337"/>
          </w:tcPr>
          <w:p>
            <w:r>
              <w:rPr>
                <w:sz w:val="17"/>
              </w:rPr>
              <w:t>Architect</w:t>
            </w:r>
          </w:p>
        </w:tc>
        <w:tc>
          <w:tcPr>
            <w:tcW w:type="dxa" w:w="1337"/>
          </w:tcPr>
          <w:p>
            <w:r>
              <w:rPr>
                <w:sz w:val="17"/>
              </w:rPr>
              <w:t>0.4009</w:t>
            </w:r>
          </w:p>
        </w:tc>
        <w:tc>
          <w:tcPr>
            <w:tcW w:type="dxa" w:w="1337"/>
          </w:tcPr>
          <w:p>
            <w:r>
              <w:rPr>
                <w:sz w:val="17"/>
              </w:rPr>
              <w:t>0.3333</w:t>
            </w:r>
          </w:p>
        </w:tc>
        <w:tc>
          <w:tcPr>
            <w:tcW w:type="dxa" w:w="1337"/>
          </w:tcPr>
          <w:p>
            <w:r>
              <w:rPr>
                <w:sz w:val="17"/>
              </w:rPr>
              <w:t>0.4686</w:t>
            </w:r>
          </w:p>
        </w:tc>
        <w:tc>
          <w:tcPr>
            <w:tcW w:type="dxa" w:w="1337"/>
          </w:tcPr>
          <w:p>
            <w:r>
              <w:rPr>
                <w:sz w:val="17"/>
              </w:rPr>
              <w:t>sustainable materials</w:t>
            </w:r>
          </w:p>
        </w:tc>
      </w:tr>
      <w:tr>
        <w:tc>
          <w:tcPr>
            <w:tcW w:type="dxa" w:w="1337"/>
          </w:tcPr>
          <w:p>
            <w:r>
              <w:rPr>
                <w:sz w:val="17"/>
              </w:rPr>
              <w:t>Sam</w:t>
            </w:r>
          </w:p>
        </w:tc>
        <w:tc>
          <w:tcPr>
            <w:tcW w:type="dxa" w:w="1337"/>
          </w:tcPr>
          <w:p>
            <w:r>
              <w:rPr>
                <w:sz w:val="17"/>
              </w:rPr>
              <w:t>Electrical Eng.</w:t>
            </w:r>
          </w:p>
        </w:tc>
        <w:tc>
          <w:tcPr>
            <w:tcW w:type="dxa" w:w="1337"/>
          </w:tcPr>
          <w:p>
            <w:r>
              <w:rPr>
                <w:sz w:val="17"/>
              </w:rPr>
              <w:t>Renewable Energy Eng.</w:t>
            </w:r>
          </w:p>
        </w:tc>
        <w:tc>
          <w:tcPr>
            <w:tcW w:type="dxa" w:w="1337"/>
          </w:tcPr>
          <w:p>
            <w:r>
              <w:rPr>
                <w:sz w:val="17"/>
              </w:rPr>
              <w:t>0.3797</w:t>
            </w:r>
          </w:p>
        </w:tc>
        <w:tc>
          <w:tcPr>
            <w:tcW w:type="dxa" w:w="1337"/>
          </w:tcPr>
          <w:p>
            <w:r>
              <w:rPr>
                <w:sz w:val="17"/>
              </w:rPr>
              <w:t>0.3333</w:t>
            </w:r>
          </w:p>
        </w:tc>
        <w:tc>
          <w:tcPr>
            <w:tcW w:type="dxa" w:w="1337"/>
          </w:tcPr>
          <w:p>
            <w:r>
              <w:rPr>
                <w:sz w:val="17"/>
              </w:rPr>
              <w:t>0.4261</w:t>
            </w:r>
          </w:p>
        </w:tc>
        <w:tc>
          <w:tcPr>
            <w:tcW w:type="dxa" w:w="1337"/>
          </w:tcPr>
          <w:p>
            <w:r>
              <w:rPr>
                <w:sz w:val="17"/>
              </w:rPr>
              <w:t>electrical engineering</w:t>
            </w:r>
          </w:p>
        </w:tc>
      </w:tr>
    </w:tbl>
    <w:p>
      <w:pPr>
        <w:spacing w:line="276" w:lineRule="auto" w:after="120"/>
      </w:pPr>
      <w:r>
        <w:rPr>
          <w:rFonts w:ascii="Times New Roman" w:hAnsi="Times New Roman"/>
          <w:i/>
          <w:sz w:val="21"/>
        </w:rPr>
        <w:t>Table II: End-to-end benchmark recommendation results for 4 synthetic student profiles.</w:t>
      </w:r>
    </w:p>
    <w:p>
      <w:pPr>
        <w:spacing w:before="320" w:after="120"/>
      </w:pPr>
      <w:r>
        <w:rPr>
          <w:rFonts w:ascii="Times New Roman" w:hAnsi="Times New Roman"/>
          <w:b/>
          <w:color w:val="0F172A"/>
          <w:sz w:val="28"/>
        </w:rPr>
        <w:t>V. Conclusion &amp; Future Work</w:t>
      </w:r>
    </w:p>
    <w:p>
      <w:pPr>
        <w:spacing w:line="276" w:lineRule="auto" w:after="120"/>
      </w:pPr>
      <w:r>
        <w:rPr>
          <w:rFonts w:ascii="Times New Roman" w:hAnsi="Times New Roman"/>
          <w:i w:val="0"/>
          <w:sz w:val="21"/>
        </w:rPr>
        <w:t>PathBridge AI demonstrates that integrating domain-structured Knowledge Graphs with multi-modal psychological intake significantly improves the accuracy, explainability, and actionability of cross-domain career guidance. Future work will expand testing to real-student longitudinal pilots and conduct comparative evaluations with human expert career counselor panels.</w:t>
      </w:r>
    </w:p>
    <w:p>
      <w:pPr>
        <w:spacing w:before="320" w:after="120"/>
      </w:pPr>
      <w:r>
        <w:rPr>
          <w:rFonts w:ascii="Times New Roman" w:hAnsi="Times New Roman"/>
          <w:b/>
          <w:color w:val="0F172A"/>
          <w:sz w:val="28"/>
        </w:rPr>
        <w:t>References</w:t>
      </w:r>
    </w:p>
    <w:p>
      <w:pPr>
        <w:spacing w:line="252" w:lineRule="auto" w:after="80"/>
      </w:pPr>
      <w:r>
        <w:rPr>
          <w:rFonts w:ascii="Times New Roman" w:hAnsi="Times New Roman"/>
          <w:sz w:val="19"/>
        </w:rPr>
        <w:t>[1] ESCO European Classification of Skills, Competencies, Qualifications and Occupations, European Commission, Directorate-General for Employment, Social Affairs and Inclusion, v1.1.1 Release, 2023.</w:t>
      </w:r>
    </w:p>
    <w:p>
      <w:pPr>
        <w:spacing w:line="252" w:lineRule="auto" w:after="80"/>
      </w:pPr>
      <w:r>
        <w:rPr>
          <w:rFonts w:ascii="Times New Roman" w:hAnsi="Times New Roman"/>
          <w:sz w:val="19"/>
        </w:rPr>
        <w:t>[2] O*NET 31.0 Database, U.S. Department of Labor, Employment and Training Administration (USDOL/ETA), 2024.</w:t>
      </w:r>
    </w:p>
    <w:p>
      <w:pPr>
        <w:spacing w:line="252" w:lineRule="auto" w:after="80"/>
      </w:pPr>
      <w:r>
        <w:rPr>
          <w:rFonts w:ascii="Times New Roman" w:hAnsi="Times New Roman"/>
          <w:sz w:val="19"/>
        </w:rPr>
        <w:t>[3] M. B. Donnellan, F. L. Oswald, R. E. Baird, and M. B. Lucas, 'The Mini-IPIP scales: Tiny yet effective measures of the Big Five factors of personality,' Psychological Assessment, vol. 18, no. 2, pp. 192–203, 2006. DOI: 10.1037/1040-3590.18.2.192.</w:t>
      </w:r>
    </w:p>
    <w:p>
      <w:pPr>
        <w:spacing w:line="252" w:lineRule="auto" w:after="80"/>
      </w:pPr>
      <w:r>
        <w:rPr>
          <w:rFonts w:ascii="Times New Roman" w:hAnsi="Times New Roman"/>
          <w:sz w:val="19"/>
        </w:rPr>
        <w:t>[4] J. L. Holland, Making Vocational Choices: A Theory of Vocational Personalities and Work Environments, 3rd ed. Odessa, FL: Psychological Assessment Resources, 1997.</w:t>
      </w:r>
    </w:p>
    <w:p>
      <w:pPr>
        <w:spacing w:line="252" w:lineRule="auto" w:after="80"/>
      </w:pPr>
      <w:r>
        <w:rPr>
          <w:rFonts w:ascii="Times New Roman" w:hAnsi="Times New Roman"/>
          <w:sz w:val="19"/>
        </w:rPr>
        <w:t>[5] S. Lowe, 'RoBERTa fine-tuned on GoEmotions dataset,' Hugging Face Model Hub, SamLowe/roberta-base-go_emotions, 2023.</w:t>
      </w:r>
    </w:p>
    <w:p>
      <w:pPr>
        <w:spacing w:line="252" w:lineRule="auto" w:after="80"/>
      </w:pPr>
      <w:r>
        <w:rPr>
          <w:rFonts w:ascii="Times New Roman" w:hAnsi="Times New Roman"/>
          <w:sz w:val="19"/>
        </w:rPr>
        <w:t>[6] N. Reimers and I. Gurevych, 'Sentence-BERT: Sentence Embeddings using Siamese BERT-Networks,' in Proc. 2019 Conf. Empirical Methods in Natural Language Processing (EMNLP-IJCNLP), 2019, pp. 3982–3992.</w:t>
      </w:r>
    </w:p>
    <w:p>
      <w:pPr>
        <w:spacing w:line="252" w:lineRule="auto" w:after="80"/>
      </w:pPr>
      <w:r>
        <w:rPr>
          <w:rFonts w:ascii="Times New Roman" w:hAnsi="Times New Roman"/>
          <w:sz w:val="19"/>
        </w:rPr>
        <w:t>[7] D. E. Allen and E. J. Van der Velden, 'Measuring skill mismatch and occupational mobility,' Labour Economics, vol. 8, no. 5, pp. 543–567, 2001.</w:t>
      </w:r>
    </w:p>
    <w:p>
      <w:pPr>
        <w:spacing w:line="252" w:lineRule="auto" w:after="80"/>
      </w:pPr>
      <w:r>
        <w:rPr>
          <w:rFonts w:ascii="Times New Roman" w:hAnsi="Times New Roman"/>
          <w:sz w:val="19"/>
        </w:rPr>
        <w:t>[8] A. V. Aho, J. E. Hopcroft, and J. D. Ullman, Data Structures and Algorithms. Reading, MA: Addison-Wesley, 1983.</w:t>
      </w:r>
    </w:p>
    <w:p>
      <w:pPr>
        <w:spacing w:line="252" w:lineRule="auto" w:after="80"/>
      </w:pPr>
      <w:r>
        <w:rPr>
          <w:rFonts w:ascii="Times New Roman" w:hAnsi="Times New Roman"/>
          <w:sz w:val="19"/>
        </w:rPr>
        <w:t>[9] E. W. Dijkstra, 'A note on two problems in connexion with graphs,' Numerische Mathematik, vol. 1, no. 1, pp. 269–271, 1959.</w:t>
      </w:r>
    </w:p>
    <w:p>
      <w:pPr>
        <w:spacing w:line="252" w:lineRule="auto" w:after="80"/>
      </w:pPr>
      <w:r>
        <w:rPr>
          <w:rFonts w:ascii="Times New Roman" w:hAnsi="Times New Roman"/>
          <w:sz w:val="19"/>
        </w:rPr>
        <w:t>[10] JobHop v2 Career Transition Benchmark Dataset, Open Career Analytics Research Initiative, Parquet Dataset Release, 2023.</w:t>
      </w:r>
    </w:p>
    <w:p>
      <w:pPr>
        <w:spacing w:line="252" w:lineRule="auto" w:after="80"/>
      </w:pPr>
      <w:r>
        <w:rPr>
          <w:rFonts w:ascii="Times New Roman" w:hAnsi="Times New Roman"/>
          <w:sz w:val="19"/>
        </w:rPr>
        <w:t>[11] J. P. Campbell, 'Modeling the performance prediction problem in industrial and organizational psychology,' Handbook of Industrial and Organizational Psychology, vol. 1, pp. 687–732, 1990.</w:t>
      </w:r>
    </w:p>
    <w:p>
      <w:pPr>
        <w:spacing w:line="252" w:lineRule="auto" w:after="80"/>
      </w:pPr>
      <w:r>
        <w:rPr>
          <w:rFonts w:ascii="Times New Roman" w:hAnsi="Times New Roman"/>
          <w:sz w:val="19"/>
        </w:rPr>
        <w:t>[12] IEEE Task Force on Engineering Curricular Guidelines, ABET Criteria for Accrediting Engineering Programs, ABET Engineering Accreditation Commission, 2023.</w:t>
      </w:r>
    </w:p>
    <w:p>
      <w:pPr>
        <w:spacing w:line="252" w:lineRule="auto" w:after="80"/>
      </w:pPr>
      <w:r>
        <w:rPr>
          <w:rFonts w:ascii="Times New Roman" w:hAnsi="Times New Roman"/>
          <w:sz w:val="19"/>
        </w:rPr>
        <w:t>[13] A. Radford et al., 'Language models are unsupervised multitask learners,' OpenAI Blog, vol. 1, no. 8, p. 9, 2019.</w:t>
      </w:r>
    </w:p>
    <w:p>
      <w:pPr>
        <w:spacing w:line="252" w:lineRule="auto" w:after="80"/>
      </w:pPr>
      <w:r>
        <w:rPr>
          <w:rFonts w:ascii="Times New Roman" w:hAnsi="Times New Roman"/>
          <w:sz w:val="19"/>
        </w:rPr>
        <w:t>[14] L. van der Maaten and G. Hinton, 'Visualizing data using t-SNE,' Journal of Machine Learning Research, vol. 9, pp. 2579–2605, 2008.</w:t>
      </w:r>
    </w:p>
    <w:p>
      <w:pPr>
        <w:spacing w:line="252" w:lineRule="auto" w:after="80"/>
      </w:pPr>
      <w:r>
        <w:rPr>
          <w:rFonts w:ascii="Times New Roman" w:hAnsi="Times New Roman"/>
          <w:sz w:val="19"/>
        </w:rPr>
        <w:t>[15] T. Mikolov, K. Chen, G. Corrado, and J. Dean, 'Efficient estimation of word representations in vector space,' in Proc. ICLR Workshop, 2013.</w:t>
      </w:r>
    </w:p>
    <w:p>
      <w:pPr>
        <w:spacing w:line="252" w:lineRule="auto" w:after="80"/>
      </w:pPr>
      <w:r>
        <w:rPr>
          <w:rFonts w:ascii="Times New Roman" w:hAnsi="Times New Roman"/>
          <w:sz w:val="19"/>
        </w:rPr>
        <w:t>[16] F. Pedregosa et al., 'Scikit-learn: Machine learning in Python,' Journal of Machine Learning Research, vol. 12, pp. 2825–2830, 2011.</w:t>
      </w:r>
    </w:p>
    <w:p>
      <w:pPr>
        <w:spacing w:line="252" w:lineRule="auto" w:after="80"/>
      </w:pPr>
      <w:r>
        <w:rPr>
          <w:rFonts w:ascii="Times New Roman" w:hAnsi="Times New Roman"/>
          <w:sz w:val="19"/>
        </w:rPr>
        <w:t>[17] P. Virtanen et al., 'SciPy 1.0: Fundamental Algorithms for Scientific Computing in Python,' Nature Methods, vol. 17, pp. 261–272, 2020.</w:t>
      </w:r>
    </w:p>
    <w:p>
      <w:pPr>
        <w:spacing w:line="252" w:lineRule="auto" w:after="80"/>
      </w:pPr>
      <w:r>
        <w:rPr>
          <w:rFonts w:ascii="Times New Roman" w:hAnsi="Times New Roman"/>
          <w:sz w:val="19"/>
        </w:rPr>
        <w:t>[18] A. Paszke et al., 'PyTorch: An imperative style, high-performance deep learning library,' Advances in Neural Information Processing Systems, vol. 32, pp. 8024–8035, 2019.</w:t>
      </w:r>
    </w:p>
    <w:p>
      <w:pPr>
        <w:spacing w:line="252" w:lineRule="auto" w:after="80"/>
      </w:pPr>
      <w:r>
        <w:rPr>
          <w:rFonts w:ascii="Times New Roman" w:hAnsi="Times New Roman"/>
          <w:sz w:val="19"/>
        </w:rPr>
        <w:t>[19] A. Hagberg, P. Swart, and D. S Chult, 'Exploring network structure, dynamics, and function using NetworkX,' Los Alamos National Lab (LANL), Tech. Rep. LA-UR-08-05495, 2008.</w:t>
      </w:r>
    </w:p>
    <w:p>
      <w:pPr>
        <w:spacing w:line="252" w:lineRule="auto" w:after="80"/>
      </w:pPr>
      <w:r>
        <w:rPr>
          <w:rFonts w:ascii="Times New Roman" w:hAnsi="Times New Roman"/>
          <w:sz w:val="19"/>
        </w:rPr>
        <w:t>[20] P. Ramirez and C. Torres, 'Career guidance systems and AI: A systematic review,' Computers &amp; Education: Artificial Intelligence, vol. 4, p. 100112,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