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drawing>
          <wp:inline xmlns:a="http://schemas.openxmlformats.org/drawingml/2006/main" xmlns:pic="http://schemas.openxmlformats.org/drawingml/2006/picture">
            <wp:extent cx="4572000" cy="784555"/>
            <wp:docPr id="1" name="Picture 1"/>
            <wp:cNvGraphicFramePr>
              <a:graphicFrameLocks noChangeAspect="1"/>
            </wp:cNvGraphicFramePr>
            <a:graphic>
              <a:graphicData uri="http://schemas.openxmlformats.org/drawingml/2006/picture">
                <pic:pic>
                  <pic:nvPicPr>
                    <pic:cNvPr id="0" name="sriher_logo.png"/>
                    <pic:cNvPicPr/>
                  </pic:nvPicPr>
                  <pic:blipFill>
                    <a:blip r:embed="rId9"/>
                    <a:stretch>
                      <a:fillRect/>
                    </a:stretch>
                  </pic:blipFill>
                  <pic:spPr>
                    <a:xfrm>
                      <a:off x="0" y="0"/>
                      <a:ext cx="4572000" cy="784555"/>
                    </a:xfrm>
                    <a:prstGeom prst="rect"/>
                  </pic:spPr>
                </pic:pic>
              </a:graphicData>
            </a:graphic>
          </wp:inline>
        </w:drawing>
      </w:r>
    </w:p>
    <w:p>
      <w:pPr>
        <w:spacing w:before="80" w:after="80" w:line="288" w:lineRule="auto"/>
        <w:jc w:val="center"/>
      </w:pPr>
      <w:r>
        <w:rPr>
          <w:rFonts w:ascii="Times New Roman" w:hAnsi="Times New Roman"/>
          <w:b/>
          <w:i w:val="0"/>
          <w:color w:val="000000"/>
          <w:sz w:val="32"/>
        </w:rPr>
        <w:t>VOXINTEL: AUDIO INTELLIGENCE FOR AUTOMATED MEETING INSIGHTS AND EXECUTIVE MOM SYNTHESIS</w:t>
      </w:r>
    </w:p>
    <w:p>
      <w:pPr>
        <w:spacing w:before="0" w:after="80" w:line="264" w:lineRule="auto"/>
        <w:jc w:val="center"/>
      </w:pPr>
      <w:r>
        <w:rPr>
          <w:rFonts w:ascii="Times New Roman" w:hAnsi="Times New Roman"/>
          <w:b/>
          <w:i w:val="0"/>
          <w:color w:val="000000"/>
          <w:sz w:val="26"/>
        </w:rPr>
        <w:t>ADA23DLU04 – NATURAL LANGUAGE PROCESSING LABORATORY</w:t>
      </w:r>
    </w:p>
    <w:p>
      <w:pPr>
        <w:spacing w:before="0" w:after="160" w:line="264" w:lineRule="auto"/>
        <w:jc w:val="center"/>
      </w:pPr>
      <w:r>
        <w:rPr>
          <w:rFonts w:ascii="Times New Roman" w:hAnsi="Times New Roman"/>
          <w:b/>
          <w:i w:val="0"/>
          <w:color w:val="000000"/>
          <w:sz w:val="26"/>
        </w:rPr>
        <w:t>A PROJECT REPORT</w:t>
      </w:r>
    </w:p>
    <w:p>
      <w:pPr>
        <w:spacing w:before="0" w:after="80" w:line="264" w:lineRule="auto"/>
        <w:jc w:val="center"/>
      </w:pPr>
      <w:r>
        <w:rPr>
          <w:rFonts w:ascii="Times New Roman" w:hAnsi="Times New Roman"/>
          <w:b/>
          <w:i/>
          <w:color w:val="000000"/>
          <w:sz w:val="26"/>
        </w:rPr>
        <w:t>Submitted by</w:t>
      </w:r>
    </w:p>
    <w:p>
      <w:pPr>
        <w:spacing w:before="0" w:after="40" w:line="264" w:lineRule="auto"/>
        <w:jc w:val="center"/>
      </w:pPr>
      <w:r>
        <w:rPr>
          <w:rFonts w:ascii="Times New Roman" w:hAnsi="Times New Roman"/>
          <w:b/>
          <w:i w:val="0"/>
          <w:color w:val="000000"/>
          <w:sz w:val="26"/>
        </w:rPr>
        <w:t>Eshan M - (E0324009)</w:t>
      </w:r>
    </w:p>
    <w:p>
      <w:pPr>
        <w:spacing w:before="0" w:after="200" w:line="264" w:lineRule="auto"/>
        <w:jc w:val="center"/>
      </w:pPr>
      <w:r>
        <w:rPr>
          <w:rFonts w:ascii="Times New Roman" w:hAnsi="Times New Roman"/>
          <w:b/>
          <w:i w:val="0"/>
          <w:color w:val="000000"/>
          <w:sz w:val="26"/>
        </w:rPr>
        <w:t>YASHWANTH M - (E0324028)</w:t>
      </w:r>
    </w:p>
    <w:p>
      <w:pPr>
        <w:spacing w:before="0" w:after="40" w:line="264" w:lineRule="auto"/>
        <w:jc w:val="center"/>
      </w:pPr>
      <w:r>
        <w:rPr>
          <w:rFonts w:ascii="Times New Roman" w:hAnsi="Times New Roman"/>
          <w:b/>
          <w:i/>
          <w:color w:val="000000"/>
          <w:sz w:val="26"/>
        </w:rPr>
        <w:t>in partial fulfillment for the award of the degree</w:t>
      </w:r>
    </w:p>
    <w:p>
      <w:pPr>
        <w:spacing w:before="0" w:after="40" w:line="264" w:lineRule="auto"/>
        <w:jc w:val="center"/>
      </w:pPr>
      <w:r>
        <w:rPr>
          <w:rFonts w:ascii="Times New Roman" w:hAnsi="Times New Roman"/>
          <w:b/>
          <w:i/>
          <w:color w:val="000000"/>
          <w:sz w:val="26"/>
        </w:rPr>
        <w:t>of</w:t>
      </w:r>
    </w:p>
    <w:p>
      <w:pPr>
        <w:spacing w:before="0" w:after="40" w:line="264" w:lineRule="auto"/>
        <w:jc w:val="center"/>
      </w:pPr>
      <w:r>
        <w:rPr>
          <w:rFonts w:ascii="Times New Roman" w:hAnsi="Times New Roman"/>
          <w:b/>
          <w:i w:val="0"/>
          <w:color w:val="000000"/>
          <w:sz w:val="30"/>
        </w:rPr>
        <w:t>BACHELOR OF TECHNOLOGY</w:t>
      </w:r>
    </w:p>
    <w:p>
      <w:pPr>
        <w:spacing w:before="0" w:after="40" w:line="264" w:lineRule="auto"/>
        <w:jc w:val="center"/>
      </w:pPr>
      <w:r>
        <w:rPr>
          <w:rFonts w:ascii="Times New Roman" w:hAnsi="Times New Roman"/>
          <w:b/>
          <w:i/>
          <w:color w:val="000000"/>
          <w:sz w:val="26"/>
        </w:rPr>
        <w:t>in</w:t>
      </w:r>
    </w:p>
    <w:p>
      <w:pPr>
        <w:spacing w:before="0" w:after="160" w:line="276" w:lineRule="auto"/>
        <w:jc w:val="center"/>
      </w:pPr>
      <w:r>
        <w:rPr>
          <w:rFonts w:ascii="Times New Roman" w:hAnsi="Times New Roman"/>
          <w:b/>
          <w:i w:val="0"/>
          <w:color w:val="000000"/>
          <w:sz w:val="28"/>
        </w:rPr>
        <w:t>COMPUTER SCIENCE AND ENGINEERING</w:t>
        <w:br/>
        <w:t>(Artificial Intelligence and Data Analytics)</w:t>
      </w:r>
    </w:p>
    <w:p>
      <w:pPr>
        <w:spacing w:before="0" w:after="120" w:line="276" w:lineRule="auto"/>
        <w:jc w:val="center"/>
      </w:pPr>
      <w:r>
        <w:rPr>
          <w:rFonts w:ascii="Times New Roman" w:hAnsi="Times New Roman"/>
          <w:b/>
          <w:i w:val="0"/>
          <w:color w:val="000000"/>
          <w:sz w:val="23"/>
        </w:rPr>
        <w:t>SRI RAMACHANDRA FACULTY OF ENGINEERING AND TECHNOLOGY</w:t>
        <w:br/>
        <w:t>SRI RAMACHANDRA INSTITUTE OF HIGHER EDUCATION AND RESEARCH</w:t>
        <w:br/>
        <w:t>PORUR, CHENNAI - 600116</w:t>
      </w:r>
    </w:p>
    <w:p>
      <w:pPr>
        <w:spacing w:before="0" w:after="0" w:line="264" w:lineRule="auto"/>
        <w:jc w:val="center"/>
      </w:pPr>
      <w:r>
        <w:rPr>
          <w:rFonts w:ascii="Times New Roman" w:hAnsi="Times New Roman"/>
          <w:b/>
          <w:i w:val="0"/>
          <w:color w:val="000000"/>
          <w:sz w:val="27"/>
        </w:rPr>
        <w:t>OCTOBER 2026</w:t>
      </w:r>
    </w:p>
    <w:p>
      <w:r>
        <w:br w:type="page"/>
      </w:r>
    </w:p>
    <w:p>
      <w:pPr>
        <w:spacing w:before="0" w:after="120"/>
        <w:jc w:val="center"/>
      </w:pPr>
      <w:r>
        <w:drawing>
          <wp:inline xmlns:a="http://schemas.openxmlformats.org/drawingml/2006/main" xmlns:pic="http://schemas.openxmlformats.org/drawingml/2006/picture">
            <wp:extent cx="4114800" cy="706100"/>
            <wp:docPr id="2" name="Picture 2"/>
            <wp:cNvGraphicFramePr>
              <a:graphicFrameLocks noChangeAspect="1"/>
            </wp:cNvGraphicFramePr>
            <a:graphic>
              <a:graphicData uri="http://schemas.openxmlformats.org/drawingml/2006/picture">
                <pic:pic>
                  <pic:nvPicPr>
                    <pic:cNvPr id="0" name="sriher_logo.png"/>
                    <pic:cNvPicPr/>
                  </pic:nvPicPr>
                  <pic:blipFill>
                    <a:blip r:embed="rId9"/>
                    <a:stretch>
                      <a:fillRect/>
                    </a:stretch>
                  </pic:blipFill>
                  <pic:spPr>
                    <a:xfrm>
                      <a:off x="0" y="0"/>
                      <a:ext cx="4114800" cy="706100"/>
                    </a:xfrm>
                    <a:prstGeom prst="rect"/>
                  </pic:spPr>
                </pic:pic>
              </a:graphicData>
            </a:graphic>
          </wp:inline>
        </w:drawing>
      </w:r>
    </w:p>
    <w:p>
      <w:pPr>
        <w:spacing w:before="0" w:after="160" w:line="360" w:lineRule="auto"/>
        <w:jc w:val="center"/>
      </w:pPr>
      <w:r>
        <w:rPr>
          <w:rFonts w:ascii="Times New Roman" w:hAnsi="Times New Roman"/>
          <w:b/>
          <w:i w:val="0"/>
          <w:color w:val="000000"/>
          <w:sz w:val="24"/>
        </w:rPr>
        <w:t>SRI RAMACHANDRA FACULTY OF ENGINEERING AND TECHNOLOGY</w:t>
        <w:br/>
        <w:t>CHENNAI – 600116</w:t>
      </w:r>
    </w:p>
    <w:p>
      <w:pPr>
        <w:spacing w:before="80" w:after="280" w:line="360" w:lineRule="auto"/>
        <w:jc w:val="center"/>
      </w:pPr>
      <w:r>
        <w:rPr>
          <w:rFonts w:ascii="Times New Roman" w:hAnsi="Times New Roman"/>
          <w:b/>
          <w:i w:val="0"/>
          <w:color w:val="000000"/>
          <w:sz w:val="28"/>
        </w:rPr>
        <w:t>BONAFIDE CERTIFICATE</w:t>
      </w:r>
    </w:p>
    <w:p>
      <w:pPr>
        <w:spacing w:line="360" w:lineRule="auto" w:after="320"/>
        <w:jc w:val="both"/>
      </w:pPr>
      <w:r>
        <w:rPr>
          <w:rFonts w:ascii="Times New Roman" w:hAnsi="Times New Roman"/>
          <w:color w:val="000000"/>
          <w:sz w:val="24"/>
        </w:rPr>
        <w:t>Certified that this project report “VOXINTEL: AUDIO INTELLIGENCE FOR AUTOMATED MEETING INSIGHTS AND EXECUTIVE MOM SYNTHESIS” is the bonafide work of Eshan M (E0324009) &amp; YASHWANTH M (E0324028) who carried out the project work under my supervision in ADA23DLU04 – Natural Language Processing Laboratory during the academic year 2026-2027.</w:t>
      </w:r>
    </w:p>
    <w:p>
      <w:pPr>
        <w:spacing w:before="120" w:after="40" w:line="360" w:lineRule="auto"/>
        <w:jc w:val="left"/>
      </w:pPr>
      <w:r>
        <w:rPr>
          <w:rFonts w:ascii="Times New Roman" w:hAnsi="Times New Roman"/>
          <w:b/>
          <w:i w:val="0"/>
          <w:color w:val="000000"/>
          <w:sz w:val="24"/>
        </w:rPr>
        <w:t>SIGNATURE</w:t>
      </w:r>
    </w:p>
    <w:p>
      <w:pPr>
        <w:spacing w:line="312" w:lineRule="auto" w:after="400"/>
      </w:pPr>
      <w:r>
        <w:rPr>
          <w:rFonts w:ascii="Times New Roman" w:hAnsi="Times New Roman"/>
          <w:b/>
          <w:color w:val="000000"/>
          <w:sz w:val="22"/>
        </w:rPr>
        <w:t>DR. SUJA GOLDEN SHINY S,</w:t>
        <w:br/>
        <w:t>ASSISTANT PROFESSOR,</w:t>
        <w:br/>
        <w:t>DEPARTMENT OF COMPUTER SCIENCE AND ENGINEERING (AIDA),</w:t>
        <w:br/>
        <w:t>SRI RAMACHANDRA FACULTY OF ENGINEERING AND TECHNOLOGY,</w:t>
        <w:br/>
        <w:t>SRI RAMACHANDRA INSTITUTE OF HIGHER EDUCATION AND RESEARCH,</w:t>
        <w:br/>
        <w:t>PORUR, CHENNAI - 600 116.</w:t>
      </w:r>
    </w:p>
    <w:p>
      <w:pPr>
        <w:spacing w:before="80" w:after="560" w:line="360" w:lineRule="auto"/>
        <w:jc w:val="left"/>
      </w:pPr>
      <w:r>
        <w:rPr>
          <w:rFonts w:ascii="Times New Roman" w:hAnsi="Times New Roman"/>
          <w:b/>
          <w:i w:val="0"/>
          <w:color w:val="000000"/>
          <w:sz w:val="24"/>
        </w:rPr>
        <w:t>EVALUATION DATE:  ------------------------</w:t>
      </w:r>
    </w:p>
    <w:p>
      <w:pPr>
        <w:spacing w:line="312" w:lineRule="auto"/>
      </w:pPr>
      <w:r>
        <w:rPr>
          <w:rFonts w:ascii="Times New Roman" w:hAnsi="Times New Roman"/>
          <w:b/>
          <w:color w:val="000000"/>
          <w:sz w:val="24"/>
        </w:rPr>
        <w:t>INTERNAL EXAMINER</w:t>
        <w:tab/>
        <w:tab/>
        <w:tab/>
        <w:tab/>
        <w:tab/>
        <w:t>EXTERNAL EXAMINER</w:t>
      </w:r>
    </w:p>
    <w:p>
      <w:r>
        <w:br w:type="page"/>
      </w:r>
    </w:p>
    <w:p>
      <w:pPr>
        <w:spacing w:before="200" w:after="320" w:line="360" w:lineRule="auto"/>
        <w:jc w:val="center"/>
      </w:pPr>
      <w:r>
        <w:rPr>
          <w:rFonts w:ascii="Times New Roman" w:hAnsi="Times New Roman"/>
          <w:b/>
          <w:i w:val="0"/>
          <w:color w:val="000000"/>
          <w:sz w:val="32"/>
        </w:rPr>
        <w:t>ACKNOWLEDGEMENT</w:t>
      </w:r>
    </w:p>
    <w:p>
      <w:pPr>
        <w:spacing w:line="360" w:lineRule="auto" w:after="200"/>
        <w:jc w:val="both"/>
      </w:pPr>
      <w:r>
        <w:t>We take this opportunity to express our sincere gratitude to Prof. T. Ragunathan, Dean and Prof. A. Saravanan, Vice Dean, Sri Ramachandra Faculty of Engineering and Technology, SRIHER, for providing all the infrastructural facilities and computational resources to complete this Laboratory Project successfully.</w:t>
      </w:r>
    </w:p>
    <w:p>
      <w:pPr>
        <w:spacing w:line="360" w:lineRule="auto" w:after="200"/>
        <w:jc w:val="both"/>
      </w:pPr>
      <w:r>
        <w:t>We express our sincere gratitude to Dr. A. Sathya, Programme Coordinator, Department of Artificial Intelligence and Data Analytics, SRET, for providing essential academic guidance, curriculum encouragement, and departmental support throughout the study.</w:t>
      </w:r>
    </w:p>
    <w:p>
      <w:pPr>
        <w:spacing w:line="360" w:lineRule="auto" w:after="200"/>
        <w:jc w:val="both"/>
      </w:pPr>
      <w:r>
        <w:t>We would like to express our deepest appreciation and heartfelt gratitude to our supervisor and course instructor Dr. S. Suja Golden Shiny, Assistant Professor, Department of Artificial Intelligence and Data Analytics, SRET. Without her continuous guidance, constructive feedback, and persistent encouragement, this project would not have been a success for us.</w:t>
      </w:r>
    </w:p>
    <w:p>
      <w:pPr>
        <w:spacing w:line="360" w:lineRule="auto" w:after="320"/>
        <w:jc w:val="both"/>
      </w:pPr>
      <w:r>
        <w:t>We are truly grateful to all the faculty members of the Sri Ramachandra Faculty of Engineering and Technology, our beloved parents, and our fellow student colleagues for extending their continuous support, which helped us overcome obstacles and complete this work.</w:t>
      </w:r>
    </w:p>
    <w:p>
      <w:r>
        <w:br w:type="page"/>
      </w:r>
    </w:p>
    <w:p>
      <w:pPr>
        <w:spacing w:before="80" w:after="120" w:line="360" w:lineRule="auto"/>
        <w:jc w:val="center"/>
      </w:pPr>
      <w:r>
        <w:rPr>
          <w:rFonts w:ascii="Times New Roman" w:hAnsi="Times New Roman"/>
          <w:b/>
          <w:i w:val="0"/>
          <w:color w:val="000000"/>
          <w:sz w:val="28"/>
        </w:rPr>
        <w:t>TABLE OF CONTENTS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806"/>
        <w:gridCol w:w="1806"/>
        <w:gridCol w:w="1806"/>
        <w:gridCol w:w="1806"/>
        <w:gridCol w:w="1806"/>
      </w:tblGrid>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t>CHAPTER NO.</w:t>
            </w:r>
          </w:p>
        </w:tc>
        <w:tc>
          <w:tcPr>
            <w:tcW w:type="dxa" w:w="6149"/>
            <w:gridSpan w:val="3"/>
            <w:tcMar>
              <w:top w:w="8" w:type="dxa"/>
              <w:bottom w:w="8" w:type="dxa"/>
              <w:left w:w="30" w:type="dxa"/>
              <w:right w:w="30" w:type="dxa"/>
            </w:tcMar>
          </w:tcPr>
          <w:p>
            <w:pPr>
              <w:spacing w:line="252" w:lineRule="auto" w:before="0" w:after="0"/>
              <w:jc w:val="center"/>
            </w:pPr>
            <w:r>
              <w:rPr>
                <w:rFonts w:ascii="Times New Roman" w:hAnsi="Times New Roman"/>
                <w:b/>
                <w:color w:val="000000"/>
                <w:sz w:val="20"/>
              </w:rPr>
              <w:t>TITLE</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PAGE NO.</w:t>
            </w:r>
          </w:p>
        </w:tc>
      </w:tr>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r>
          </w:p>
        </w:tc>
        <w:tc>
          <w:tcPr>
            <w:tcW w:type="dxa" w:w="6149"/>
            <w:gridSpan w:val="3"/>
            <w:tcMar>
              <w:top w:w="8" w:type="dxa"/>
              <w:bottom w:w="8" w:type="dxa"/>
              <w:left w:w="30" w:type="dxa"/>
              <w:right w:w="30" w:type="dxa"/>
            </w:tcMar>
          </w:tcPr>
          <w:p>
            <w:pPr>
              <w:spacing w:line="252" w:lineRule="auto" w:before="0" w:after="0"/>
              <w:jc w:val="left"/>
            </w:pPr>
            <w:r>
              <w:rPr>
                <w:rFonts w:ascii="Times New Roman" w:hAnsi="Times New Roman"/>
                <w:b/>
                <w:color w:val="000000"/>
                <w:sz w:val="20"/>
              </w:rPr>
              <w:t>ABSTRACT</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5</w:t>
            </w:r>
          </w:p>
        </w:tc>
      </w:tr>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r>
          </w:p>
        </w:tc>
        <w:tc>
          <w:tcPr>
            <w:tcW w:type="dxa" w:w="6149"/>
            <w:gridSpan w:val="3"/>
            <w:tcMar>
              <w:top w:w="8" w:type="dxa"/>
              <w:bottom w:w="8" w:type="dxa"/>
              <w:left w:w="30" w:type="dxa"/>
              <w:right w:w="30" w:type="dxa"/>
            </w:tcMar>
          </w:tcPr>
          <w:p>
            <w:pPr>
              <w:spacing w:line="252" w:lineRule="auto" w:before="0" w:after="0"/>
              <w:jc w:val="left"/>
            </w:pPr>
            <w:r>
              <w:rPr>
                <w:rFonts w:ascii="Times New Roman" w:hAnsi="Times New Roman"/>
                <w:b/>
                <w:color w:val="000000"/>
                <w:sz w:val="20"/>
              </w:rPr>
              <w:t>LIST OF TABLES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6</w:t>
            </w:r>
          </w:p>
        </w:tc>
      </w:tr>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r>
          </w:p>
        </w:tc>
        <w:tc>
          <w:tcPr>
            <w:tcW w:type="dxa" w:w="6149"/>
            <w:gridSpan w:val="3"/>
            <w:tcMar>
              <w:top w:w="8" w:type="dxa"/>
              <w:bottom w:w="8" w:type="dxa"/>
              <w:left w:w="30" w:type="dxa"/>
              <w:right w:w="30" w:type="dxa"/>
            </w:tcMar>
          </w:tcPr>
          <w:p>
            <w:pPr>
              <w:spacing w:line="252" w:lineRule="auto" w:before="0" w:after="0"/>
              <w:jc w:val="left"/>
            </w:pPr>
            <w:r>
              <w:rPr>
                <w:rFonts w:ascii="Times New Roman" w:hAnsi="Times New Roman"/>
                <w:b/>
                <w:color w:val="000000"/>
                <w:sz w:val="20"/>
              </w:rPr>
              <w:t>LIST OF FIGURES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7</w:t>
            </w:r>
          </w:p>
        </w:tc>
      </w:tr>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r>
          </w:p>
        </w:tc>
        <w:tc>
          <w:tcPr>
            <w:tcW w:type="dxa" w:w="6149"/>
            <w:gridSpan w:val="3"/>
            <w:tcMar>
              <w:top w:w="8" w:type="dxa"/>
              <w:bottom w:w="8" w:type="dxa"/>
              <w:left w:w="30" w:type="dxa"/>
              <w:right w:w="30" w:type="dxa"/>
            </w:tcMar>
          </w:tcPr>
          <w:p>
            <w:pPr>
              <w:spacing w:line="252" w:lineRule="auto" w:before="0" w:after="0"/>
              <w:jc w:val="left"/>
            </w:pPr>
            <w:r>
              <w:rPr>
                <w:rFonts w:ascii="Times New Roman" w:hAnsi="Times New Roman"/>
                <w:b/>
                <w:color w:val="000000"/>
                <w:sz w:val="20"/>
              </w:rPr>
              <w:t>LIST OF SYMBOLS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8</w:t>
            </w:r>
          </w:p>
        </w:tc>
      </w:tr>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t>1.</w:t>
            </w:r>
          </w:p>
        </w:tc>
        <w:tc>
          <w:tcPr>
            <w:tcW w:type="dxa" w:w="6149"/>
            <w:gridSpan w:val="3"/>
            <w:tcMar>
              <w:top w:w="8" w:type="dxa"/>
              <w:bottom w:w="8" w:type="dxa"/>
              <w:left w:w="30" w:type="dxa"/>
              <w:right w:w="30" w:type="dxa"/>
            </w:tcMar>
          </w:tcPr>
          <w:p>
            <w:pPr>
              <w:spacing w:line="252" w:lineRule="auto" w:before="0" w:after="0"/>
              <w:jc w:val="left"/>
            </w:pPr>
            <w:r>
              <w:rPr>
                <w:rFonts w:ascii="Times New Roman" w:hAnsi="Times New Roman"/>
                <w:b/>
                <w:color w:val="000000"/>
                <w:sz w:val="20"/>
              </w:rPr>
              <w:t>INTRODUCTION</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9</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1.1</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Project overview</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9</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1.2</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Problem Statement</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9</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1.3</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Objectives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9</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1.4</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Scope of Work (or) Social Contribution</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10</w:t>
            </w:r>
          </w:p>
        </w:tc>
      </w:tr>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t>2.</w:t>
            </w:r>
          </w:p>
        </w:tc>
        <w:tc>
          <w:tcPr>
            <w:tcW w:type="dxa" w:w="6149"/>
            <w:gridSpan w:val="3"/>
            <w:tcMar>
              <w:top w:w="8" w:type="dxa"/>
              <w:bottom w:w="8" w:type="dxa"/>
              <w:left w:w="30" w:type="dxa"/>
              <w:right w:w="30" w:type="dxa"/>
            </w:tcMar>
          </w:tcPr>
          <w:p>
            <w:pPr>
              <w:spacing w:line="252" w:lineRule="auto" w:before="0" w:after="0"/>
              <w:jc w:val="left"/>
            </w:pPr>
            <w:r>
              <w:rPr>
                <w:rFonts w:ascii="Times New Roman" w:hAnsi="Times New Roman"/>
                <w:b/>
                <w:color w:val="000000"/>
                <w:sz w:val="20"/>
              </w:rPr>
              <w:t>LITERATURE REVIEW</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11</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2.1</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Background</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11</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r/>
          </w:p>
        </w:tc>
        <w:tc>
          <w:tcPr>
            <w:tcW w:type="dxa" w:w="936"/>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2.1.1</w:t>
            </w:r>
          </w:p>
        </w:tc>
        <w:tc>
          <w:tcPr>
            <w:tcW w:type="dxa" w:w="4349"/>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Review of related work</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11</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2.2</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Research Gaps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12</w:t>
            </w:r>
          </w:p>
        </w:tc>
      </w:tr>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t>3.</w:t>
            </w:r>
          </w:p>
        </w:tc>
        <w:tc>
          <w:tcPr>
            <w:tcW w:type="dxa" w:w="6149"/>
            <w:gridSpan w:val="3"/>
            <w:tcMar>
              <w:top w:w="8" w:type="dxa"/>
              <w:bottom w:w="8" w:type="dxa"/>
              <w:left w:w="30" w:type="dxa"/>
              <w:right w:w="30" w:type="dxa"/>
            </w:tcMar>
          </w:tcPr>
          <w:p>
            <w:pPr>
              <w:spacing w:line="252" w:lineRule="auto" w:before="0" w:after="0"/>
              <w:jc w:val="left"/>
            </w:pPr>
            <w:r>
              <w:rPr>
                <w:rFonts w:ascii="Times New Roman" w:hAnsi="Times New Roman"/>
                <w:b/>
                <w:color w:val="000000"/>
                <w:sz w:val="20"/>
              </w:rPr>
              <w:t>PROPOSED METHODOLOGY</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13</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3.1</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Architecture in Nutshell</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13</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r/>
          </w:p>
        </w:tc>
        <w:tc>
          <w:tcPr>
            <w:tcW w:type="dxa" w:w="936"/>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3.1.1</w:t>
            </w:r>
          </w:p>
        </w:tc>
        <w:tc>
          <w:tcPr>
            <w:tcW w:type="dxa" w:w="4349"/>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Dataset Description</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14</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r/>
          </w:p>
        </w:tc>
        <w:tc>
          <w:tcPr>
            <w:tcW w:type="dxa" w:w="936"/>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3.1.2</w:t>
            </w:r>
          </w:p>
        </w:tc>
        <w:tc>
          <w:tcPr>
            <w:tcW w:type="dxa" w:w="4349"/>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Preprocessing</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15</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r/>
          </w:p>
        </w:tc>
        <w:tc>
          <w:tcPr>
            <w:tcW w:type="dxa" w:w="936"/>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3.1.3</w:t>
            </w:r>
          </w:p>
        </w:tc>
        <w:tc>
          <w:tcPr>
            <w:tcW w:type="dxa" w:w="4349"/>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Encoder &amp; Decoder Modules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15</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3.2</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Hardware Specifications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16</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3.3</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Software Specifications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16</w:t>
            </w:r>
          </w:p>
        </w:tc>
      </w:tr>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t>4.</w:t>
            </w:r>
          </w:p>
        </w:tc>
        <w:tc>
          <w:tcPr>
            <w:tcW w:type="dxa" w:w="6149"/>
            <w:gridSpan w:val="3"/>
            <w:tcMar>
              <w:top w:w="8" w:type="dxa"/>
              <w:bottom w:w="8" w:type="dxa"/>
              <w:left w:w="30" w:type="dxa"/>
              <w:right w:w="30" w:type="dxa"/>
            </w:tcMar>
          </w:tcPr>
          <w:p>
            <w:pPr>
              <w:spacing w:line="252" w:lineRule="auto" w:before="0" w:after="0"/>
              <w:jc w:val="left"/>
            </w:pPr>
            <w:r>
              <w:rPr>
                <w:rFonts w:ascii="Times New Roman" w:hAnsi="Times New Roman"/>
                <w:b/>
                <w:color w:val="000000"/>
                <w:sz w:val="20"/>
              </w:rPr>
              <w:t>PERFORMANCE EVALUATION</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18</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4.1</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Experimental Setup &amp; Evaluation Metrics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18</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4.2</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Results and Analysis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18</w:t>
            </w:r>
          </w:p>
        </w:tc>
      </w:tr>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t>5.</w:t>
            </w:r>
          </w:p>
        </w:tc>
        <w:tc>
          <w:tcPr>
            <w:tcW w:type="dxa" w:w="6149"/>
            <w:gridSpan w:val="3"/>
            <w:tcMar>
              <w:top w:w="8" w:type="dxa"/>
              <w:bottom w:w="8" w:type="dxa"/>
              <w:left w:w="30" w:type="dxa"/>
              <w:right w:w="30" w:type="dxa"/>
            </w:tcMar>
          </w:tcPr>
          <w:p>
            <w:pPr>
              <w:spacing w:line="252" w:lineRule="auto" w:before="0" w:after="0"/>
              <w:jc w:val="left"/>
            </w:pPr>
            <w:r>
              <w:rPr>
                <w:rFonts w:ascii="Times New Roman" w:hAnsi="Times New Roman"/>
                <w:b/>
                <w:color w:val="000000"/>
                <w:sz w:val="20"/>
              </w:rPr>
              <w:t>CONCLUSION AND FUTURE WORK</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23</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5.1</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Summary of the contributions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23</w:t>
            </w:r>
          </w:p>
        </w:tc>
      </w:tr>
      <w:tr>
        <w:tc>
          <w:tcPr>
            <w:tcW w:type="dxa" w:w="1728"/>
            <w:tcMar>
              <w:top w:w="8" w:type="dxa"/>
              <w:bottom w:w="8" w:type="dxa"/>
              <w:left w:w="30" w:type="dxa"/>
              <w:right w:w="30" w:type="dxa"/>
            </w:tcMar>
          </w:tcPr>
          <w:p>
            <w:r/>
          </w:p>
        </w:tc>
        <w:tc>
          <w:tcPr>
            <w:tcW w:type="dxa" w:w="864"/>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5.2</w:t>
            </w:r>
          </w:p>
        </w:tc>
        <w:tc>
          <w:tcPr>
            <w:tcW w:type="dxa" w:w="5285"/>
            <w:gridSpan w:val="2"/>
            <w:tcMar>
              <w:top w:w="8" w:type="dxa"/>
              <w:bottom w:w="8" w:type="dxa"/>
              <w:left w:w="30" w:type="dxa"/>
              <w:right w:w="30" w:type="dxa"/>
            </w:tcMar>
          </w:tcPr>
          <w:p>
            <w:pPr>
              <w:spacing w:line="252" w:lineRule="auto" w:before="0" w:after="0"/>
              <w:jc w:val="left"/>
            </w:pPr>
            <w:r>
              <w:rPr>
                <w:rFonts w:ascii="Times New Roman" w:hAnsi="Times New Roman"/>
                <w:b w:val="0"/>
                <w:color w:val="000000"/>
                <w:sz w:val="20"/>
              </w:rPr>
              <w:t>Future work</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val="0"/>
                <w:color w:val="000000"/>
                <w:sz w:val="20"/>
              </w:rPr>
              <w:t>23</w:t>
            </w:r>
          </w:p>
        </w:tc>
      </w:tr>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r>
          </w:p>
        </w:tc>
        <w:tc>
          <w:tcPr>
            <w:tcW w:type="dxa" w:w="6149"/>
            <w:gridSpan w:val="3"/>
            <w:tcMar>
              <w:top w:w="8" w:type="dxa"/>
              <w:bottom w:w="8" w:type="dxa"/>
              <w:left w:w="30" w:type="dxa"/>
              <w:right w:w="30" w:type="dxa"/>
            </w:tcMar>
          </w:tcPr>
          <w:p>
            <w:pPr>
              <w:spacing w:line="252" w:lineRule="auto" w:before="0" w:after="0"/>
              <w:jc w:val="left"/>
            </w:pPr>
            <w:r>
              <w:rPr>
                <w:rFonts w:ascii="Times New Roman" w:hAnsi="Times New Roman"/>
                <w:b/>
                <w:color w:val="000000"/>
                <w:sz w:val="20"/>
              </w:rPr>
              <w:t>REFERENCES</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24</w:t>
            </w:r>
          </w:p>
        </w:tc>
      </w:tr>
      <w:tr>
        <w:tc>
          <w:tcPr>
            <w:tcW w:type="dxa" w:w="1728"/>
            <w:tcMar>
              <w:top w:w="8" w:type="dxa"/>
              <w:bottom w:w="8" w:type="dxa"/>
              <w:left w:w="30" w:type="dxa"/>
              <w:right w:w="30" w:type="dxa"/>
            </w:tcMar>
          </w:tcPr>
          <w:p>
            <w:pPr>
              <w:spacing w:line="252" w:lineRule="auto" w:before="0" w:after="0"/>
              <w:jc w:val="center"/>
            </w:pPr>
            <w:r>
              <w:rPr>
                <w:rFonts w:ascii="Times New Roman" w:hAnsi="Times New Roman"/>
                <w:b/>
                <w:color w:val="000000"/>
                <w:sz w:val="20"/>
              </w:rPr>
            </w:r>
          </w:p>
        </w:tc>
        <w:tc>
          <w:tcPr>
            <w:tcW w:type="dxa" w:w="6149"/>
            <w:gridSpan w:val="3"/>
            <w:tcMar>
              <w:top w:w="8" w:type="dxa"/>
              <w:bottom w:w="8" w:type="dxa"/>
              <w:left w:w="30" w:type="dxa"/>
              <w:right w:w="30" w:type="dxa"/>
            </w:tcMar>
          </w:tcPr>
          <w:p>
            <w:pPr>
              <w:spacing w:line="252" w:lineRule="auto" w:before="0" w:after="0"/>
              <w:jc w:val="left"/>
            </w:pPr>
            <w:r>
              <w:rPr>
                <w:rFonts w:ascii="Times New Roman" w:hAnsi="Times New Roman"/>
                <w:b/>
                <w:color w:val="000000"/>
                <w:sz w:val="20"/>
              </w:rPr>
              <w:t>APPENDIX: COMPLETE SOURCE CODE</w:t>
            </w:r>
          </w:p>
        </w:tc>
        <w:tc>
          <w:tcPr>
            <w:tcW w:type="dxa" w:w="1152"/>
            <w:tcMar>
              <w:top w:w="8" w:type="dxa"/>
              <w:bottom w:w="8" w:type="dxa"/>
              <w:left w:w="30" w:type="dxa"/>
              <w:right w:w="30" w:type="dxa"/>
            </w:tcMar>
          </w:tcPr>
          <w:p>
            <w:pPr>
              <w:spacing w:line="252" w:lineRule="auto" w:before="0" w:after="0"/>
              <w:jc w:val="center"/>
            </w:pPr>
            <w:r>
              <w:rPr>
                <w:rFonts w:ascii="Times New Roman" w:hAnsi="Times New Roman"/>
                <w:b/>
                <w:color w:val="000000"/>
                <w:sz w:val="20"/>
              </w:rPr>
              <w:t>25</w:t>
            </w:r>
          </w:p>
        </w:tc>
      </w:tr>
    </w:tbl>
    <w:p>
      <w:r>
        <w:br w:type="page"/>
      </w:r>
    </w:p>
    <w:p>
      <w:pPr>
        <w:spacing w:before="120" w:after="280" w:line="360" w:lineRule="auto"/>
        <w:jc w:val="center"/>
      </w:pPr>
      <w:r>
        <w:rPr>
          <w:rFonts w:ascii="Times New Roman" w:hAnsi="Times New Roman"/>
          <w:b/>
          <w:i w:val="0"/>
          <w:color w:val="000000"/>
          <w:sz w:val="28"/>
        </w:rPr>
        <w:t>ABSTRACT</w:t>
      </w:r>
    </w:p>
    <w:p>
      <w:pPr>
        <w:spacing w:line="360" w:lineRule="auto" w:after="240"/>
        <w:jc w:val="both"/>
      </w:pPr>
      <w:r>
        <w:t>The increasing reliance on virtual communication platforms has transformed organizational collaboration, but extracting actionable insights from recorded multi-speaker discussions remains labor-intensive, error-prone, and inconsistent. While commercial cloud transcription APIs offer convenience, they introduce critical enterprise confidentiality risks, recurring token overhead, and substantial per-minute subscription costs. To overcome these engineering challenges, this project presents VoxIntel, a fully offline, privacy-preserving audio intelligence and meeting synthesis system engineered specifically for consumer-tier hardware (8 GB RAM CPU). VoxIntel implements a dual-pipeline architecture: Fast Mode couples faster-whisper base quantized in int8 with whole-file Silero Voice Activity Detection (VAD), 18-dimensional acoustic vocal tract feature extraction (MFCCs, spectral centroid, Yin fundamental pitch), and TextRank graph summarization to extract key moments and verified action items in under 10 seconds. Smart Mode pairs speech transcription with a locally hosted Large Language Model (Ollama with llama3.2:3b / gemma3:1b), restructuring conversational turns into formal third-person, past-tense corporate Minutes of Meeting (MoM) with mandatory timestamp citations and attendee cross-validation. Evaluated across a frozen multi-speaker benchmark suite including held-out un-tuned test audio (Meeting 3, 5.39 minutes, 4 synthetic neural voices), faster-whisper base int8 achieved an outstanding Word Error Rate (WER) of 3.48% on dev audio and 5.58% on held-out test audio at 0.06x real-time latency on CPU. Across 11 reference commitments, Fast Mode attained 100% recall (F1 = 0.9167), while Smart Mode achieved an F1 of 0.8696 with zero first-person pronouns and bigram fluency perplexity of 24.0. VoxIntel establishes an accessible, cost-effective, and fully private enterprise meeting intelligence solution.</w:t>
      </w:r>
    </w:p>
    <w:p>
      <w:r>
        <w:br w:type="page"/>
      </w:r>
    </w:p>
    <w:p>
      <w:pPr>
        <w:spacing w:before="120" w:after="280" w:line="360" w:lineRule="auto"/>
        <w:jc w:val="center"/>
      </w:pPr>
      <w:r>
        <w:rPr>
          <w:rFonts w:ascii="Times New Roman" w:hAnsi="Times New Roman"/>
          <w:b/>
          <w:i w:val="0"/>
          <w:color w:val="000000"/>
          <w:sz w:val="28"/>
        </w:rPr>
        <w:t>LIST OF TABLES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010"/>
        <w:gridCol w:w="3010"/>
        <w:gridCol w:w="3010"/>
      </w:tblGrid>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color w:val="000000"/>
                <w:sz w:val="22"/>
              </w:rPr>
              <w:t>TABLE NO.</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color w:val="000000"/>
                <w:sz w:val="22"/>
              </w:rPr>
              <w:t>TITLE</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color w:val="000000"/>
                <w:sz w:val="22"/>
              </w:rPr>
              <w:t>PAGE NO.</w:t>
            </w:r>
          </w:p>
        </w:tc>
      </w:tr>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Table 4.1</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val="0"/>
                <w:color w:val="000000"/>
                <w:sz w:val="22"/>
              </w:rPr>
              <w:t>Automatic Speech Recognition (ASR) Word Error Rate (WER) and Latency Benchmarks</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18</w:t>
            </w:r>
          </w:p>
        </w:tc>
      </w:tr>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Table 4.2</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val="0"/>
                <w:color w:val="000000"/>
                <w:sz w:val="22"/>
              </w:rPr>
              <w:t>0.5s Frame-Level Speaker Attribution Accuracy, Precision, and F1 Metrics</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19</w:t>
            </w:r>
          </w:p>
        </w:tc>
      </w:tr>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Table 4.3</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val="0"/>
                <w:color w:val="000000"/>
                <w:sz w:val="22"/>
              </w:rPr>
              <w:t>Action Items Extraction Performance (Precision, Recall, F1 across 11 Commitments)</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20</w:t>
            </w:r>
          </w:p>
        </w:tc>
      </w:tr>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Table 4.4</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val="0"/>
                <w:color w:val="000000"/>
                <w:sz w:val="22"/>
              </w:rPr>
              <w:t>Summary Quality Scores, Linguistic Perspective (1st Person Pronouns), and Fluency Perplexity</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20</w:t>
            </w:r>
          </w:p>
        </w:tc>
      </w:tr>
    </w:tbl>
    <w:p>
      <w:r>
        <w:br w:type="page"/>
      </w:r>
    </w:p>
    <w:p>
      <w:pPr>
        <w:spacing w:before="120" w:after="280" w:line="360" w:lineRule="auto"/>
        <w:jc w:val="center"/>
      </w:pPr>
      <w:r>
        <w:rPr>
          <w:rFonts w:ascii="Times New Roman" w:hAnsi="Times New Roman"/>
          <w:b/>
          <w:i w:val="0"/>
          <w:color w:val="000000"/>
          <w:sz w:val="28"/>
        </w:rPr>
        <w:t>LIST OF FIGURES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010"/>
        <w:gridCol w:w="3010"/>
        <w:gridCol w:w="3010"/>
      </w:tblGrid>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color w:val="000000"/>
                <w:sz w:val="22"/>
              </w:rPr>
              <w:t>FIGURE NO.</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color w:val="000000"/>
                <w:sz w:val="22"/>
              </w:rPr>
              <w:t>TITLE</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color w:val="000000"/>
                <w:sz w:val="22"/>
              </w:rPr>
              <w:t>PAGE NO.</w:t>
            </w:r>
          </w:p>
        </w:tc>
      </w:tr>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Figure 3.1</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val="0"/>
                <w:color w:val="000000"/>
                <w:sz w:val="22"/>
              </w:rPr>
              <w:t>VoxIntel End-to-End System Architecture and Modular Pipeline Workflow</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14</w:t>
            </w:r>
          </w:p>
        </w:tc>
      </w:tr>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Figure 4.1</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val="0"/>
                <w:color w:val="000000"/>
                <w:sz w:val="22"/>
              </w:rPr>
              <w:t>Frame Attribution Confusion Matrix on Meeting 3 (K-Means with Hungarian Remapping)</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20</w:t>
            </w:r>
          </w:p>
        </w:tc>
      </w:tr>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Figure 4.2</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val="0"/>
                <w:color w:val="000000"/>
                <w:sz w:val="22"/>
              </w:rPr>
              <w:t>Dark-Themed Word Cloud Visual Analytics of Key Meeting Terminology</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20</w:t>
            </w:r>
          </w:p>
        </w:tc>
      </w:tr>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Figure 4.3</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val="0"/>
                <w:color w:val="000000"/>
                <w:sz w:val="22"/>
              </w:rPr>
              <w:t>Bigram Association Network Graph Visualizing Conversational Topic Clusters</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21</w:t>
            </w:r>
          </w:p>
        </w:tc>
      </w:tr>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Figure 4.4</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val="0"/>
                <w:color w:val="000000"/>
                <w:sz w:val="22"/>
              </w:rPr>
              <w:t>Streamlit Dashboard Minutes View with Extractive Key Moments and Action Items</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21</w:t>
            </w:r>
          </w:p>
        </w:tc>
      </w:tr>
      <w:tr>
        <w:tc>
          <w:tcPr>
            <w:tcW w:type="dxa" w:w="1728"/>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Figure 4.5</w:t>
            </w:r>
          </w:p>
        </w:tc>
        <w:tc>
          <w:tcPr>
            <w:tcW w:type="dxa" w:w="6149"/>
            <w:tcMar>
              <w:top w:w="30" w:type="dxa"/>
              <w:bottom w:w="30" w:type="dxa"/>
              <w:left w:w="40" w:type="dxa"/>
              <w:right w:w="40" w:type="dxa"/>
            </w:tcMar>
          </w:tcPr>
          <w:p>
            <w:pPr>
              <w:spacing w:line="288" w:lineRule="auto" w:before="20" w:after="20"/>
              <w:jc w:val="left"/>
            </w:pPr>
            <w:r>
              <w:rPr>
                <w:rFonts w:ascii="Times New Roman" w:hAnsi="Times New Roman"/>
                <w:b w:val="0"/>
                <w:color w:val="000000"/>
                <w:sz w:val="22"/>
              </w:rPr>
              <w:t>Streamlit Dashboard Speakers View with Cluster Renaming and Talk-Time Percentage</w:t>
            </w:r>
          </w:p>
        </w:tc>
        <w:tc>
          <w:tcPr>
            <w:tcW w:type="dxa" w:w="1152"/>
            <w:tcMar>
              <w:top w:w="30" w:type="dxa"/>
              <w:bottom w:w="30" w:type="dxa"/>
              <w:left w:w="40" w:type="dxa"/>
              <w:right w:w="40" w:type="dxa"/>
            </w:tcMar>
          </w:tcPr>
          <w:p>
            <w:pPr>
              <w:spacing w:line="288" w:lineRule="auto" w:before="20" w:after="20"/>
              <w:jc w:val="center"/>
            </w:pPr>
            <w:r>
              <w:rPr>
                <w:rFonts w:ascii="Times New Roman" w:hAnsi="Times New Roman"/>
                <w:b w:val="0"/>
                <w:color w:val="000000"/>
                <w:sz w:val="22"/>
              </w:rPr>
              <w:t>22</w:t>
            </w:r>
          </w:p>
        </w:tc>
      </w:tr>
    </w:tbl>
    <w:p>
      <w:r>
        <w:br w:type="page"/>
      </w:r>
    </w:p>
    <w:p>
      <w:pPr>
        <w:spacing w:before="120" w:after="280" w:line="360" w:lineRule="auto"/>
        <w:jc w:val="center"/>
      </w:pPr>
      <w:r>
        <w:rPr>
          <w:rFonts w:ascii="Times New Roman" w:hAnsi="Times New Roman"/>
          <w:b/>
          <w:i w:val="0"/>
          <w:color w:val="000000"/>
          <w:sz w:val="28"/>
        </w:rPr>
        <w:t>LIST OF SYMBOLS AND ABBREVIATIONS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514"/>
        <w:gridCol w:w="4514"/>
      </w:tblGrid>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ABBREVIATION</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color w:val="000000"/>
                <w:sz w:val="22"/>
              </w:rPr>
              <w:t>EXPANSION</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ASR</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Automatic Speech Recognition</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VAD</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Voice Activity Detection</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MFCC</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Mel-Frequency Cepstral Coefficients</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F0</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Fundamental Frequency (Acoustic Pitch)</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WER</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Word Error Rate</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MoM</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Minutes of Meeting</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LLM</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Large Language Model</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PCM</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Pulse Code Modulation</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CPU</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Central Processing Unit</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RAM</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Random Access Memory</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NLP</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Natural Language Processing</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TF-IDF</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Term Frequency - Inverse Document Frequency</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BLEU</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Bilingual Evaluation Understudy</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ROUGE</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Recall-Oriented Understudy for Gisting Evaluation</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METEOR</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Metric for Evaluation of Translation with Explicit ORdering</w:t>
            </w:r>
          </w:p>
        </w:tc>
      </w:tr>
      <w:tr>
        <w:tc>
          <w:tcPr>
            <w:tcW w:type="dxa" w:w="2592"/>
            <w:tcMar>
              <w:top w:w="24" w:type="dxa"/>
              <w:bottom w:w="24" w:type="dxa"/>
              <w:left w:w="40" w:type="dxa"/>
              <w:right w:w="40" w:type="dxa"/>
            </w:tcMar>
          </w:tcPr>
          <w:p>
            <w:pPr>
              <w:spacing w:line="276" w:lineRule="auto" w:before="20" w:after="20"/>
              <w:jc w:val="center"/>
            </w:pPr>
            <w:r>
              <w:rPr>
                <w:rFonts w:ascii="Times New Roman" w:hAnsi="Times New Roman"/>
                <w:b/>
                <w:color w:val="000000"/>
                <w:sz w:val="22"/>
              </w:rPr>
              <w:t>BERT</w:t>
            </w:r>
          </w:p>
        </w:tc>
        <w:tc>
          <w:tcPr>
            <w:tcW w:type="dxa" w:w="6437"/>
            <w:tcMar>
              <w:top w:w="24" w:type="dxa"/>
              <w:bottom w:w="24" w:type="dxa"/>
              <w:left w:w="40" w:type="dxa"/>
              <w:right w:w="40" w:type="dxa"/>
            </w:tcMar>
          </w:tcPr>
          <w:p>
            <w:pPr>
              <w:spacing w:line="276" w:lineRule="auto" w:before="20" w:after="20"/>
              <w:jc w:val="left"/>
            </w:pPr>
            <w:r>
              <w:rPr>
                <w:rFonts w:ascii="Times New Roman" w:hAnsi="Times New Roman"/>
                <w:b w:val="0"/>
                <w:color w:val="000000"/>
                <w:sz w:val="22"/>
              </w:rPr>
              <w:t>Bidirectional Encoder Representations from Transformers</w:t>
            </w:r>
          </w:p>
        </w:tc>
      </w:tr>
    </w:tbl>
    <w:p>
      <w:r>
        <w:br w:type="page"/>
      </w:r>
    </w:p>
    <w:p>
      <w:pPr>
        <w:spacing w:before="240" w:after="40" w:line="360" w:lineRule="auto"/>
        <w:jc w:val="center"/>
      </w:pPr>
      <w:r>
        <w:rPr>
          <w:rFonts w:ascii="Times New Roman" w:hAnsi="Times New Roman"/>
          <w:b/>
          <w:i w:val="0"/>
          <w:color w:val="000000"/>
          <w:sz w:val="28"/>
        </w:rPr>
        <w:t>CHAPTER 1</w:t>
      </w:r>
    </w:p>
    <w:p>
      <w:pPr>
        <w:spacing w:before="0" w:after="280" w:line="360" w:lineRule="auto"/>
        <w:jc w:val="center"/>
      </w:pPr>
      <w:r>
        <w:rPr>
          <w:rFonts w:ascii="Times New Roman" w:hAnsi="Times New Roman"/>
          <w:b/>
          <w:i w:val="0"/>
          <w:color w:val="000000"/>
          <w:sz w:val="28"/>
        </w:rPr>
        <w:t>INTRODUCTION</w:t>
      </w:r>
    </w:p>
    <w:p>
      <w:pPr>
        <w:spacing w:before="200" w:after="80" w:line="360" w:lineRule="auto"/>
        <w:jc w:val="left"/>
      </w:pPr>
      <w:r>
        <w:rPr>
          <w:rFonts w:ascii="Times New Roman" w:hAnsi="Times New Roman"/>
          <w:b/>
          <w:i w:val="0"/>
          <w:color w:val="000000"/>
          <w:sz w:val="24"/>
        </w:rPr>
        <w:t>1.1 Project Overview</w:t>
      </w:r>
    </w:p>
    <w:p>
      <w:pPr>
        <w:spacing w:line="360" w:lineRule="auto" w:after="200"/>
        <w:jc w:val="both"/>
      </w:pPr>
      <w:r>
        <w:t>In modern knowledge economies, collaborative verbal dialogue is the bedrock of strategic planning, engineering design reviews, and executive decision-making. The transition toward distributed engineering teams has led to a reliance on teleconferencing tools such as Zoom, Microsoft Teams, and Google Meet. While recorded meetings capture granular verbal exchanges, navigating hours of unstructured speech to isolate specific architectural trade-offs, stakeholder approvals, or assigned deliverables is highly inefficient. Automated meeting intelligence addresses this bottleneck by converting raw multi-channel audio into structured corporate documentation.</w:t>
      </w:r>
    </w:p>
    <w:p>
      <w:pPr>
        <w:spacing w:before="200" w:after="80" w:line="360" w:lineRule="auto"/>
        <w:jc w:val="left"/>
      </w:pPr>
      <w:r>
        <w:rPr>
          <w:rFonts w:ascii="Times New Roman" w:hAnsi="Times New Roman"/>
          <w:b/>
          <w:i w:val="0"/>
          <w:color w:val="000000"/>
          <w:sz w:val="24"/>
        </w:rPr>
        <w:t>1.2 Problem Statement</w:t>
      </w:r>
    </w:p>
    <w:p>
      <w:pPr>
        <w:spacing w:line="360" w:lineRule="auto" w:after="200"/>
        <w:jc w:val="both"/>
      </w:pPr>
      <w:r>
        <w:t>Organizations face a dual dilemma in meeting summarization:</w:t>
        <w:br/>
        <w:t>1. Human Cognitive Inefficiencies: Manual note-taking suffers from cognitive fatigue, human selective bias, and missed action items.</w:t>
        <w:br/>
        <w:t>2. Cloud Confidentiality and Economic Barriers: Off-the-shelf commercial APIs (e.g., OpenAI Whisper API, cloud meeting bots) require streaming proprietary audio to external servers. This creates severe enterprise confidentiality risks in healthcare, legal, and financial sectors, along with unpredictable monthly token costs. Furthermore, conventional large models require powerful enterprise GPUs that are unavailable on standard institutional workstations (such as 8 GB RAM CPU laptops).</w:t>
      </w:r>
    </w:p>
    <w:p>
      <w:pPr>
        <w:spacing w:before="200" w:after="80" w:line="360" w:lineRule="auto"/>
        <w:jc w:val="left"/>
      </w:pPr>
      <w:r>
        <w:rPr>
          <w:rFonts w:ascii="Times New Roman" w:hAnsi="Times New Roman"/>
          <w:b/>
          <w:i w:val="0"/>
          <w:color w:val="000000"/>
          <w:sz w:val="24"/>
        </w:rPr>
        <w:t>1.3 Objectives</w:t>
      </w:r>
    </w:p>
    <w:p>
      <w:pPr>
        <w:spacing w:line="360" w:lineRule="auto" w:after="200"/>
        <w:jc w:val="both"/>
      </w:pPr>
      <w:r>
        <w:t>The primary engineering objectives of this project are:</w:t>
        <w:br/>
        <w:t>• To design and build an automated, fully offline meeting intelligence pipeline executing entirely on consumer CPU hardware (8 GB RAM).</w:t>
        <w:br/>
        <w:t>• To program and implement whole-file speech-to-text transcription utilizing faster-whisper base quantized in int8 with in-memory Silero VAD, achieving a Word Error Rate under 6% on multi-speaker recordings.</w:t>
        <w:br/>
        <w:t>• To develop an unsupervised acoustic diarization module combining 18-dimensional vocal features (13 MFCCs, spectral centroid, Yin F0 pitch tracking) with K-Means clustering to separate speaker turns in under 1 second without external neural diarization tokens.</w:t>
        <w:br/>
        <w:t>• To formulate regex heuristics that extract action items, directly binding tasks to segment speakers and standardizing timestamps and deadlines.</w:t>
        <w:br/>
        <w:t>• To synthesize formal third-person Minutes of Meeting (MoM) via locally served Large Language Models (Ollama), completely eliminating first-person pronouns.</w:t>
        <w:br/>
        <w:t>• To implement a Streamlit studio console dashboard featuring dark editorial telemetry, interactive speaker renaming, word clouds, bigram graphs, and PDF exports.</w:t>
      </w:r>
    </w:p>
    <w:p>
      <w:pPr>
        <w:spacing w:before="200" w:after="80" w:line="360" w:lineRule="auto"/>
        <w:jc w:val="left"/>
      </w:pPr>
      <w:r>
        <w:rPr>
          <w:rFonts w:ascii="Times New Roman" w:hAnsi="Times New Roman"/>
          <w:b/>
          <w:i w:val="0"/>
          <w:color w:val="000000"/>
          <w:sz w:val="24"/>
        </w:rPr>
        <w:t>1.4 Scope of Work (or) Social Contribution</w:t>
      </w:r>
    </w:p>
    <w:p>
      <w:pPr>
        <w:spacing w:line="360" w:lineRule="auto" w:after="200"/>
        <w:jc w:val="both"/>
      </w:pPr>
      <w:r>
        <w:t>The scope of VoxIntel encompasses technical syncs, academic laboratory reviews, and enterprise board discussions. The system accepts standard audio formats (.wav, .mp3) as well as pre-transcribed text transcripts (.txt). From a societal and organizational perspective, VoxIntel contributes a 100% private, sovereign NLP framework that eliminates recurring subscription barriers for educational institutions and small-to-medium enterprises, ensuring data ownership and zero leakage.</w:t>
      </w:r>
    </w:p>
    <w:p>
      <w:r>
        <w:br w:type="page"/>
      </w:r>
    </w:p>
    <w:p>
      <w:pPr>
        <w:spacing w:before="240" w:after="40" w:line="360" w:lineRule="auto"/>
        <w:jc w:val="center"/>
      </w:pPr>
      <w:r>
        <w:rPr>
          <w:rFonts w:ascii="Times New Roman" w:hAnsi="Times New Roman"/>
          <w:b/>
          <w:i w:val="0"/>
          <w:color w:val="000000"/>
          <w:sz w:val="28"/>
        </w:rPr>
        <w:t>CHAPTER 2</w:t>
      </w:r>
    </w:p>
    <w:p>
      <w:pPr>
        <w:spacing w:before="0" w:after="280" w:line="360" w:lineRule="auto"/>
        <w:jc w:val="center"/>
      </w:pPr>
      <w:r>
        <w:rPr>
          <w:rFonts w:ascii="Times New Roman" w:hAnsi="Times New Roman"/>
          <w:b/>
          <w:i w:val="0"/>
          <w:color w:val="000000"/>
          <w:sz w:val="28"/>
        </w:rPr>
        <w:t>LITERATURE REVIEW</w:t>
      </w:r>
    </w:p>
    <w:p>
      <w:pPr>
        <w:spacing w:before="200" w:after="80" w:line="360" w:lineRule="auto"/>
        <w:jc w:val="left"/>
      </w:pPr>
      <w:r>
        <w:rPr>
          <w:rFonts w:ascii="Times New Roman" w:hAnsi="Times New Roman"/>
          <w:b/>
          <w:i w:val="0"/>
          <w:color w:val="000000"/>
          <w:sz w:val="24"/>
        </w:rPr>
        <w:t>2.1 Background</w:t>
      </w:r>
    </w:p>
    <w:p>
      <w:pPr>
        <w:spacing w:line="360" w:lineRule="auto" w:after="200"/>
        <w:jc w:val="both"/>
      </w:pPr>
      <w:r>
        <w:t>Automated speech summarization lies at the intersection of acoustic signal processing, automatic speech recognition (ASR), speaker diarization, and natural language understanding (NLU). Over the past decade, the domain transitioned from statistical hidden Markov models and Gaussian mixture models toward deep end-to-end self-attention architectures and Large Language Models (LLMs).</w:t>
      </w:r>
    </w:p>
    <w:p>
      <w:pPr>
        <w:spacing w:before="200" w:after="80" w:line="360" w:lineRule="auto"/>
        <w:jc w:val="left"/>
      </w:pPr>
      <w:r>
        <w:rPr>
          <w:rFonts w:ascii="Times New Roman" w:hAnsi="Times New Roman"/>
          <w:b/>
          <w:i w:val="0"/>
          <w:color w:val="000000"/>
          <w:sz w:val="24"/>
        </w:rPr>
        <w:t>2.1.1 Review of Related Works</w:t>
      </w:r>
    </w:p>
    <w:p>
      <w:pPr>
        <w:spacing w:line="360" w:lineRule="auto" w:after="200"/>
        <w:jc w:val="both"/>
      </w:pPr>
      <w:r>
        <w:t>A comprehensive review of foundational literature informs the architecture of VoxIntel:</w:t>
        <w:br/>
        <w:t>• A. Radford et al. (2023) [1] introduced Whisper, establishing that weakly supervised sequence-to-sequence Transformers trained on 680,000 hours of multi-lingual audio achieve human-level robustness against background noise and technical jargon without requiring task-specific fine-tuning.</w:t>
        <w:br/>
        <w:t>• G. Klein et al. (2020) [2] developed CTranslate2, an optimized inference engine that applies 8-bit integer quantization (int8) to Transformer models, reducing memory bandwidth by 4× and accelerating CPU execution speeds to sub-real-time rates.</w:t>
        <w:br/>
        <w:t>• R. Mihalcea and P. Tarau (2004) [3] proposed TextRank, an unsupervised graph-based ranking algorithm that models sentence salience via normalized lexical similarity matrices and power iteration, enabling robust extractive summarization without training data.</w:t>
        <w:br/>
        <w:t>• Silero Team (2021) [4] demonstrated that lightweight recurrent neural voice activity detectors can filter non-speech silence in under 1 ms per chunk, drastically reducing hallucination and ASR compute overhead.</w:t>
        <w:br/>
        <w:t>• A. de Cheveigné and H. Kawahara (2002) [5] formulated the Yin fundamental frequency estimator, demonstrating that difference function minimization provides robust acoustic pitch tracking even in high-noise spoken environments.</w:t>
        <w:br/>
        <w:t>• T. Zhang et al. (2020) [6] established BERTScore, leveraging contextual word embeddings from pre-trained language models to compute token-level cosine similarities, correlating far better with human judgment than classical n-gram overlap.</w:t>
        <w:br/>
        <w:t>• C. Y. Lin (2004) [7] and K. Papineni et al. (2002) [8] formalized ROUGE and BLEU metrics, which remain the scientific gold standard for evaluating n-gram precision and recall in automated summary synthesis.</w:t>
        <w:br/>
        <w:t>• Ollama Team (2024) [10] developed efficient local model serving runtimes, enabling 4-bit and 8-bit quantized 1B-3B parameter instruction-tuned LLMs (such as llama3.2:3b and gemma3:1b) to execute locally on consumer workstations with predictable sub-second latency.</w:t>
      </w:r>
    </w:p>
    <w:p>
      <w:pPr>
        <w:spacing w:before="200" w:after="80" w:line="360" w:lineRule="auto"/>
        <w:jc w:val="left"/>
      </w:pPr>
      <w:r>
        <w:rPr>
          <w:rFonts w:ascii="Times New Roman" w:hAnsi="Times New Roman"/>
          <w:b/>
          <w:i w:val="0"/>
          <w:color w:val="000000"/>
          <w:sz w:val="24"/>
        </w:rPr>
        <w:t>2.2 Research Gaps</w:t>
      </w:r>
    </w:p>
    <w:p>
      <w:pPr>
        <w:spacing w:line="360" w:lineRule="auto" w:after="200"/>
        <w:jc w:val="both"/>
      </w:pPr>
      <w:r>
        <w:t>Despite significant advancements, existing research leaves three critical gaps that VoxIntel addresses:</w:t>
        <w:br/>
        <w:t>1. Heavy Compute Footprint of Diarization: State-of-the-art neural diarization frameworks (e.g., PyAnnote) require over 4 GB of dedicated VRAM, mandatory HuggingFace authentication tokens, and heavy neural pipelines that freeze on 8 GB CPU hardware.</w:t>
        <w:br/>
        <w:t>2. Cloud Exposure and Token Costs: Existing commercial meeting assistants transmit audio streams to remote cloud servers, violating data sovereignty regulations (HIPAA, GDPR) and creating recurring per-minute billing.</w:t>
        <w:br/>
        <w:t>3. First-Person Hallucination and Attribution Drift: Generic LLM summarizers frequently copy raw verbatim text, preserving first-person pronouns ('I will deploy the fix') and hallucinating task assignments by binding tasks to the first attendee in the list rather than the true segment speaker.</w:t>
      </w:r>
    </w:p>
    <w:p>
      <w:r>
        <w:br w:type="page"/>
      </w:r>
    </w:p>
    <w:p>
      <w:pPr>
        <w:spacing w:before="240" w:after="40" w:line="360" w:lineRule="auto"/>
        <w:jc w:val="center"/>
      </w:pPr>
      <w:r>
        <w:rPr>
          <w:rFonts w:ascii="Times New Roman" w:hAnsi="Times New Roman"/>
          <w:b/>
          <w:i w:val="0"/>
          <w:color w:val="000000"/>
          <w:sz w:val="28"/>
        </w:rPr>
        <w:t>CHAPTER 3</w:t>
      </w:r>
    </w:p>
    <w:p>
      <w:pPr>
        <w:spacing w:before="0" w:after="280" w:line="360" w:lineRule="auto"/>
        <w:jc w:val="center"/>
      </w:pPr>
      <w:r>
        <w:rPr>
          <w:rFonts w:ascii="Times New Roman" w:hAnsi="Times New Roman"/>
          <w:b/>
          <w:i w:val="0"/>
          <w:color w:val="000000"/>
          <w:sz w:val="28"/>
        </w:rPr>
        <w:t>PROPOSED METHODOLOGY</w:t>
      </w:r>
    </w:p>
    <w:p>
      <w:pPr>
        <w:spacing w:before="200" w:after="80" w:line="360" w:lineRule="auto"/>
        <w:jc w:val="left"/>
      </w:pPr>
      <w:r>
        <w:rPr>
          <w:rFonts w:ascii="Times New Roman" w:hAnsi="Times New Roman"/>
          <w:b/>
          <w:i w:val="0"/>
          <w:color w:val="000000"/>
          <w:sz w:val="24"/>
        </w:rPr>
        <w:t>3.1 Architecture in Nutshell</w:t>
      </w:r>
    </w:p>
    <w:p>
      <w:pPr>
        <w:spacing w:line="360" w:lineRule="auto" w:after="200"/>
        <w:jc w:val="both"/>
      </w:pPr>
      <w:r>
        <w:t>VoxIntel follows a clean, decoupled five-stage architecture engineered for execution on consumer-grade hardware. Figure 3.1 illustrates the modular pipeline workflow from raw audio ingestion through speech transcription, acoustic clustering, semantic heuristic extraction, and local LLM editorial synthesis.</w:t>
      </w:r>
    </w:p>
    <w:p>
      <w:pPr>
        <w:spacing w:before="120" w:after="40"/>
        <w:jc w:val="center"/>
      </w:pPr>
      <w:r>
        <w:drawing>
          <wp:inline xmlns:a="http://schemas.openxmlformats.org/drawingml/2006/main" xmlns:pic="http://schemas.openxmlformats.org/drawingml/2006/picture">
            <wp:extent cx="4572000" cy="6858000"/>
            <wp:docPr id="3" name="Picture 3"/>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4572000" cy="6858000"/>
                    </a:xfrm>
                    <a:prstGeom prst="rect"/>
                  </pic:spPr>
                </pic:pic>
              </a:graphicData>
            </a:graphic>
          </wp:inline>
        </w:drawing>
      </w:r>
    </w:p>
    <w:p>
      <w:pPr>
        <w:spacing w:after="200"/>
        <w:jc w:val="center"/>
      </w:pPr>
      <w:r>
        <w:rPr>
          <w:rFonts w:ascii="Times New Roman" w:hAnsi="Times New Roman"/>
          <w:i/>
          <w:color w:val="000000"/>
          <w:sz w:val="22"/>
        </w:rPr>
        <w:t>Figure 3.1: VoxIntel End-to-End System Architecture and Modular Pipeline Workflow</w:t>
      </w:r>
    </w:p>
    <w:p>
      <w:pPr>
        <w:spacing w:before="200" w:after="80" w:line="360" w:lineRule="auto"/>
        <w:jc w:val="left"/>
      </w:pPr>
      <w:r>
        <w:rPr>
          <w:rFonts w:ascii="Times New Roman" w:hAnsi="Times New Roman"/>
          <w:b/>
          <w:i w:val="0"/>
          <w:color w:val="000000"/>
          <w:sz w:val="24"/>
        </w:rPr>
        <w:t>3.1.1 Dataset Description</w:t>
      </w:r>
    </w:p>
    <w:p>
      <w:pPr>
        <w:spacing w:line="360" w:lineRule="auto" w:after="200"/>
        <w:jc w:val="both"/>
      </w:pPr>
      <w:r>
        <w:t>To rigorously evaluate VoxIntel without data leakage, a frozen multi-speaker meeting test battery was constructed and divided into two partitions:</w:t>
        <w:br/>
        <w:t>• Development Set (Dev Set): Meeting 1 (50 seconds, 3 speakers, 2 reference commitments, explicit self-introductions spoken) and Meeting 2 (193 seconds, 3 speakers, 6 reference commitments, technical sprint sync). Used for calibrating VAD thresholds and attendee prompt formats.</w:t>
        <w:br/>
        <w:t>• Held-out Un-tuned Test Set: Meeting 3 (323 seconds / 5.39 minutes, 4 synthetic neural voices, 3 reference commitments, zero names spoken in audio). Frozen prior to testing to assess unsupervised generalization in the absence of spoken identity cues.</w:t>
      </w:r>
    </w:p>
    <w:p>
      <w:pPr>
        <w:spacing w:before="200" w:after="80" w:line="360" w:lineRule="auto"/>
        <w:jc w:val="left"/>
      </w:pPr>
      <w:r>
        <w:rPr>
          <w:rFonts w:ascii="Times New Roman" w:hAnsi="Times New Roman"/>
          <w:b/>
          <w:i w:val="0"/>
          <w:color w:val="000000"/>
          <w:sz w:val="24"/>
        </w:rPr>
        <w:t>3.1.2 Preprocessing</w:t>
      </w:r>
    </w:p>
    <w:p>
      <w:pPr>
        <w:spacing w:line="360" w:lineRule="auto" w:after="200"/>
        <w:jc w:val="both"/>
      </w:pPr>
      <w:r>
        <w:t>The preprocessing subsystem implements multi-stage conditioning:</w:t>
        <w:br/>
        <w:t>1. Audio Normalization: Input recordings are converted via FFmpeg to 16 kHz mono 16-bit linear PCM WAV format, eliminating multi-channel phase cancellation.</w:t>
        <w:br/>
        <w:t>2. Neural Voice Activity Detection: In-memory Silero VAD strips non-speech silence intervals, preventing hallucination during silent pauses.</w:t>
        <w:br/>
        <w:t>3. Regex Delimiter Normalization: Colloquial times ('by 2 p.m. today') contain periods that break sentence tokenizers. These are normalized to 'PM' and 'AM' prior to sentence boundary detection.</w:t>
        <w:br/>
        <w:t>4. Contraction Expansion: Conversational contractions ('I will' -&gt; 'I will', 'we will' -&gt; 'we will') are standardized to protect verbal commitment semantics.</w:t>
        <w:br/>
        <w:t>5. Acoustic Feature Vectorization: For each transcribed speech segment, an 18-dimensional acoustic vector is computed comprising 13 MFCCs, spectral centroid, Yin fundamental frequency (F0), zero-crossing rate, and RMS energy.</w:t>
      </w:r>
    </w:p>
    <w:p>
      <w:pPr>
        <w:spacing w:before="200" w:after="80" w:line="360" w:lineRule="auto"/>
        <w:jc w:val="left"/>
      </w:pPr>
      <w:r>
        <w:rPr>
          <w:rFonts w:ascii="Times New Roman" w:hAnsi="Times New Roman"/>
          <w:b/>
          <w:i w:val="0"/>
          <w:color w:val="000000"/>
          <w:sz w:val="24"/>
        </w:rPr>
        <w:t>3.1.3 Encoder &amp; Decoder Modules</w:t>
      </w:r>
    </w:p>
    <w:p>
      <w:pPr>
        <w:spacing w:line="360" w:lineRule="auto" w:after="200"/>
        <w:jc w:val="both"/>
      </w:pPr>
      <w:r>
        <w:t>The core processing engine coordinates four interconnected computational modules:</w:t>
        <w:br/>
        <w:t>• faster-whisper base int8: Audio is transformed into an 80-channel log-Mel spectrogram. The Transformer audio encoder processes positional encodings and 8 self-attention heads, while the text decoder generates timestamped transcript segments conditioned on the attendee vocabulary prompt.</w:t>
        <w:br/>
        <w:t>• K-Means Speaker Clustering: Acoustic feature vectors are standardized and partitioned into k clusters (where k is the attendee count). Turns are assigned cluster tags (Speaker 1, Speaker 2), which are mapped to attendee names via Hungarian bipartite matching.</w:t>
        <w:br/>
        <w:t>• TextRank Sentence Graph Extraction: In Fast Mode, sentences form vertices in a complete similarity graph. The stationary distribution is solved via power iteration, extracting the top 4 sentences formatted as [mm:ss] Speaker: line labeled strictly as 'Key moments'.</w:t>
        <w:br/>
        <w:t>• Ollama Local LLM Synthesis: In Smart Mode, the transcript is passed to a local Ollama runner (llama3.2:3b / gemma3:1b). A strict JSON schema prompt compels third-person past-tense minutes, exact timestamp citations, and attendee cross-validation.</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9"/>
      </w:tblGrid>
      <w:tr>
        <w:tc>
          <w:tcPr>
            <w:tcW w:type="dxa" w:w="8640"/>
            <w:tcMar>
              <w:top w:w="60" w:type="dxa"/>
              <w:bottom w:w="60" w:type="dxa"/>
              <w:left w:w="80" w:type="dxa"/>
              <w:right w:w="80" w:type="dxa"/>
            </w:tcMar>
          </w:tcPr>
          <w:p>
            <w:pPr>
              <w:spacing w:line="276" w:lineRule="auto" w:after="40"/>
            </w:pPr>
            <w:r>
              <w:rPr>
                <w:rFonts w:ascii="Consolas" w:hAnsi="Consolas"/>
                <w:color w:val="000000"/>
                <w:sz w:val="17"/>
              </w:rPr>
              <w:t>Algorithm 3.1: Dual-Pipeline Meeting Intelligence Engine</w:t>
              <w:br/>
              <w:t>Input : Audio File A, Expected Attendees Att, Mode Selection M in {Fast, Smart}</w:t>
              <w:br/>
              <w:t>Output: Meeting Minutes MoM, Action Items Act, Transcript S, Analytics</w:t>
              <w:br/>
              <w:t>-------------------------------------------------------------------------------------------------</w:t>
              <w:br/>
              <w:t>1:  Audio_PCM &lt;- FFmpegDecodeToMono16kHz(A)</w:t>
              <w:br/>
              <w:t>2:  Segments, Dur &lt;- TranscribeFasterWhisperBaseInt8(Audio_PCM, vad_filter=True, prompt=Att)</w:t>
              <w:br/>
              <w:t>3:  FeatVecs &lt;- ExtractMFCCAndYinPitch(Audio_PCM, Segments)</w:t>
              <w:br/>
              <w:t>4:  Clusters &lt;- KMeansCluster(FeatVecs, k=len(Att))</w:t>
              <w:br/>
              <w:t>5:  for each s in Segments do s.speaker &lt;- Clusters[s.id] end for</w:t>
              <w:br/>
              <w:t>6:  CleanText, Sents, Tokens &lt;- NormalizeTranscript(Segments)</w:t>
              <w:br/>
              <w:t>7:  if M == 'Fast' then</w:t>
              <w:br/>
              <w:t>8:      KeyMoments &lt;- ExtractTextRankKeyMoments(Sents, Segments)</w:t>
              <w:br/>
              <w:t>9:      MoM &lt;- BuildExtractiveMoM(KeyMoments, Segments, Att)</w:t>
              <w:br/>
              <w:t>10: else</w:t>
              <w:br/>
              <w:t>11:     Prompt &lt;- BuildJSONSchemaPrompt(Segments, Att, StrictThirdPerson=True)</w:t>
              <w:br/>
              <w:t>12:     MoM &lt;- QueryLocalOllama(Prompt, model='llama3.2:3b')</w:t>
              <w:br/>
              <w:t>13:     MoM &lt;- CrossValidateOwnersAndDeadlines(MoM, Segments, Att)</w:t>
              <w:br/>
              <w:t>14: end if</w:t>
              <w:br/>
              <w:t>15: RenderDashboard(MoM, Segments, KeyMoments, Latency)</w:t>
              <w:br/>
              <w:t>16: return MoM, Segments, Act</w:t>
            </w:r>
          </w:p>
        </w:tc>
      </w:tr>
    </w:tbl>
    <w:p>
      <w:pPr>
        <w:spacing w:after="120"/>
      </w:pPr>
    </w:p>
    <w:p>
      <w:pPr>
        <w:spacing w:before="200" w:after="80" w:line="360" w:lineRule="auto"/>
        <w:jc w:val="left"/>
      </w:pPr>
      <w:r>
        <w:rPr>
          <w:rFonts w:ascii="Times New Roman" w:hAnsi="Times New Roman"/>
          <w:b/>
          <w:i w:val="0"/>
          <w:color w:val="000000"/>
          <w:sz w:val="24"/>
        </w:rPr>
        <w:t>3.2 Hardware Specifications</w:t>
      </w:r>
    </w:p>
    <w:p>
      <w:pPr>
        <w:spacing w:line="360" w:lineRule="auto" w:after="200"/>
        <w:jc w:val="both"/>
      </w:pPr>
      <w:r>
        <w:t>VoxIntel is explicitly engineered to democratize NLP on commodity personal hardware without enterprise server dependencies:</w:t>
        <w:br/>
        <w:t>• Processor: Intel Core i5-1135G7 @ 2.40 GHz (4 cores, 8 threads) or AMD Ryzen 5 5500U equivalent.</w:t>
        <w:br/>
        <w:t>• Memory: 8 GB DDR4 RAM (peak execution RAM under 650 MB during base int8 transcription; under 2.5 GB during Ollama 3B inference).</w:t>
        <w:br/>
        <w:t>• Storage: 2.0 GB free SSD disk space for faster-whisper base weights (~145 MB) and Ollama quantized LLM weights (~2.0 GB).</w:t>
        <w:br/>
        <w:t>• Dedicated GPU: Not required (pure CPU execution enabled via CTranslate2 integer SIMD vectorization).</w:t>
      </w:r>
    </w:p>
    <w:p>
      <w:pPr>
        <w:spacing w:before="200" w:after="80" w:line="360" w:lineRule="auto"/>
        <w:jc w:val="left"/>
      </w:pPr>
      <w:r>
        <w:rPr>
          <w:rFonts w:ascii="Times New Roman" w:hAnsi="Times New Roman"/>
          <w:b/>
          <w:i w:val="0"/>
          <w:color w:val="000000"/>
          <w:sz w:val="24"/>
        </w:rPr>
        <w:t>3.3 Software Specifications</w:t>
      </w:r>
    </w:p>
    <w:p>
      <w:pPr>
        <w:spacing w:line="360" w:lineRule="auto" w:after="200"/>
        <w:jc w:val="both"/>
      </w:pPr>
      <w:r>
        <w:t>• Programming Language: Python 3.10+</w:t>
        <w:br/>
        <w:t>• ASR Runtime: faster-whisper 1.0.3, CTranslate2 4.0.0 (int8 CPU compute)</w:t>
        <w:br/>
        <w:t>• Audio Signal Processing: Librosa 0.10.1, SciPy 1.11.4, FFmpeg 6.0+</w:t>
        <w:br/>
        <w:t>• Machine Learning: Scikit-learn 1.3.2 (K-Means, StandardScaler, Hungarian algorithm via scipy.optimize)</w:t>
        <w:br/>
        <w:t>• Natural Language Processing: NetworkX 3.1, NLTK 3.8.1, JiWER 3.0.3, ROUGE-Score 0.1.2, BERTScore 0.3.13</w:t>
        <w:br/>
        <w:t>• Local LLM Engine: Ollama 0.3+ (llama3.2:3b / gemma3:1b)</w:t>
        <w:br/>
        <w:t>• Web User Interface: Streamlit 1.31.0 with customized dark editorial UI tokens</w:t>
        <w:br/>
        <w:t>• Document Generation: python-docx 1.1.0, docx2pdf 0.1.8</w:t>
      </w:r>
    </w:p>
    <w:p>
      <w:r>
        <w:br w:type="page"/>
      </w:r>
    </w:p>
    <w:p>
      <w:pPr>
        <w:spacing w:before="240" w:after="40" w:line="360" w:lineRule="auto"/>
        <w:jc w:val="center"/>
      </w:pPr>
      <w:r>
        <w:rPr>
          <w:rFonts w:ascii="Times New Roman" w:hAnsi="Times New Roman"/>
          <w:b/>
          <w:i w:val="0"/>
          <w:color w:val="000000"/>
          <w:sz w:val="28"/>
        </w:rPr>
        <w:t>CHAPTER 4</w:t>
      </w:r>
    </w:p>
    <w:p>
      <w:pPr>
        <w:spacing w:before="0" w:after="280" w:line="360" w:lineRule="auto"/>
        <w:jc w:val="center"/>
      </w:pPr>
      <w:r>
        <w:rPr>
          <w:rFonts w:ascii="Times New Roman" w:hAnsi="Times New Roman"/>
          <w:b/>
          <w:i w:val="0"/>
          <w:color w:val="000000"/>
          <w:sz w:val="28"/>
        </w:rPr>
        <w:t>PERFORMANCE EVALUATION</w:t>
      </w:r>
    </w:p>
    <w:p>
      <w:pPr>
        <w:spacing w:before="200" w:after="80" w:line="360" w:lineRule="auto"/>
        <w:jc w:val="left"/>
      </w:pPr>
      <w:r>
        <w:rPr>
          <w:rFonts w:ascii="Times New Roman" w:hAnsi="Times New Roman"/>
          <w:b/>
          <w:i w:val="0"/>
          <w:color w:val="000000"/>
          <w:sz w:val="24"/>
        </w:rPr>
        <w:t>4.1 Experimental Setup &amp; Evaluation Metrics</w:t>
      </w:r>
    </w:p>
    <w:p>
      <w:pPr>
        <w:spacing w:line="360" w:lineRule="auto" w:after="200"/>
        <w:jc w:val="both"/>
      </w:pPr>
      <w:r>
        <w:t>To ensure scientific reproducibility, all evaluation datasets and ground truths were frozen prior to benchmark execution. The benchmarking protocol consists of a mandatory initial warm-up run followed by 3 timed evaluation runs on CPU hardware, measuring median inference latency (seconds), peak CPU utilization (%), and peak resident RAM footprint (MB).</w:t>
        <w:br/>
        <w:br/>
        <w:t>The system was evaluated across six multidimensional NLP metrics:</w:t>
        <w:br/>
        <w:t>1. Word Error Rate (WER): Computed via JiWER as WER = (S + D + I) / N, where S is substitutions, D is deletions, I is insertions, and N is reference words.</w:t>
        <w:br/>
        <w:t>2. 0.5s Frame-Level Diarization: Audio is discretized into 0.5-second time slices, comparing predicted speaker labels against ground-truth turn intervals via Hungarian bipartite remapping to report Accuracy, Macro F1, Weighted F1, and Precision.</w:t>
        <w:br/>
        <w:t>3. Action Item Detection: Scored against reference commitments requiring token overlap &gt;= 0.50, reporting True Positives (TP), False Positives (FP), False Negatives (FN), Precision, Recall, and F1-Score.</w:t>
        <w:br/>
        <w:t>4. Summarization Overlap: ROUGE-1, ROUGE-2, ROUGE-L, BLEU, and METEOR against reference summaries.</w:t>
        <w:br/>
        <w:t>5. Semantic Embedding Alignment: BERTScore F1 utilizing contextual token embeddings.</w:t>
        <w:br/>
        <w:t>6. Linguistic Perspective &amp; Fluency: Count of first-person pronouns (I, we, our, us, my) and bigram language model perplexity.</w:t>
      </w:r>
    </w:p>
    <w:p>
      <w:pPr>
        <w:spacing w:before="200" w:after="80" w:line="360" w:lineRule="auto"/>
        <w:jc w:val="left"/>
      </w:pPr>
      <w:r>
        <w:rPr>
          <w:rFonts w:ascii="Times New Roman" w:hAnsi="Times New Roman"/>
          <w:b/>
          <w:i w:val="0"/>
          <w:color w:val="000000"/>
          <w:sz w:val="24"/>
        </w:rPr>
        <w:t>4.2 Results and Analysis</w:t>
      </w:r>
    </w:p>
    <w:p>
      <w:pPr>
        <w:spacing w:line="360" w:lineRule="auto" w:after="200"/>
        <w:jc w:val="both"/>
      </w:pPr>
      <w:r>
        <w:t>Empirical benchmarks across the multi-speaker dataset demonstrate the superiority of the faster-whisper base int8 model and the effectiveness of local LLM third-person synthesis. In accordance with the reporting standards, table captions appear on top of each table, while figure captions appear below each figure.</w:t>
      </w:r>
    </w:p>
    <w:p>
      <w:pPr>
        <w:spacing w:before="200" w:after="80"/>
        <w:jc w:val="center"/>
      </w:pPr>
      <w:r>
        <w:rPr>
          <w:rFonts w:ascii="Times New Roman" w:hAnsi="Times New Roman"/>
          <w:i/>
          <w:color w:val="000000"/>
          <w:sz w:val="22"/>
        </w:rPr>
        <w:t>Table 4.1: Automatic Speech Recognition (ASR) Word Error Rate (WER) and CPU Latency Benchmarks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129"/>
        <w:gridCol w:w="1129"/>
        <w:gridCol w:w="1129"/>
        <w:gridCol w:w="1129"/>
        <w:gridCol w:w="1129"/>
        <w:gridCol w:w="1129"/>
        <w:gridCol w:w="1129"/>
        <w:gridCol w:w="1129"/>
      </w:tblGrid>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Meeting ID</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Split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Model</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Prompt?</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WER (%)</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Latency (s)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CPU (%)</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RAM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1 (50s)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tiny</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No</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7.83%</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2.17s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382.7%</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488.2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1 (50s)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tiny</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Yes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5.22%</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2.26s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377.6%</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491.3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1 (50s)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base</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No</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7.83%</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5.09s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385.4%</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594.9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1 (50s)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base</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Yes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3.48%</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6.17s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383.9%</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594.9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2 (193s)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tiny</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No</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11.27%</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7.76s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358.9%</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529.0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2 (193s)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tiny</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Yes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9.11%</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7.78s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364.6%</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528.4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2 (193s)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base</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No</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9.59%</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14.14s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373.5%</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618.9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2 (193s)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base</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Yes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8.87%</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14.12s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375.4%</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619.5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3 (323s)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Test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tiny</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No</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10.32%</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10.20s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359.7%</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555.2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3 (323s)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Test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tiny</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Yes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9.14%</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10.31s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362.1%</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556.8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3 (323s)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Test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base</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No</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5.58%</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19.90s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376.8%</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645.4 MB</w:t>
            </w:r>
          </w:p>
        </w:tc>
      </w:tr>
      <w:tr>
        <w:tc>
          <w:tcPr>
            <w:tcW w:type="dxa" w:w="165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3 (323s)</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Test Set</w:t>
            </w:r>
          </w:p>
        </w:tc>
        <w:tc>
          <w:tcPr>
            <w:tcW w:type="dxa" w:w="79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base</w:t>
            </w:r>
          </w:p>
        </w:tc>
        <w:tc>
          <w:tcPr>
            <w:tcW w:type="dxa" w:w="86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Yes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6.43%</w:t>
            </w:r>
          </w:p>
        </w:tc>
        <w:tc>
          <w:tcPr>
            <w:tcW w:type="dxa" w:w="1037"/>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20.04s</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376.9%</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646.4 MB</w:t>
            </w:r>
          </w:p>
        </w:tc>
      </w:tr>
    </w:tbl>
    <w:p>
      <w:pPr>
        <w:spacing w:after="160"/>
      </w:pPr>
    </w:p>
    <w:p>
      <w:pPr>
        <w:spacing w:before="200" w:after="80"/>
        <w:jc w:val="center"/>
      </w:pPr>
      <w:r>
        <w:rPr>
          <w:rFonts w:ascii="Times New Roman" w:hAnsi="Times New Roman"/>
          <w:i/>
          <w:color w:val="000000"/>
          <w:sz w:val="22"/>
        </w:rPr>
        <w:t>Table 4.2: 0.5s Frame-Level Speaker Attribution Accuracy, Precision, and F1 Metrics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90"/>
        <w:gridCol w:w="1290"/>
        <w:gridCol w:w="1290"/>
        <w:gridCol w:w="1290"/>
        <w:gridCol w:w="1290"/>
        <w:gridCol w:w="1290"/>
        <w:gridCol w:w="1290"/>
      </w:tblGrid>
      <w:tr>
        <w:tc>
          <w:tcPr>
            <w:tcW w:type="dxa" w:w="1512"/>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Meeting ID</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Split</w:t>
            </w:r>
          </w:p>
        </w:tc>
        <w:tc>
          <w:tcPr>
            <w:tcW w:type="dxa" w:w="2189"/>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Attribution Mode</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Accuracy (%)</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Macro F1</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Weighted F1</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Precision</w:t>
            </w:r>
          </w:p>
        </w:tc>
      </w:tr>
      <w:tr>
        <w:tc>
          <w:tcPr>
            <w:tcW w:type="dxa" w:w="151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1</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2189"/>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Clustering (remap)</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63.00%</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0.3870</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0.5998</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0.3980</w:t>
            </w:r>
          </w:p>
        </w:tc>
      </w:tr>
      <w:tr>
        <w:tc>
          <w:tcPr>
            <w:tcW w:type="dxa" w:w="151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1</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2189"/>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Grounding ON</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0.00%</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0.0000</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0.0000</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0.0000</w:t>
            </w:r>
          </w:p>
        </w:tc>
      </w:tr>
      <w:tr>
        <w:tc>
          <w:tcPr>
            <w:tcW w:type="dxa" w:w="151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2</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2189"/>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Clustering (remap)</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70.73%</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0.5049</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0.6876</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0.5404</w:t>
            </w:r>
          </w:p>
        </w:tc>
      </w:tr>
      <w:tr>
        <w:tc>
          <w:tcPr>
            <w:tcW w:type="dxa" w:w="151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2</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2189"/>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Grounding ON</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44.27%</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0.3952</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0.4357</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0.4497</w:t>
            </w:r>
          </w:p>
        </w:tc>
      </w:tr>
      <w:tr>
        <w:tc>
          <w:tcPr>
            <w:tcW w:type="dxa" w:w="151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3</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Test Set</w:t>
            </w:r>
          </w:p>
        </w:tc>
        <w:tc>
          <w:tcPr>
            <w:tcW w:type="dxa" w:w="2189"/>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Clustering (remap)</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58.11%</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0.5916</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0.5968</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0.6555</w:t>
            </w:r>
          </w:p>
        </w:tc>
      </w:tr>
      <w:tr>
        <w:tc>
          <w:tcPr>
            <w:tcW w:type="dxa" w:w="151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3</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Test Set</w:t>
            </w:r>
          </w:p>
        </w:tc>
        <w:tc>
          <w:tcPr>
            <w:tcW w:type="dxa" w:w="2189"/>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Grounding ON</w:t>
            </w:r>
          </w:p>
        </w:tc>
        <w:tc>
          <w:tcPr>
            <w:tcW w:type="dxa" w:w="122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28.75%</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0.2783</w:t>
            </w:r>
          </w:p>
        </w:tc>
        <w:tc>
          <w:tcPr>
            <w:tcW w:type="dxa" w:w="1008"/>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0.2340</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0.2469</w:t>
            </w:r>
          </w:p>
        </w:tc>
      </w:tr>
    </w:tbl>
    <w:p>
      <w:pPr>
        <w:spacing w:before="120" w:after="40"/>
        <w:jc w:val="center"/>
      </w:pPr>
      <w:r>
        <w:drawing>
          <wp:inline xmlns:a="http://schemas.openxmlformats.org/drawingml/2006/main" xmlns:pic="http://schemas.openxmlformats.org/drawingml/2006/picture">
            <wp:extent cx="4114800" cy="3429000"/>
            <wp:docPr id="4" name="Picture 4"/>
            <wp:cNvGraphicFramePr>
              <a:graphicFrameLocks noChangeAspect="1"/>
            </wp:cNvGraphicFramePr>
            <a:graphic>
              <a:graphicData uri="http://schemas.openxmlformats.org/drawingml/2006/picture">
                <pic:pic>
                  <pic:nvPicPr>
                    <pic:cNvPr id="0" name="confusion_matrix_meeting_3_clustering_only.png"/>
                    <pic:cNvPicPr/>
                  </pic:nvPicPr>
                  <pic:blipFill>
                    <a:blip r:embed="rId11"/>
                    <a:stretch>
                      <a:fillRect/>
                    </a:stretch>
                  </pic:blipFill>
                  <pic:spPr>
                    <a:xfrm>
                      <a:off x="0" y="0"/>
                      <a:ext cx="4114800" cy="3429000"/>
                    </a:xfrm>
                    <a:prstGeom prst="rect"/>
                  </pic:spPr>
                </pic:pic>
              </a:graphicData>
            </a:graphic>
          </wp:inline>
        </w:drawing>
      </w:r>
    </w:p>
    <w:p>
      <w:pPr>
        <w:spacing w:after="200"/>
        <w:jc w:val="center"/>
      </w:pPr>
      <w:r>
        <w:rPr>
          <w:rFonts w:ascii="Times New Roman" w:hAnsi="Times New Roman"/>
          <w:i/>
          <w:color w:val="000000"/>
          <w:sz w:val="22"/>
        </w:rPr>
        <w:t>Figure 4.1: Frame Attribution Confusion Matrix on Meeting 3 (K-Means Clustering with Hungarian Remapping)</w:t>
      </w:r>
    </w:p>
    <w:p>
      <w:pPr>
        <w:spacing w:before="200" w:after="80"/>
        <w:jc w:val="center"/>
      </w:pPr>
      <w:r>
        <w:rPr>
          <w:rFonts w:ascii="Times New Roman" w:hAnsi="Times New Roman"/>
          <w:i/>
          <w:color w:val="000000"/>
          <w:sz w:val="22"/>
        </w:rPr>
        <w:t>Table 4.3: Action Items Extraction Performance (Precision, Recall, F1 across 11 Reference Commitments)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003"/>
        <w:gridCol w:w="1003"/>
        <w:gridCol w:w="1003"/>
        <w:gridCol w:w="1003"/>
        <w:gridCol w:w="1003"/>
        <w:gridCol w:w="1003"/>
        <w:gridCol w:w="1003"/>
        <w:gridCol w:w="1003"/>
        <w:gridCol w:w="1003"/>
      </w:tblGrid>
      <w:tr>
        <w:tc>
          <w:tcPr>
            <w:tcW w:type="dxa" w:w="194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Meeting ID</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Split</w:t>
            </w:r>
          </w:p>
        </w:tc>
        <w:tc>
          <w:tcPr>
            <w:tcW w:type="dxa" w:w="1152"/>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Pipeline Mode</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TP</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FP</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FN</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Precision</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Recall</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F1-Score</w:t>
            </w:r>
          </w:p>
        </w:tc>
      </w:tr>
      <w:tr>
        <w:tc>
          <w:tcPr>
            <w:tcW w:type="dxa" w:w="194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1 (2 ref)</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115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Fast Mode</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2</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r>
      <w:tr>
        <w:tc>
          <w:tcPr>
            <w:tcW w:type="dxa" w:w="194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1 (2 ref)</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115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Smart Mode</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2</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r>
      <w:tr>
        <w:tc>
          <w:tcPr>
            <w:tcW w:type="dxa" w:w="194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2 (6 ref)</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115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Fast Mode</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6</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r>
      <w:tr>
        <w:tc>
          <w:tcPr>
            <w:tcW w:type="dxa" w:w="194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2 (6 ref)</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Dev Set</w:t>
            </w:r>
          </w:p>
        </w:tc>
        <w:tc>
          <w:tcPr>
            <w:tcW w:type="dxa" w:w="115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Smart Mode</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5</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0.8333</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0.9091</w:t>
            </w:r>
          </w:p>
        </w:tc>
      </w:tr>
      <w:tr>
        <w:tc>
          <w:tcPr>
            <w:tcW w:type="dxa" w:w="194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3 (3 ref)</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Test Set</w:t>
            </w:r>
          </w:p>
        </w:tc>
        <w:tc>
          <w:tcPr>
            <w:tcW w:type="dxa" w:w="115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Fast Mode</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2</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0.6000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0.7500</w:t>
            </w:r>
          </w:p>
        </w:tc>
      </w:tr>
      <w:tr>
        <w:tc>
          <w:tcPr>
            <w:tcW w:type="dxa" w:w="194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Meeting 3 (3 ref)</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Test Set</w:t>
            </w:r>
          </w:p>
        </w:tc>
        <w:tc>
          <w:tcPr>
            <w:tcW w:type="dxa" w:w="1152"/>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Smart Mode</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3</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2</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0.6000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1.0000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val="0"/>
                <w:color w:val="000000"/>
                <w:sz w:val="19"/>
              </w:rPr>
              <w:t>0.7500</w:t>
            </w:r>
          </w:p>
        </w:tc>
      </w:tr>
      <w:tr>
        <w:tc>
          <w:tcPr>
            <w:tcW w:type="dxa" w:w="194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Pooled Aggregate (11)</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Combined</w:t>
            </w:r>
          </w:p>
        </w:tc>
        <w:tc>
          <w:tcPr>
            <w:tcW w:type="dxa" w:w="1152"/>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Fast Mode</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11</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2</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0.8462</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1.0000</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0.9167</w:t>
            </w:r>
          </w:p>
        </w:tc>
      </w:tr>
      <w:tr>
        <w:tc>
          <w:tcPr>
            <w:tcW w:type="dxa" w:w="194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Pooled Aggregate (11)</w:t>
            </w:r>
          </w:p>
        </w:tc>
        <w:tc>
          <w:tcPr>
            <w:tcW w:type="dxa" w:w="936"/>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Combined</w:t>
            </w:r>
          </w:p>
        </w:tc>
        <w:tc>
          <w:tcPr>
            <w:tcW w:type="dxa" w:w="1152"/>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Smart Mode</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10</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2</w:t>
            </w:r>
          </w:p>
        </w:tc>
        <w:tc>
          <w:tcPr>
            <w:tcW w:type="dxa" w:w="504"/>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1</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0.8333</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0.9091</w:t>
            </w:r>
          </w:p>
        </w:tc>
        <w:tc>
          <w:tcPr>
            <w:tcW w:type="dxa" w:w="893"/>
            <w:tcMar>
              <w:top w:w="40" w:type="dxa"/>
              <w:bottom w:w="40" w:type="dxa"/>
              <w:left w:w="50" w:type="dxa"/>
              <w:right w:w="50" w:type="dxa"/>
            </w:tcMar>
          </w:tcPr>
          <w:p>
            <w:pPr>
              <w:spacing w:line="276" w:lineRule="auto" w:before="20" w:after="20"/>
              <w:jc w:val="center"/>
            </w:pPr>
            <w:r>
              <w:rPr>
                <w:rFonts w:ascii="Times New Roman" w:hAnsi="Times New Roman"/>
                <w:b/>
                <w:color w:val="000000"/>
                <w:sz w:val="19"/>
              </w:rPr>
              <w:t>0.8696</w:t>
            </w:r>
          </w:p>
        </w:tc>
      </w:tr>
    </w:tbl>
    <w:p>
      <w:pPr>
        <w:spacing w:after="160"/>
      </w:pPr>
    </w:p>
    <w:p>
      <w:pPr>
        <w:spacing w:before="200" w:after="80"/>
        <w:jc w:val="center"/>
      </w:pPr>
      <w:r>
        <w:rPr>
          <w:rFonts w:ascii="Times New Roman" w:hAnsi="Times New Roman"/>
          <w:i/>
          <w:color w:val="000000"/>
          <w:sz w:val="22"/>
        </w:rPr>
        <w:t>Table 4.4: Summary Quality Scores, Linguistic Perspective (1st Person Pronouns), and Fluency Perplexity</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3"/>
        <w:gridCol w:w="903"/>
        <w:gridCol w:w="903"/>
        <w:gridCol w:w="903"/>
        <w:gridCol w:w="903"/>
        <w:gridCol w:w="903"/>
        <w:gridCol w:w="903"/>
        <w:gridCol w:w="903"/>
        <w:gridCol w:w="903"/>
        <w:gridCol w:w="903"/>
      </w:tblGrid>
      <w:tr>
        <w:tc>
          <w:tcPr>
            <w:tcW w:type="dxa" w:w="1037"/>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Meeting</w:t>
            </w:r>
          </w:p>
        </w:tc>
        <w:tc>
          <w:tcPr>
            <w:tcW w:type="dxa" w:w="1728"/>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Mode</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ROUGE-1</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ROUGE-2</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ROUGE-L</w:t>
            </w:r>
          </w:p>
        </w:tc>
        <w:tc>
          <w:tcPr>
            <w:tcW w:type="dxa" w:w="634"/>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BLEU</w:t>
            </w:r>
          </w:p>
        </w:tc>
        <w:tc>
          <w:tcPr>
            <w:tcW w:type="dxa" w:w="66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METEOR</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BERTScore</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1st Pronouns</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Perplexity</w:t>
            </w:r>
          </w:p>
        </w:tc>
      </w:tr>
      <w:tr>
        <w:tc>
          <w:tcPr>
            <w:tcW w:type="dxa" w:w="1037"/>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M1 (Dev)</w:t>
            </w:r>
          </w:p>
        </w:tc>
        <w:tc>
          <w:tcPr>
            <w:tcW w:type="dxa" w:w="1728"/>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Fast Key Moments</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0.5283</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0.3846</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0.4528</w:t>
            </w:r>
          </w:p>
        </w:tc>
        <w:tc>
          <w:tcPr>
            <w:tcW w:type="dxa" w:w="634"/>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0.2227</w:t>
            </w:r>
          </w:p>
        </w:tc>
        <w:tc>
          <w:tcPr>
            <w:tcW w:type="dxa" w:w="66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0.4190</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0.4497</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6</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N/A</w:t>
            </w:r>
          </w:p>
        </w:tc>
      </w:tr>
      <w:tr>
        <w:tc>
          <w:tcPr>
            <w:tcW w:type="dxa" w:w="1037"/>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M1 (Dev)</w:t>
            </w:r>
          </w:p>
        </w:tc>
        <w:tc>
          <w:tcPr>
            <w:tcW w:type="dxa" w:w="1728"/>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Smart MoM</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0.3929</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0.1636</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0.2500</w:t>
            </w:r>
          </w:p>
        </w:tc>
        <w:tc>
          <w:tcPr>
            <w:tcW w:type="dxa" w:w="634"/>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0.0833</w:t>
            </w:r>
          </w:p>
        </w:tc>
        <w:tc>
          <w:tcPr>
            <w:tcW w:type="dxa" w:w="66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0.3705</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0.3340</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53.48</w:t>
            </w:r>
          </w:p>
        </w:tc>
      </w:tr>
      <w:tr>
        <w:tc>
          <w:tcPr>
            <w:tcW w:type="dxa" w:w="1037"/>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M2 (Dev)</w:t>
            </w:r>
          </w:p>
        </w:tc>
        <w:tc>
          <w:tcPr>
            <w:tcW w:type="dxa" w:w="1728"/>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Fast Key Moments</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0.2319</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0.0882</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0.1449</w:t>
            </w:r>
          </w:p>
        </w:tc>
        <w:tc>
          <w:tcPr>
            <w:tcW w:type="dxa" w:w="634"/>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0.0270</w:t>
            </w:r>
          </w:p>
        </w:tc>
        <w:tc>
          <w:tcPr>
            <w:tcW w:type="dxa" w:w="66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0.2238</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-0.0163</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5</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N/A</w:t>
            </w:r>
          </w:p>
        </w:tc>
      </w:tr>
      <w:tr>
        <w:tc>
          <w:tcPr>
            <w:tcW w:type="dxa" w:w="1037"/>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M2 (Dev)</w:t>
            </w:r>
          </w:p>
        </w:tc>
        <w:tc>
          <w:tcPr>
            <w:tcW w:type="dxa" w:w="1728"/>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Smart MoM</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0.1760</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0.0325</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0.0960</w:t>
            </w:r>
          </w:p>
        </w:tc>
        <w:tc>
          <w:tcPr>
            <w:tcW w:type="dxa" w:w="634"/>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0.0189</w:t>
            </w:r>
          </w:p>
        </w:tc>
        <w:tc>
          <w:tcPr>
            <w:tcW w:type="dxa" w:w="66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0.1554</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0.1741</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31.90</w:t>
            </w:r>
          </w:p>
        </w:tc>
      </w:tr>
      <w:tr>
        <w:tc>
          <w:tcPr>
            <w:tcW w:type="dxa" w:w="1037"/>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M3 (Test)</w:t>
            </w:r>
          </w:p>
        </w:tc>
        <w:tc>
          <w:tcPr>
            <w:tcW w:type="dxa" w:w="1728"/>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Fast Key Moments</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0.2391</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0.0659</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0.1413</w:t>
            </w:r>
          </w:p>
        </w:tc>
        <w:tc>
          <w:tcPr>
            <w:tcW w:type="dxa" w:w="634"/>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0.0168</w:t>
            </w:r>
          </w:p>
        </w:tc>
        <w:tc>
          <w:tcPr>
            <w:tcW w:type="dxa" w:w="66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0.2238</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-0.0624</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3</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val="0"/>
                <w:color w:val="000000"/>
                <w:sz w:val="18"/>
              </w:rPr>
              <w:t>N/A</w:t>
            </w:r>
          </w:p>
        </w:tc>
      </w:tr>
      <w:tr>
        <w:tc>
          <w:tcPr>
            <w:tcW w:type="dxa" w:w="1037"/>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M3 (Test)</w:t>
            </w:r>
          </w:p>
        </w:tc>
        <w:tc>
          <w:tcPr>
            <w:tcW w:type="dxa" w:w="1728"/>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Smart MoM</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0.2963</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0.1509</w:t>
            </w:r>
          </w:p>
        </w:tc>
        <w:tc>
          <w:tcPr>
            <w:tcW w:type="dxa" w:w="749"/>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0.2037</w:t>
            </w:r>
          </w:p>
        </w:tc>
        <w:tc>
          <w:tcPr>
            <w:tcW w:type="dxa" w:w="634"/>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0.0291</w:t>
            </w:r>
          </w:p>
        </w:tc>
        <w:tc>
          <w:tcPr>
            <w:tcW w:type="dxa" w:w="66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0.1933</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0.3324</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0</w:t>
            </w:r>
          </w:p>
        </w:tc>
        <w:tc>
          <w:tcPr>
            <w:tcW w:type="dxa" w:w="792"/>
            <w:tcMar>
              <w:top w:w="40" w:type="dxa"/>
              <w:bottom w:w="40" w:type="dxa"/>
              <w:left w:w="40" w:type="dxa"/>
              <w:right w:w="40" w:type="dxa"/>
            </w:tcMar>
          </w:tcPr>
          <w:p>
            <w:pPr>
              <w:spacing w:line="276" w:lineRule="auto" w:before="20" w:after="20"/>
              <w:jc w:val="center"/>
            </w:pPr>
            <w:r>
              <w:rPr>
                <w:rFonts w:ascii="Times New Roman" w:hAnsi="Times New Roman"/>
                <w:b/>
                <w:color w:val="000000"/>
                <w:sz w:val="18"/>
              </w:rPr>
              <w:t>24.00</w:t>
            </w:r>
          </w:p>
        </w:tc>
      </w:tr>
    </w:tbl>
    <w:p>
      <w:pPr>
        <w:spacing w:before="120" w:after="40"/>
        <w:jc w:val="center"/>
      </w:pPr>
      <w:r>
        <w:drawing>
          <wp:inline xmlns:a="http://schemas.openxmlformats.org/drawingml/2006/main" xmlns:pic="http://schemas.openxmlformats.org/drawingml/2006/picture">
            <wp:extent cx="4389120" cy="2246780"/>
            <wp:docPr id="5" name="Picture 5"/>
            <wp:cNvGraphicFramePr>
              <a:graphicFrameLocks noChangeAspect="1"/>
            </wp:cNvGraphicFramePr>
            <a:graphic>
              <a:graphicData uri="http://schemas.openxmlformats.org/drawingml/2006/picture">
                <pic:pic>
                  <pic:nvPicPr>
                    <pic:cNvPr id="0" name="wordcloud_meeting_3.png"/>
                    <pic:cNvPicPr/>
                  </pic:nvPicPr>
                  <pic:blipFill>
                    <a:blip r:embed="rId12"/>
                    <a:stretch>
                      <a:fillRect/>
                    </a:stretch>
                  </pic:blipFill>
                  <pic:spPr>
                    <a:xfrm>
                      <a:off x="0" y="0"/>
                      <a:ext cx="4389120" cy="2246780"/>
                    </a:xfrm>
                    <a:prstGeom prst="rect"/>
                  </pic:spPr>
                </pic:pic>
              </a:graphicData>
            </a:graphic>
          </wp:inline>
        </w:drawing>
      </w:r>
    </w:p>
    <w:p>
      <w:pPr>
        <w:spacing w:after="200"/>
        <w:jc w:val="center"/>
      </w:pPr>
      <w:r>
        <w:rPr>
          <w:rFonts w:ascii="Times New Roman" w:hAnsi="Times New Roman"/>
          <w:i/>
          <w:color w:val="000000"/>
          <w:sz w:val="22"/>
        </w:rPr>
        <w:t>Figure 4.2: Dark-Themed Word Cloud Visual Analytics of Key Meeting Terminology</w:t>
      </w:r>
    </w:p>
    <w:p>
      <w:pPr>
        <w:spacing w:before="120" w:after="40"/>
        <w:jc w:val="center"/>
      </w:pPr>
      <w:r>
        <w:drawing>
          <wp:inline xmlns:a="http://schemas.openxmlformats.org/drawingml/2006/main" xmlns:pic="http://schemas.openxmlformats.org/drawingml/2006/picture">
            <wp:extent cx="4389120" cy="2510028"/>
            <wp:docPr id="6" name="Picture 6"/>
            <wp:cNvGraphicFramePr>
              <a:graphicFrameLocks noChangeAspect="1"/>
            </wp:cNvGraphicFramePr>
            <a:graphic>
              <a:graphicData uri="http://schemas.openxmlformats.org/drawingml/2006/picture">
                <pic:pic>
                  <pic:nvPicPr>
                    <pic:cNvPr id="0" name="bigram_graph_meeting_3.png"/>
                    <pic:cNvPicPr/>
                  </pic:nvPicPr>
                  <pic:blipFill>
                    <a:blip r:embed="rId13"/>
                    <a:stretch>
                      <a:fillRect/>
                    </a:stretch>
                  </pic:blipFill>
                  <pic:spPr>
                    <a:xfrm>
                      <a:off x="0" y="0"/>
                      <a:ext cx="4389120" cy="2510028"/>
                    </a:xfrm>
                    <a:prstGeom prst="rect"/>
                  </pic:spPr>
                </pic:pic>
              </a:graphicData>
            </a:graphic>
          </wp:inline>
        </w:drawing>
      </w:r>
    </w:p>
    <w:p>
      <w:pPr>
        <w:spacing w:after="200"/>
        <w:jc w:val="center"/>
      </w:pPr>
      <w:r>
        <w:rPr>
          <w:rFonts w:ascii="Times New Roman" w:hAnsi="Times New Roman"/>
          <w:i/>
          <w:color w:val="000000"/>
          <w:sz w:val="22"/>
        </w:rPr>
        <w:t>Figure 4.3: Bigram Association Network Graph Visualizing Conversational Topic Clusters</w:t>
      </w:r>
    </w:p>
    <w:p>
      <w:pPr>
        <w:spacing w:before="120" w:after="40"/>
        <w:jc w:val="center"/>
      </w:pPr>
      <w:r>
        <w:drawing>
          <wp:inline xmlns:a="http://schemas.openxmlformats.org/drawingml/2006/main" xmlns:pic="http://schemas.openxmlformats.org/drawingml/2006/picture">
            <wp:extent cx="4572000" cy="3048000"/>
            <wp:docPr id="7" name="Picture 7"/>
            <wp:cNvGraphicFramePr>
              <a:graphicFrameLocks noChangeAspect="1"/>
            </wp:cNvGraphicFramePr>
            <a:graphic>
              <a:graphicData uri="http://schemas.openxmlformats.org/drawingml/2006/picture">
                <pic:pic>
                  <pic:nvPicPr>
                    <pic:cNvPr id="0" name="minutes_tab.png"/>
                    <pic:cNvPicPr/>
                  </pic:nvPicPr>
                  <pic:blipFill>
                    <a:blip r:embed="rId14"/>
                    <a:stretch>
                      <a:fillRect/>
                    </a:stretch>
                  </pic:blipFill>
                  <pic:spPr>
                    <a:xfrm>
                      <a:off x="0" y="0"/>
                      <a:ext cx="4572000" cy="3048000"/>
                    </a:xfrm>
                    <a:prstGeom prst="rect"/>
                  </pic:spPr>
                </pic:pic>
              </a:graphicData>
            </a:graphic>
          </wp:inline>
        </w:drawing>
      </w:r>
    </w:p>
    <w:p>
      <w:pPr>
        <w:spacing w:after="200"/>
        <w:jc w:val="center"/>
      </w:pPr>
      <w:r>
        <w:rPr>
          <w:rFonts w:ascii="Times New Roman" w:hAnsi="Times New Roman"/>
          <w:i/>
          <w:color w:val="000000"/>
          <w:sz w:val="22"/>
        </w:rPr>
        <w:t>Figure 4.4: Streamlit Dashboard Minutes View with Extractive Key Moments and Action Items Table</w:t>
      </w:r>
    </w:p>
    <w:p>
      <w:pPr>
        <w:spacing w:before="120" w:after="40"/>
        <w:jc w:val="center"/>
      </w:pPr>
      <w:r>
        <w:drawing>
          <wp:inline xmlns:a="http://schemas.openxmlformats.org/drawingml/2006/main" xmlns:pic="http://schemas.openxmlformats.org/drawingml/2006/picture">
            <wp:extent cx="4572000" cy="3048000"/>
            <wp:docPr id="8" name="Picture 8"/>
            <wp:cNvGraphicFramePr>
              <a:graphicFrameLocks noChangeAspect="1"/>
            </wp:cNvGraphicFramePr>
            <a:graphic>
              <a:graphicData uri="http://schemas.openxmlformats.org/drawingml/2006/picture">
                <pic:pic>
                  <pic:nvPicPr>
                    <pic:cNvPr id="0" name="speakers_tab.png"/>
                    <pic:cNvPicPr/>
                  </pic:nvPicPr>
                  <pic:blipFill>
                    <a:blip r:embed="rId15"/>
                    <a:stretch>
                      <a:fillRect/>
                    </a:stretch>
                  </pic:blipFill>
                  <pic:spPr>
                    <a:xfrm>
                      <a:off x="0" y="0"/>
                      <a:ext cx="4572000" cy="3048000"/>
                    </a:xfrm>
                    <a:prstGeom prst="rect"/>
                  </pic:spPr>
                </pic:pic>
              </a:graphicData>
            </a:graphic>
          </wp:inline>
        </w:drawing>
      </w:r>
    </w:p>
    <w:p>
      <w:pPr>
        <w:spacing w:after="200"/>
        <w:jc w:val="center"/>
      </w:pPr>
      <w:r>
        <w:rPr>
          <w:rFonts w:ascii="Times New Roman" w:hAnsi="Times New Roman"/>
          <w:i/>
          <w:color w:val="000000"/>
          <w:sz w:val="22"/>
        </w:rPr>
        <w:t>Figure 4.5: Streamlit Dashboard Speakers View with Cluster Renaming and Talk-Time Percentage Bars</w:t>
      </w:r>
    </w:p>
    <w:p>
      <w:r>
        <w:br w:type="page"/>
      </w:r>
    </w:p>
    <w:p>
      <w:pPr>
        <w:spacing w:before="240" w:after="40" w:line="360" w:lineRule="auto"/>
        <w:jc w:val="center"/>
      </w:pPr>
      <w:r>
        <w:rPr>
          <w:rFonts w:ascii="Times New Roman" w:hAnsi="Times New Roman"/>
          <w:b/>
          <w:i w:val="0"/>
          <w:color w:val="000000"/>
          <w:sz w:val="28"/>
        </w:rPr>
        <w:t>CHAPTER 5</w:t>
      </w:r>
    </w:p>
    <w:p>
      <w:pPr>
        <w:spacing w:before="0" w:after="280" w:line="360" w:lineRule="auto"/>
        <w:jc w:val="center"/>
      </w:pPr>
      <w:r>
        <w:rPr>
          <w:rFonts w:ascii="Times New Roman" w:hAnsi="Times New Roman"/>
          <w:b/>
          <w:i w:val="0"/>
          <w:color w:val="000000"/>
          <w:sz w:val="28"/>
        </w:rPr>
        <w:t>CONCLUSION AND FUTURE WORK</w:t>
      </w:r>
    </w:p>
    <w:p>
      <w:pPr>
        <w:spacing w:before="200" w:after="80" w:line="360" w:lineRule="auto"/>
        <w:jc w:val="left"/>
      </w:pPr>
      <w:r>
        <w:rPr>
          <w:rFonts w:ascii="Times New Roman" w:hAnsi="Times New Roman"/>
          <w:b/>
          <w:i w:val="0"/>
          <w:color w:val="000000"/>
          <w:sz w:val="24"/>
        </w:rPr>
        <w:t>5.1 Summary of the Contributions</w:t>
      </w:r>
    </w:p>
    <w:p>
      <w:pPr>
        <w:spacing w:line="360" w:lineRule="auto" w:after="200"/>
        <w:jc w:val="both"/>
      </w:pPr>
      <w:r>
        <w:t>VoxIntel demonstrates that enterprise-grade speech transcription, acoustic speaker clustering, and natural language MoM synthesis can be achieved completely offline on standard commodity personal computers without external cloud APIs. Key engineering contributions include:</w:t>
        <w:br/>
        <w:t>• High Accuracy Speech Recognition on CPU: Int8-quantized faster-whisper base achieved 3.48% WER on dev audio and 5.58% WER on held-out test recordings at 0.06x real-time latency, cutting errors by nearly half compared to tiny models.</w:t>
        <w:br/>
        <w:t>• Unsupervised Acoustic Clustering: Extracting 18 vocal tract features and clustering via K-Means achieved 58.11% frame-level attribution accuracy on unseen speakers in under 0.8s without external neural models.</w:t>
        <w:br/>
        <w:t>• Deterministic Commitment Extraction: Regex heuristics extracted action items with 100% recall (F1 = 0.9167) across 11 reference commitments, binding tasks to segment speakers and standardizing deadlines.</w:t>
        <w:br/>
        <w:t>• Editorial Third-Person MoM Synthesis: Locally served Ollama 3B models synthesized corporate minutes with exactly 0 first-person pronouns and bigram fluency perplexity of 24.0, resolving conversational ambiguity.</w:t>
      </w:r>
    </w:p>
    <w:p>
      <w:pPr>
        <w:spacing w:before="200" w:after="80" w:line="360" w:lineRule="auto"/>
        <w:jc w:val="left"/>
      </w:pPr>
      <w:r>
        <w:rPr>
          <w:rFonts w:ascii="Times New Roman" w:hAnsi="Times New Roman"/>
          <w:b/>
          <w:i w:val="0"/>
          <w:color w:val="000000"/>
          <w:sz w:val="24"/>
        </w:rPr>
        <w:t>5.2 Future Work</w:t>
      </w:r>
    </w:p>
    <w:p>
      <w:pPr>
        <w:spacing w:line="360" w:lineRule="auto" w:after="200"/>
        <w:jc w:val="both"/>
      </w:pPr>
      <w:r>
        <w:t>Future research and development will focus on four strategic avenues:</w:t>
        <w:br/>
        <w:t>1. Real-Time Streaming Telemetry: Implementing WebSockets-based streaming chunk ASR for live captioning and instant commitment popups during active calls.</w:t>
        <w:br/>
        <w:t>2. Lightweight Neural Diarization: Incorporating quantized ONNX speaker embedding models (Sherpa-ONNX, Resemblyzer) to improve clustering purity on short interjections.</w:t>
        <w:br/>
        <w:t>3. Multi-Lingual &amp; Code-Switched Prompting: Expanding vocabulary prompt conditioning to support code-switched multi-lingual enterprise meetings (e.g., Hinglish, Spanglish).</w:t>
        <w:br/>
        <w:t>4. Enterprise Workflow Webhooks: Creating automated API integrations to export verified commitments directly to Jira, GitHub Issues, and Google Calendar.</w:t>
      </w:r>
    </w:p>
    <w:p>
      <w:r>
        <w:br w:type="page"/>
      </w:r>
    </w:p>
    <w:p>
      <w:pPr>
        <w:spacing w:before="200" w:after="320" w:line="360" w:lineRule="auto"/>
        <w:jc w:val="center"/>
      </w:pPr>
      <w:r>
        <w:rPr>
          <w:rFonts w:ascii="Times New Roman" w:hAnsi="Times New Roman"/>
          <w:b/>
          <w:i w:val="0"/>
          <w:color w:val="000000"/>
          <w:sz w:val="32"/>
        </w:rPr>
        <w:t>REFERENCES</w:t>
      </w:r>
    </w:p>
    <w:p>
      <w:pPr>
        <w:spacing w:after="160" w:line="312" w:lineRule="auto"/>
        <w:jc w:val="both"/>
      </w:pPr>
      <w:r>
        <w:rPr>
          <w:rFonts w:ascii="Times New Roman" w:hAnsi="Times New Roman"/>
          <w:color w:val="000000"/>
          <w:sz w:val="22"/>
        </w:rPr>
        <w:t>[1] A. Radford, J. W. Kim, T. Xu, G. Brockman, C. McLeavey, and I. Sutskever, "Robust Speech Recognition via Large-Scale Weak Supervision," in Proceedings of the 40th International Conference on Machine Learning (ICML), vol. 202, pp. 28492-28518, 2023.</w:t>
      </w:r>
    </w:p>
    <w:p>
      <w:pPr>
        <w:spacing w:after="160" w:line="312" w:lineRule="auto"/>
        <w:jc w:val="both"/>
      </w:pPr>
      <w:r>
        <w:rPr>
          <w:rFonts w:ascii="Times New Roman" w:hAnsi="Times New Roman"/>
          <w:color w:val="000000"/>
          <w:sz w:val="22"/>
        </w:rPr>
        <w:t>[2] G. Klein, D. Nguyen, J. Senellart, and A. M. Rush, "OpenNMT and CTranslate2: Fast Inference for Neural Machine Translation and Speech Recognition," in Proceedings of ACL System Demonstrations, pp. 177-183, 2020.</w:t>
      </w:r>
    </w:p>
    <w:p>
      <w:pPr>
        <w:spacing w:after="160" w:line="312" w:lineRule="auto"/>
        <w:jc w:val="both"/>
      </w:pPr>
      <w:r>
        <w:rPr>
          <w:rFonts w:ascii="Times New Roman" w:hAnsi="Times New Roman"/>
          <w:color w:val="000000"/>
          <w:sz w:val="22"/>
        </w:rPr>
        <w:t>[3] R. Mihalcea and P. Tarau, "TextRank: Bringing Order into Text," in Proceedings of the Conference on Empirical Methods in Natural Language Processing (EMNLP), pp. 404-411, 2004.</w:t>
      </w:r>
    </w:p>
    <w:p>
      <w:pPr>
        <w:spacing w:after="160" w:line="312" w:lineRule="auto"/>
        <w:jc w:val="both"/>
      </w:pPr>
      <w:r>
        <w:rPr>
          <w:rFonts w:ascii="Times New Roman" w:hAnsi="Times New Roman"/>
          <w:color w:val="000000"/>
          <w:sz w:val="22"/>
        </w:rPr>
        <w:t>[4] Silero Team, "Silero VAD: Pre-trained Enterprise-Grade Voice Activity Detector," GitHub repository, https://github.com/snakers4/silero-vad, 2021.</w:t>
      </w:r>
    </w:p>
    <w:p>
      <w:pPr>
        <w:spacing w:after="160" w:line="312" w:lineRule="auto"/>
        <w:jc w:val="both"/>
      </w:pPr>
      <w:r>
        <w:rPr>
          <w:rFonts w:ascii="Times New Roman" w:hAnsi="Times New Roman"/>
          <w:color w:val="000000"/>
          <w:sz w:val="22"/>
        </w:rPr>
        <w:t>[5] A. de Cheveigné and H. Kawahara, "YIN, a Fundamental Frequency Estimator for Speech and Music," Journal of the Acoustical Society of America, vol. 111, no. 4, pp. 1917-1930, 2002.</w:t>
      </w:r>
    </w:p>
    <w:p>
      <w:pPr>
        <w:spacing w:after="160" w:line="312" w:lineRule="auto"/>
        <w:jc w:val="both"/>
      </w:pPr>
      <w:r>
        <w:rPr>
          <w:rFonts w:ascii="Times New Roman" w:hAnsi="Times New Roman"/>
          <w:color w:val="000000"/>
          <w:sz w:val="22"/>
        </w:rPr>
        <w:t>[6] T. Zhang, V. Kishore, F. Wu, K. Q. Weinberger, and Y. Artzi, "BERTScore: Evaluating Text Generation with BERT," in Proceedings of the International Conference on Learning Representations (ICLR), 2020.</w:t>
      </w:r>
    </w:p>
    <w:p>
      <w:pPr>
        <w:spacing w:after="160" w:line="312" w:lineRule="auto"/>
        <w:jc w:val="both"/>
      </w:pPr>
      <w:r>
        <w:rPr>
          <w:rFonts w:ascii="Times New Roman" w:hAnsi="Times New Roman"/>
          <w:color w:val="000000"/>
          <w:sz w:val="22"/>
        </w:rPr>
        <w:t>[7] C. Y. Lin, "ROUGE: A Package for Automatic Evaluation of Summaries," in Text Summarization Branches Out, pp. 74-81, 2004.</w:t>
      </w:r>
    </w:p>
    <w:p>
      <w:pPr>
        <w:spacing w:after="160" w:line="312" w:lineRule="auto"/>
        <w:jc w:val="both"/>
      </w:pPr>
      <w:r>
        <w:rPr>
          <w:rFonts w:ascii="Times New Roman" w:hAnsi="Times New Roman"/>
          <w:color w:val="000000"/>
          <w:sz w:val="22"/>
        </w:rPr>
        <w:t>[8] K. Papineni, S. Roukos, T. Ward, and W. J. Zhu, "BLEU: A Method for Automatic Evaluation of Machine Translation," in Proceedings of the 40th Annual Meeting of the Association for Computational Linguistics (ACL), pp. 311-318, 2002.</w:t>
      </w:r>
    </w:p>
    <w:p>
      <w:pPr>
        <w:spacing w:after="160" w:line="312" w:lineRule="auto"/>
        <w:jc w:val="both"/>
      </w:pPr>
      <w:r>
        <w:rPr>
          <w:rFonts w:ascii="Times New Roman" w:hAnsi="Times New Roman"/>
          <w:color w:val="000000"/>
          <w:sz w:val="22"/>
        </w:rPr>
        <w:t>[9] S. Banerjee and A. Lavie, "METEOR: An Automatic Metric for MT Evaluation with Improved Correlation with Human Judgments," in Proceedings of the ACL Workshop on Intrinsic and Extrinsic Evaluation Measures, pp. 65-72, 2005.</w:t>
      </w:r>
    </w:p>
    <w:p>
      <w:pPr>
        <w:spacing w:after="160" w:line="312" w:lineRule="auto"/>
        <w:jc w:val="both"/>
      </w:pPr>
      <w:r>
        <w:rPr>
          <w:rFonts w:ascii="Times New Roman" w:hAnsi="Times New Roman"/>
          <w:color w:val="000000"/>
          <w:sz w:val="22"/>
        </w:rPr>
        <w:t>[10] Ollama Team, "Ollama: Get Up and Running with Large Language Models Locally," https://ollama.com, 2024.</w:t>
      </w:r>
    </w:p>
    <w:p>
      <w:r>
        <w:br w:type="page"/>
      </w:r>
    </w:p>
    <w:p>
      <w:pPr>
        <w:spacing w:before="200" w:after="40" w:line="360" w:lineRule="auto"/>
        <w:jc w:val="center"/>
      </w:pPr>
      <w:r>
        <w:rPr>
          <w:rFonts w:ascii="Times New Roman" w:hAnsi="Times New Roman"/>
          <w:b/>
          <w:i w:val="0"/>
          <w:color w:val="000000"/>
          <w:sz w:val="32"/>
        </w:rPr>
        <w:t>APPENDIX</w:t>
      </w:r>
    </w:p>
    <w:p>
      <w:pPr>
        <w:spacing w:before="0" w:after="320" w:line="360" w:lineRule="auto"/>
        <w:jc w:val="center"/>
      </w:pPr>
      <w:r>
        <w:rPr>
          <w:rFonts w:ascii="Times New Roman" w:hAnsi="Times New Roman"/>
          <w:b/>
          <w:i w:val="0"/>
          <w:color w:val="000000"/>
          <w:sz w:val="28"/>
        </w:rPr>
        <w:t>COMPLETE PYTHON SOURCE CODE</w:t>
      </w:r>
    </w:p>
    <w:p>
      <w:pPr>
        <w:spacing w:line="360" w:lineRule="auto" w:after="200"/>
        <w:jc w:val="both"/>
      </w:pPr>
      <w:r>
        <w:t>Below is the complete, modular Python implementation of the core VoxIntel pipeline modules: voxintel/nlp_eval.py (evaluation metrics, word clouds &amp; bigram graphs), voxintel/audio.py (faster-whisper base int8 ASR with VAD), voxintel/insights.py (TextRank summarization &amp; action item extraction), and voxintel/ollama_polish.py (local Ollama third-person MoM synthesis).</w:t>
      </w:r>
    </w:p>
    <w:p>
      <w:pPr>
        <w:spacing w:before="200" w:after="80" w:line="360" w:lineRule="auto"/>
        <w:jc w:val="left"/>
      </w:pPr>
      <w:r>
        <w:rPr>
          <w:rFonts w:ascii="Times New Roman" w:hAnsi="Times New Roman"/>
          <w:b/>
          <w:i w:val="0"/>
          <w:color w:val="000000"/>
          <w:sz w:val="24"/>
        </w:rPr>
        <w:t>voxintel/nlp_eval.py (Evaluation Metrics, Word Clouds &amp; Bigram Graphs)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9"/>
      </w:tblGrid>
      <w:tr>
        <w:tc>
          <w:tcPr>
            <w:tcW w:type="dxa" w:w="9029"/>
            <w:tcMar>
              <w:top w:w="60" w:type="dxa"/>
              <w:bottom w:w="60" w:type="dxa"/>
              <w:left w:w="80" w:type="dxa"/>
              <w:right w:w="80" w:type="dxa"/>
            </w:tcMar>
          </w:tcPr>
          <w:p>
            <w:pPr>
              <w:spacing w:line="252" w:lineRule="auto" w:after="40"/>
            </w:pPr>
            <w:r>
              <w:rPr>
                <w:rFonts w:ascii="Consolas" w:hAnsi="Consolas"/>
                <w:color w:val="000000"/>
                <w:sz w:val="16"/>
              </w:rPr>
              <w:t>from __future__ import annotations</w:t>
              <w:br/>
              <w:br/>
              <w:t>import math</w:t>
              <w:br/>
              <w:t>import re</w:t>
              <w:br/>
              <w:t>from collections import Counter</w:t>
              <w:br/>
              <w:t>from pathlib import Path</w:t>
              <w:br/>
              <w:t>from typing import Any</w:t>
              <w:br/>
              <w:br/>
              <w:t>import matplotlib</w:t>
              <w:br/>
              <w:t>matplotlib.use("Agg")</w:t>
              <w:br/>
              <w:t>import matplotlib.pyplot as plt</w:t>
              <w:br/>
              <w:t>import networkx as nx</w:t>
              <w:br/>
              <w:t>import numpy as np</w:t>
              <w:br/>
              <w:t>from wordcloud import WordCloud</w:t>
              <w:br/>
              <w:br/>
              <w:t># Color palette tokens matching the UI theme</w:t>
              <w:br/>
              <w:t>DARK_BG = "#0E0F12"</w:t>
              <w:br/>
              <w:t>SURFACE_BG = "#16181D"</w:t>
              <w:br/>
              <w:t>CARD_BG = "#1E2128"</w:t>
              <w:br/>
              <w:t>BORDER_COLOR = "#2A2E37"</w:t>
              <w:br/>
              <w:t>TEXT_PRIMARY = "#ECE8E1"</w:t>
              <w:br/>
              <w:t>TEXT_MUTED = "#9AA0AB"</w:t>
              <w:br/>
              <w:t>ACCENT_AMBER = "#FFB020"</w:t>
              <w:br/>
              <w:t>SPEAKER_PALETTE = ["#4EA8DE", "#F2A65A", "#7BD389", "#C792EA", "#F07178"]</w:t>
              <w:br/>
              <w:br/>
              <w:t>STOPWORDS = {</w:t>
              <w:br/>
              <w:t xml:space="preserve">    "the", "a", "an", "and", "or", "but", "in", "on", "at", "to", "for", "with", "by", "about",</w:t>
              <w:br/>
              <w:t xml:space="preserve">    "against", "between", "into", "through", "during", "before", "after", "above", "below", "from",</w:t>
              <w:br/>
              <w:t xml:space="preserve">    "up", "down", "in", "out", "off", "over", "under", "again", "further", "then", "once", "here",</w:t>
              <w:br/>
              <w:t xml:space="preserve">    "there", "when", "where", "why", "how", "all", "any", "both", "each", "few", "more", "most",</w:t>
              <w:br/>
              <w:t xml:space="preserve">    "other", "some", "such", "no", "nor", "not", "only", "own", "same", "so", "than", "too", "very",</w:t>
              <w:br/>
              <w:t xml:space="preserve">    "s", "t", "can", "will", "just", "don", "should", "now", "we", "i", "you", "they", "he", "she",</w:t>
              <w:br/>
              <w:t xml:space="preserve">    "it", "our", "my", "your", "their", "his", "her", "its", "us", "me", "him", "them", "re", "ve",</w:t>
              <w:br/>
              <w:t xml:space="preserve">    "ll", "d", "m", "let", "s", "good", "morning", "team", "wrap", "up", "yeah", "okay", "um", "uh"</w:t>
              <w:br/>
              <w:t>}</w:t>
              <w:br/>
              <w:br/>
              <w:br/>
              <w:t>def _clean_tokens(text: str) -&gt; list[str]:</w:t>
              <w:br/>
              <w:t xml:space="preserve">    clean = re.sub(r"\[\d{2}:\d{2}(?::\d{2})?\]|[A-Za-z0-9_-]+:", " ", text)</w:t>
              <w:br/>
              <w:t xml:space="preserve">    tokens = [w.lower() for w in re.findall(r"\b[a-zA-Z]{3,}\b", clean)]</w:t>
              <w:br/>
              <w:t xml:space="preserve">    return [t for t in tokens if t not in STOPWORDS]</w:t>
              <w:br/>
              <w:br/>
              <w:br/>
              <w:t>def make_wordcloud(transcript: str, width: int = 800, height: int = 400) -&gt; plt.Figure:</w:t>
              <w:br/>
              <w:t xml:space="preserve">    """Generate a word cloud styled to match the dark studio console theme."""</w:t>
              <w:br/>
              <w:t xml:space="preserve">    tokens = _clean_tokens(transcript)</w:t>
              <w:br/>
              <w:t xml:space="preserve">    text = " ".join(tokens) if tokens else "meeting notes discussion"</w:t>
              <w:br/>
              <w:br/>
              <w:t xml:space="preserve">    def amber_speaker_color_func(word, font_size, position, orientation, random_state=None, **kwargs):</w:t>
              <w:br/>
              <w:t xml:space="preserve">        colors = [ACCENT_AMBER] + SPEAKER_PALETTE</w:t>
              <w:br/>
              <w:t xml:space="preserve">        idx = (hash(word) % len(colors))</w:t>
              <w:br/>
              <w:t xml:space="preserve">        return colors[idx]</w:t>
              <w:br/>
              <w:br/>
              <w:t xml:space="preserve">    wc = WordCloud(</w:t>
              <w:br/>
              <w:t xml:space="preserve">        width=width,</w:t>
              <w:br/>
              <w:t xml:space="preserve">        height=height,</w:t>
              <w:br/>
              <w:t xml:space="preserve">        background_color=DARK_BG,</w:t>
              <w:br/>
              <w:t xml:space="preserve">        color_func=amber_speaker_color_func,</w:t>
              <w:br/>
              <w:t xml:space="preserve">        max_words=60,</w:t>
              <w:br/>
              <w:t xml:space="preserve">        prefer_horizontal=0.85,</w:t>
              <w:br/>
              <w:t xml:space="preserve">        random_state=42,</w:t>
              <w:br/>
              <w:t xml:space="preserve">    ).generate(text)</w:t>
              <w:br/>
              <w:br/>
              <w:t xml:space="preserve">    fig, ax = plt.subplots(figsize=(8, 4), facecolor=DARK_BG)</w:t>
              <w:br/>
              <w:t xml:space="preserve">    ax.imshow(wc, interpolation="bilinear")</w:t>
              <w:br/>
              <w:t xml:space="preserve">    ax.axis("off")</w:t>
              <w:br/>
              <w:t xml:space="preserve">    fig.patch.set_facecolor(DARK_BG)</w:t>
              <w:br/>
              <w:t xml:space="preserve">    plt.tight_layout(pad=0)</w:t>
              <w:br/>
              <w:t xml:space="preserve">    return fig</w:t>
              <w:br/>
              <w:br/>
              <w:br/>
              <w:t>def make_bigram_graph(transcript: str, top_n: int = 14) -&gt; plt.Figure:</w:t>
              <w:br/>
              <w:t xml:space="preserve">    """Generate a bigram network graph with dark editorial styling."""</w:t>
              <w:br/>
              <w:t xml:space="preserve">    tokens = _clean_tokens(transcript)</w:t>
              <w:br/>
              <w:t xml:space="preserve">    bigrams = list(zip(tokens[:-1], tokens[1:]))</w:t>
              <w:br/>
              <w:t xml:space="preserve">    bigram_counts = Counter(bigrams)</w:t>
              <w:br/>
              <w:br/>
              <w:t xml:space="preserve">    top_bigrams = [item for item in bigram_counts.most_common(top_n) if item[0][0] != item[0][1]]</w:t>
              <w:br/>
              <w:br/>
              <w:t xml:space="preserve">    fig, ax = plt.subplots(figsize=(8, 4.5), facecolor=DARK_BG)</w:t>
              <w:br/>
              <w:t xml:space="preserve">    fig.patch.set_facecolor(DARK_BG)</w:t>
              <w:br/>
              <w:t xml:space="preserve">    ax.set_facecolor(DARK_BG)</w:t>
              <w:br/>
              <w:br/>
              <w:t xml:space="preserve">    if not top_bigrams:</w:t>
              <w:br/>
              <w:t xml:space="preserve">        ax.text(0.5, 0.5, "Insufficient bigrams detected", color=TEXT_MUTED, ha="center", va="center")</w:t>
              <w:br/>
              <w:br/>
              <w:t># ... [Truncated: 324 additional lines in production codebase] ...</w:t>
            </w:r>
          </w:p>
        </w:tc>
      </w:tr>
    </w:tbl>
    <w:p>
      <w:pPr>
        <w:spacing w:after="160"/>
      </w:pPr>
    </w:p>
    <w:p>
      <w:pPr>
        <w:spacing w:before="200" w:after="80" w:line="360" w:lineRule="auto"/>
        <w:jc w:val="left"/>
      </w:pPr>
      <w:r>
        <w:rPr>
          <w:rFonts w:ascii="Times New Roman" w:hAnsi="Times New Roman"/>
          <w:b/>
          <w:i w:val="0"/>
          <w:color w:val="000000"/>
          <w:sz w:val="24"/>
        </w:rPr>
        <w:t>voxintel/audio.py (faster-whisper base int8 ASR with VAD)</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9"/>
      </w:tblGrid>
      <w:tr>
        <w:tc>
          <w:tcPr>
            <w:tcW w:type="dxa" w:w="9029"/>
            <w:tcMar>
              <w:top w:w="60" w:type="dxa"/>
              <w:bottom w:w="60" w:type="dxa"/>
              <w:left w:w="80" w:type="dxa"/>
              <w:right w:w="80" w:type="dxa"/>
            </w:tcMar>
          </w:tcPr>
          <w:p>
            <w:pPr>
              <w:spacing w:line="252" w:lineRule="auto" w:after="40"/>
            </w:pPr>
            <w:r>
              <w:rPr>
                <w:rFonts w:ascii="Consolas" w:hAnsi="Consolas"/>
                <w:color w:val="000000"/>
                <w:sz w:val="16"/>
              </w:rPr>
              <w:t>from __future__ import annotations</w:t>
              <w:br/>
              <w:br/>
              <w:t>import contextlib</w:t>
              <w:br/>
              <w:t>import json</w:t>
              <w:br/>
              <w:t>import shutil</w:t>
              <w:br/>
              <w:t>import subprocess</w:t>
              <w:br/>
              <w:t>import tempfile</w:t>
              <w:br/>
              <w:t>from functools import lru_cache</w:t>
              <w:br/>
              <w:t>from pathlib import Path</w:t>
              <w:br/>
              <w:br/>
              <w:t>SUPPORTED_AUDIO_EXTENSIONS = {".wav", ".mp3"}</w:t>
              <w:br/>
              <w:t>SUPPORTED_TEXT_EXTENSIONS = {".txt"}</w:t>
              <w:br/>
              <w:t>VOSK_MODEL_DIR = Path(__file__).resolve().parents[1] / "data" / "models" / "vosk-model-small-en-us-0.15"</w:t>
              <w:br/>
              <w:br/>
              <w:br/>
              <w:t>class TranscriptionError(RuntimeError):</w:t>
              <w:br/>
              <w:t xml:space="preserve">    """Raised when VoxIntel cannot transcribe an audio file."""</w:t>
              <w:br/>
              <w:br/>
              <w:br/>
              <w:t>def validate_input_file(file_path: str | Path) -&gt; Path:</w:t>
              <w:br/>
              <w:t xml:space="preserve">    path = Path(file_path)</w:t>
              <w:br/>
              <w:t xml:space="preserve">    if not path.exists():</w:t>
              <w:br/>
              <w:t xml:space="preserve">        raise FileNotFoundError(f"File not found: {path}")</w:t>
              <w:br/>
              <w:t xml:space="preserve">    if path.suffix.lower() not in SUPPORTED_AUDIO_EXTENSIONS | SUPPORTED_TEXT_EXTENSIONS:</w:t>
              <w:br/>
              <w:t xml:space="preserve">        raise ValueError("Unsupported file type. Use .wav, .mp3, or .txt.")</w:t>
              <w:br/>
              <w:t xml:space="preserve">    return path</w:t>
              <w:br/>
              <w:br/>
              <w:br/>
              <w:t>def load_transcript(file_path: str | Path) -&gt; str:</w:t>
              <w:br/>
              <w:t xml:space="preserve">    path = validate_input_file(file_path)</w:t>
              <w:br/>
              <w:t xml:space="preserve">    if path.suffix.lower() != ".txt":</w:t>
              <w:br/>
              <w:t xml:space="preserve">        raise ValueError("Transcript loading expects a .txt file.")</w:t>
              <w:br/>
              <w:t xml:space="preserve">    return path.read_text(encoding="utf-8").strip()</w:t>
              <w:br/>
              <w:br/>
              <w:br/>
              <w:t>def _prepare_audio_file(path: Path) -&gt; Path:</w:t>
              <w:br/>
              <w:t xml:space="preserve">    ffmpeg_path = _find_ffmpeg()</w:t>
              <w:br/>
              <w:t xml:space="preserve">    if not ffmpeg_path:</w:t>
              <w:br/>
              <w:t xml:space="preserve">        raise TranscriptionError(</w:t>
              <w:br/>
              <w:t xml:space="preserve">            "Audio preprocessing needs ffmpeg, but VoxIntel could not find it in this environment."</w:t>
              <w:br/>
              <w:t xml:space="preserve">        )</w:t>
              <w:br/>
              <w:br/>
              <w:t xml:space="preserve">    temp_dir = Path(tempfile.mkdtemp(prefix="voxintel_audio_"))</w:t>
              <w:br/>
              <w:t xml:space="preserve">    temp_path = temp_dir / "decoded.wav"</w:t>
              <w:br/>
              <w:br/>
              <w:t xml:space="preserve">    try:</w:t>
              <w:br/>
              <w:t xml:space="preserve">        completed = _run_ffmpeg_decode(</w:t>
              <w:br/>
              <w:t xml:space="preserve">            ffmpeg_path=ffmpeg_path,</w:t>
              <w:br/>
              <w:t xml:space="preserve">            source_path=path,</w:t>
              <w:br/>
              <w:t xml:space="preserve">            output_path=temp_path,</w:t>
              <w:br/>
              <w:t xml:space="preserve">            enhance_audio=True,</w:t>
              <w:br/>
              <w:t xml:space="preserve">        )</w:t>
              <w:br/>
              <w:t xml:space="preserve">    except Exception as exc:  # pragma: no cover - environment-specific process failure</w:t>
              <w:br/>
              <w:t xml:space="preserve">        temp_path.unlink(missing_ok=True)</w:t>
              <w:br/>
              <w:t xml:space="preserve">        raise TranscriptionError(</w:t>
              <w:br/>
              <w:t xml:space="preserve">            "VoxIntel could not start ffmpeg to preprocess this audio file."</w:t>
              <w:br/>
              <w:t xml:space="preserve">        ) from exc</w:t>
              <w:br/>
              <w:br/>
              <w:t xml:space="preserve">    if completed.returncode != 0 or not temp_path.exists() or temp_path.stat().st_size == 0:</w:t>
              <w:br/>
              <w:t xml:space="preserve">        completed = _run_ffmpeg_decode(</w:t>
              <w:br/>
              <w:t xml:space="preserve">            ffmpeg_path=ffmpeg_path,</w:t>
              <w:br/>
              <w:t xml:space="preserve">            source_path=path,</w:t>
              <w:br/>
              <w:t xml:space="preserve">            output_path=temp_path,</w:t>
              <w:br/>
              <w:t xml:space="preserve">            enhance_audio=False,</w:t>
              <w:br/>
              <w:t xml:space="preserve">        )</w:t>
              <w:br/>
              <w:br/>
              <w:t xml:space="preserve">    if completed.returncode != 0 or not temp_path.exists() or temp_path.stat().st_size == 0:</w:t>
              <w:br/>
              <w:t xml:space="preserve">        temp_path.unlink(missing_ok=True)</w:t>
              <w:br/>
              <w:t xml:space="preserve">        temp_dir.rmdir()</w:t>
              <w:br/>
              <w:t xml:space="preserve">        stderr_tail = (completed.stderr or "").strip().splitlines()[-1:] if completed.stderr else []</w:t>
              <w:br/>
              <w:t xml:space="preserve">        detail = f" Details: {stderr_tail[0]}" if stderr_tail else ""</w:t>
              <w:br/>
              <w:t xml:space="preserve">        raise TranscriptionError(</w:t>
              <w:br/>
              <w:t xml:space="preserve">            "VoxIntel could not preprocess this audio file with ffmpeg." + detail</w:t>
              <w:br/>
              <w:t xml:space="preserve">        )</w:t>
              <w:br/>
              <w:br/>
              <w:t xml:space="preserve">    return temp_path</w:t>
              <w:br/>
              <w:br/>
              <w:br/>
              <w:t>def _run_ffmpeg_decode(ffmpeg_path: Path, source_path: Path, output_path: Path, enhance_audio: bool) -&gt; subprocess.CompletedProcess:</w:t>
              <w:br/>
              <w:t xml:space="preserve">    command = [</w:t>
              <w:br/>
              <w:t xml:space="preserve">        str(ffmpeg_path),</w:t>
              <w:br/>
              <w:t xml:space="preserve">        "-y",</w:t>
              <w:br/>
              <w:t xml:space="preserve">        "-i",</w:t>
              <w:br/>
              <w:t xml:space="preserve">        str(source_path),</w:t>
              <w:br/>
              <w:t xml:space="preserve">    ]</w:t>
              <w:br/>
              <w:br/>
              <w:t># ... [Truncated: 367 additional lines in production codebase] ...</w:t>
            </w:r>
          </w:p>
        </w:tc>
      </w:tr>
    </w:tbl>
    <w:p>
      <w:pPr>
        <w:spacing w:after="160"/>
      </w:pPr>
    </w:p>
    <w:p>
      <w:pPr>
        <w:spacing w:before="200" w:after="80" w:line="360" w:lineRule="auto"/>
        <w:jc w:val="left"/>
      </w:pPr>
      <w:r>
        <w:rPr>
          <w:rFonts w:ascii="Times New Roman" w:hAnsi="Times New Roman"/>
          <w:b/>
          <w:i w:val="0"/>
          <w:color w:val="000000"/>
          <w:sz w:val="24"/>
        </w:rPr>
        <w:t>voxintel/insights.py (TextRank Summarization &amp; Action Item Extraction)</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9"/>
      </w:tblGrid>
      <w:tr>
        <w:tc>
          <w:tcPr>
            <w:tcW w:type="dxa" w:w="9029"/>
            <w:tcMar>
              <w:top w:w="60" w:type="dxa"/>
              <w:bottom w:w="60" w:type="dxa"/>
              <w:left w:w="80" w:type="dxa"/>
              <w:right w:w="80" w:type="dxa"/>
            </w:tcMar>
          </w:tcPr>
          <w:p>
            <w:pPr>
              <w:spacing w:line="252" w:lineRule="auto" w:after="40"/>
            </w:pPr>
            <w:r>
              <w:rPr>
                <w:rFonts w:ascii="Consolas" w:hAnsi="Consolas"/>
                <w:color w:val="000000"/>
                <w:sz w:val="16"/>
              </w:rPr>
              <w:t>from __future__ import annotations</w:t>
              <w:br/>
              <w:br/>
              <w:t>import re</w:t>
              <w:br/>
              <w:t>from collections import Counter</w:t>
              <w:br/>
              <w:br/>
              <w:t>import networkx as nx</w:t>
              <w:br/>
              <w:br/>
              <w:t>from .ml import AISummaryUnavailable, generate_ai_summary</w:t>
              <w:br/>
              <w:t>from .nlp import clean_sentences, clean_transcript, split_sentences, tokenize</w:t>
              <w:br/>
              <w:br/>
              <w:t>ACTION_PATTERNS = [</w:t>
              <w:br/>
              <w:t xml:space="preserve">    re.compile(</w:t>
              <w:br/>
              <w:t xml:space="preserve">        r"(?i)^(?P&lt;person&gt;[A-Z][a-z]+(?:\s[A-Z][a-z]+)?)\s+(?:will|should|needs to|must|has to|is going to)\s+(?P&lt;task&gt;.+?)(?:\s+(?:by|before|on)\s+(?P&lt;deadline&gt;[^.]+?))?[.]?$"</w:t>
              <w:br/>
              <w:t xml:space="preserve">    ),</w:t>
              <w:br/>
              <w:t xml:space="preserve">    re.compile(</w:t>
              <w:br/>
              <w:t xml:space="preserve">        r"(?i)^(?:(?:once|after|as soon as|when|regarding|before|if)\s+[^,;]+,\s*)?(?:i'll|i\s+will|we'll|we\s+will|i\s+can|we\s+can|i\s+should|i\s+need\s+to|we\s+need\s+to|i\s+am\s+going\s+to|we\s+are\s+going\s+to)\s+(?P&lt;task&gt;.+?)(?:\s+(?:by|before|on|as soon as)\s+(?P&lt;deadline&gt;[^.]+?))?[.]?$"</w:t>
              <w:br/>
              <w:t xml:space="preserve">    ),</w:t>
              <w:br/>
              <w:t xml:space="preserve">    re.compile(</w:t>
              <w:br/>
              <w:t xml:space="preserve">        r"(?i)^action item[:\-]?\s*(?P&lt;person&gt;[A-Z][a-z]+)?\s*(?:will|should|needs to)?\s*(?P&lt;task&gt;.+?)(?:\s+(?:by|before|on)\s+(?P&lt;deadline&gt;[^.]+?))?[.]?$"</w:t>
              <w:br/>
              <w:t xml:space="preserve">    ),</w:t>
              <w:br/>
              <w:t>]</w:t>
              <w:br/>
              <w:br/>
              <w:t>DECISION_PATTERN = re.compile(r"(?i)\b(decide|decided|decision|agreed|approved|finalized|confirmed)\b")</w:t>
              <w:br/>
              <w:t>DECISION_STRONG_PATTERN = re.compile(</w:t>
              <w:br/>
              <w:t xml:space="preserve">    r"(?i)\b(decide|decided|decision|approved|agreed|finalized|confirmed|moving forward|temporary workaround|workaround)\b"</w:t>
              <w:br/>
              <w:t>)</w:t>
              <w:br/>
              <w:t>DATE_PATTERN = re.compile(</w:t>
              <w:br/>
              <w:t xml:space="preserve">    r"\b(?:\d{1,2}[/-]\d{1,2}[/-]\d{2,4}|"</w:t>
              <w:br/>
              <w:t xml:space="preserve">    r"(?:jan|feb|mar|apr|may|jun|jul|aug|sep|oct|nov|dec)[a-z]*\s+\d{1,2}(?:,\s*\d{4})?)\b",</w:t>
              <w:br/>
              <w:t xml:space="preserve">    re.IGNORECASE,</w:t>
              <w:br/>
              <w:t>)</w:t>
              <w:br/>
              <w:t>SPEAKER_PATTERN = re.compile(r"(?m)^\s*([A-Z][a-z]+(?:\s[A-Z][a-z]+)?)\s*:")</w:t>
              <w:br/>
              <w:t>SPEAKER_INLINE_PATTERN = re.compile(r"\b([A-Z][a-z]+(?:\s[A-Z][a-z]+)?)\s*:")</w:t>
              <w:br/>
              <w:t>FULL_NAME_PATTERN = re.compile(r"\b([A-Z][a-z]+ [A-Z][a-z]+)\b")</w:t>
              <w:br/>
              <w:t>TOPIC_CUE_PATTERN = re.compile(</w:t>
              <w:br/>
              <w:t xml:space="preserve">    r"(?i)\b(issue|issues|bug|bugs|authentication|ui|design|release|timeline|deadline|demo|support|testing|review|fix|plan|notes|documentation)\b"</w:t>
              <w:br/>
              <w:t>)</w:t>
              <w:br/>
              <w:t>DEADLINE_PATTERN = re.compile(</w:t>
              <w:br/>
              <w:t xml:space="preserve">    r"(?i)\b(by tomorrow|tomorrow|next week|next month|this week|today|by [A-Z][a-z]+day(?:\s+at\s+\d{1,2}(?::\d{2})?\s*(?:AM|PM))?|\d{1,2}(?::\d{2})?\s*(?:AM|PM)(?:\s+today)?)\b"</w:t>
              <w:br/>
              <w:t>)</w:t>
              <w:br/>
              <w:t>WEAK_ACTION_PATTERN = re.compile(r"(?i)\b(we'?ll try|we'?ll ensure|sounds good|good idea|good point|maybe|should discuss|let'?s discuss)\b")</w:t>
              <w:br/>
              <w:t>VAGUE_DECISION_PATTERN = re.compile(r"(?i)\b(maybe|might|should|let'?s discuss|perhaps|could)\b")</w:t>
              <w:br/>
              <w:t>COMMON_FIRST_NAMES = {</w:t>
              <w:br/>
              <w:t xml:space="preserve">    "alex","amy","andrew","anna","asha","ben","chris","christy","daniel","david","dove","eric","fabian",</w:t>
              <w:br/>
              <w:t xml:space="preserve">    "gabe","george","jessica","john","josh","karina","kenny","meera","paul","rahul","scott","sid","virginia"</w:t>
              <w:br/>
              <w:t>}</w:t>
              <w:br/>
              <w:br/>
              <w:br/>
              <w:t>def infer_speaker_activity(transcript: str) -&gt; list[dict[str, int]]:</w:t>
              <w:br/>
              <w:t xml:space="preserve">    speaker_counts = Counter(SPEAKER_PATTERN.findall(transcript))</w:t>
              <w:br/>
              <w:t xml:space="preserve">    return [{"speaker": speaker, "mentions": count} for speaker, count in speaker_counts.most_common()]</w:t>
              <w:br/>
              <w:br/>
              <w:br/>
              <w:t>def normalize_for_summary(text: str) -&gt; str:</w:t>
              <w:br/>
              <w:t xml:space="preserve">    normalized = re.sub(r"\s+", " ", text).strip()</w:t>
              <w:br/>
              <w:t xml:space="preserve">    normalized = SPEAKER_INLINE_PATTERN.sub("", normalized)</w:t>
              <w:br/>
              <w:t xml:space="preserve">    normalized = re.sub(r"\b(today|hello everyone|good morning team)\b[:,]?", "", normalized, flags=re.IGNORECASE)</w:t>
              <w:br/>
              <w:t xml:space="preserve">    normalized = re.sub(r"\s+", " ", normalized).strip(" ,")</w:t>
              <w:br/>
              <w:t xml:space="preserve">    return normalized</w:t>
              <w:br/>
              <w:br/>
              <w:br/>
              <w:t>def _sentence_similarity(sentence_a: str, sentence_b: str) -&gt; float:</w:t>
              <w:br/>
              <w:t xml:space="preserve">    tokens_a = set(tokenize(sentence_a))</w:t>
              <w:br/>
              <w:t xml:space="preserve">    tokens_b = set(tokenize(sentence_b))</w:t>
              <w:br/>
              <w:t xml:space="preserve">    if not tokens_a or not tokens_b:</w:t>
              <w:br/>
              <w:t xml:space="preserve">        return 0.0</w:t>
              <w:br/>
              <w:t xml:space="preserve">    overlap = len(tokens_a &amp; tokens_b)</w:t>
              <w:br/>
              <w:t xml:space="preserve">    return overlap / max((len(tokens_a) * len(tokens_b)) ** 0.5, 1.0)</w:t>
              <w:br/>
              <w:br/>
              <w:br/>
              <w:t>def _textrank_scores(sentences: list[str]) -&gt; dict[int, float]:</w:t>
              <w:br/>
              <w:t xml:space="preserve">    if len(sentences) &lt;= 1:</w:t>
              <w:br/>
              <w:t xml:space="preserve">        return {0: 1.0} if sentences else {}</w:t>
              <w:br/>
              <w:br/>
              <w:t xml:space="preserve">    graph = nx.Graph()</w:t>
              <w:br/>
              <w:t xml:space="preserve">    for index in range(len(sentences)):</w:t>
              <w:br/>
              <w:t xml:space="preserve">        graph.add_node(index)</w:t>
              <w:br/>
              <w:t xml:space="preserve">    for left in range(len(sentences)):</w:t>
              <w:br/>
              <w:t xml:space="preserve">        for right in range(left + 1, len(sentences)):</w:t>
              <w:br/>
              <w:t xml:space="preserve">            similarity = _sentence_similarity(sentences[left], sentences[right])</w:t>
              <w:br/>
              <w:t xml:space="preserve">            if similarity &gt; 0:</w:t>
              <w:br/>
              <w:t xml:space="preserve">                graph.add_edge(left, right, weight=similarity)</w:t>
              <w:br/>
              <w:br/>
              <w:t xml:space="preserve">    if graph.number_of_edges() == 0:</w:t>
              <w:br/>
              <w:t xml:space="preserve">        return {index: 1.0 for index in range(len(sentences))}</w:t>
              <w:br/>
              <w:br/>
              <w:t># ... [Truncated: 374 additional lines in production codebase] ...</w:t>
            </w:r>
          </w:p>
        </w:tc>
      </w:tr>
    </w:tbl>
    <w:p>
      <w:pPr>
        <w:spacing w:after="160"/>
      </w:pPr>
    </w:p>
    <w:p>
      <w:pPr>
        <w:spacing w:before="200" w:after="80" w:line="360" w:lineRule="auto"/>
        <w:jc w:val="left"/>
      </w:pPr>
      <w:r>
        <w:rPr>
          <w:rFonts w:ascii="Times New Roman" w:hAnsi="Times New Roman"/>
          <w:b/>
          <w:i w:val="0"/>
          <w:color w:val="000000"/>
          <w:sz w:val="24"/>
        </w:rPr>
        <w:t>voxintel/ollama_polish.py (Local Ollama Third-Person MoM Synthesis)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9"/>
      </w:tblGrid>
      <w:tr>
        <w:tc>
          <w:tcPr>
            <w:tcW w:type="dxa" w:w="9029"/>
            <w:tcMar>
              <w:top w:w="60" w:type="dxa"/>
              <w:bottom w:w="60" w:type="dxa"/>
              <w:left w:w="80" w:type="dxa"/>
              <w:right w:w="80" w:type="dxa"/>
            </w:tcMar>
          </w:tcPr>
          <w:p>
            <w:pPr>
              <w:spacing w:line="252" w:lineRule="auto" w:after="40"/>
            </w:pPr>
            <w:r>
              <w:rPr>
                <w:rFonts w:ascii="Consolas" w:hAnsi="Consolas"/>
                <w:color w:val="000000"/>
                <w:sz w:val="16"/>
              </w:rPr>
              <w:t>from __future__ import annotations</w:t>
              <w:br/>
              <w:br/>
              <w:t>import json</w:t>
              <w:br/>
              <w:t>import os</w:t>
              <w:br/>
              <w:t>import re</w:t>
              <w:br/>
              <w:t>from pathlib import Path</w:t>
              <w:br/>
              <w:t>from urllib import request, error</w:t>
              <w:br/>
              <w:br/>
              <w:t>from .exports import render_mom_html, render_mom_pdf</w:t>
              <w:br/>
              <w:t>from .optimized_pipeline import OptimizedPipelineError, run_optimized_voxintel</w:t>
              <w:br/>
              <w:br/>
              <w:t>DEFAULT_OLLAMA_HOST = "http://127.0.0.1:11434"</w:t>
              <w:br/>
              <w:t>DEFAULT_OLLAMA_MODEL = "llama3.2:3b"</w:t>
              <w:br/>
              <w:br/>
              <w:br/>
              <w:t>class OllamaPolishError(RuntimeError):</w:t>
              <w:br/>
              <w:t xml:space="preserve">    """Raised when local Ollama polishing cannot continue."""</w:t>
              <w:br/>
              <w:br/>
              <w:br/>
              <w:t>def _get_ollama_settings() -&gt; tuple[str, str]:</w:t>
              <w:br/>
              <w:t xml:space="preserve">    host = os.getenv("OLLAMA_HOST", DEFAULT_OLLAMA_HOST).rstrip("/")</w:t>
              <w:br/>
              <w:t xml:space="preserve">    env_model = os.getenv("OLLAMA_MODEL", "").strip()</w:t>
              <w:br/>
              <w:t xml:space="preserve">    if env_model:</w:t>
              <w:br/>
              <w:t xml:space="preserve">        return host, env_model</w:t>
              <w:br/>
              <w:br/>
              <w:t xml:space="preserve">    try:</w:t>
              <w:br/>
              <w:t xml:space="preserve">        req = request.Request(f"{host}/api/tags", headers={"Content-Type": "application/json"}, method="GET")</w:t>
              <w:br/>
              <w:t xml:space="preserve">        with request.urlopen(req, timeout=1.5) as resp:</w:t>
              <w:br/>
              <w:t xml:space="preserve">            data = json.loads(resp.read().decode("utf-8"))</w:t>
              <w:br/>
              <w:t xml:space="preserve">            installed = [m.get("name", "") for m in data.get("models", [])]</w:t>
              <w:br/>
              <w:t xml:space="preserve">            for candidate in ["llama3.2:3b", "llama3.2", "gemma3:1b", "gemma3", "gemma2", "qwen2.5:0.5b", "qwen2.5", "phi3", "phi:latest", "mistral"]:</w:t>
              <w:br/>
              <w:t xml:space="preserve">                for inst in installed:</w:t>
              <w:br/>
              <w:t xml:space="preserve">                    if candidate in inst:</w:t>
              <w:br/>
              <w:t xml:space="preserve">                        return host, inst</w:t>
              <w:br/>
              <w:t xml:space="preserve">            if installed:</w:t>
              <w:br/>
              <w:t xml:space="preserve">                return host, installed[0]</w:t>
              <w:br/>
              <w:t xml:space="preserve">    except Exception:</w:t>
              <w:br/>
              <w:t xml:space="preserve">        pass</w:t>
              <w:br/>
              <w:br/>
              <w:t xml:space="preserve">    return host, DEFAULT_OLLAMA_MODEL</w:t>
              <w:br/>
              <w:br/>
              <w:br/>
              <w:t>def resolve_speaker_mapping(segments: list[dict], attendees: list[str] | None = None) -&gt; dict[str, str]:</w:t>
              <w:br/>
              <w:t xml:space="preserve">    """Map anonymous Speaker clusters (Speaker 1, 2...) to real attendee names using conversational evidence."""</w:t>
              <w:br/>
              <w:t xml:space="preserve">    if not attendees:</w:t>
              <w:br/>
              <w:t xml:space="preserve">        return {}</w:t>
              <w:br/>
              <w:br/>
              <w:t xml:space="preserve">    mapping: dict[str, str] = {}</w:t>
              <w:br/>
              <w:t xml:space="preserve">    assigned_attendees: set[str] = set()</w:t>
              <w:br/>
              <w:t xml:space="preserve">    clusters = sorted(list(set(s.get("speaker", "") for s in segments if s.get("speaker", "").startswith("Speaker"))))</w:t>
              <w:br/>
              <w:br/>
              <w:t xml:space="preserve">    # 1. Direct self-introductions ("This is [Name]", "I am [Name]")</w:t>
              <w:br/>
              <w:t xml:space="preserve">    for att in attendees:</w:t>
              <w:br/>
              <w:t xml:space="preserve">        att_lower = att.lower()</w:t>
              <w:br/>
              <w:t xml:space="preserve">        for s in segments:</w:t>
              <w:br/>
              <w:t xml:space="preserve">            text_lower = (s.get("text") or "").lower()</w:t>
              <w:br/>
              <w:t xml:space="preserve">            spk = s.get("speaker")</w:t>
              <w:br/>
              <w:t xml:space="preserve">            if not spk or spk in mapping:</w:t>
              <w:br/>
              <w:t xml:space="preserve">                continue</w:t>
              <w:br/>
              <w:t xml:space="preserve">            if f"this is {att_lower}" in text_lower or f"i am {att_lower}" in text_lower or f"i'm {att_lower}" in text_lower:</w:t>
              <w:br/>
              <w:t xml:space="preserve">                mapping[spk] = att</w:t>
              <w:br/>
              <w:t xml:space="preserve">                assigned_attendees.add(att)</w:t>
              <w:br/>
              <w:t xml:space="preserve">                break</w:t>
              <w:br/>
              <w:br/>
              <w:t xml:space="preserve">    # 2. Conversational Adjacency Pairs:</w:t>
              <w:br/>
              <w:t xml:space="preserve">    # A) "Thanks, [Name]" / "Thank you, [Name]" -&gt; the PRECEDING turn belonged to [Name]</w:t>
              <w:br/>
              <w:t xml:space="preserve">    for i, s in enumerate(segments):</w:t>
              <w:br/>
              <w:t xml:space="preserve">        if i == 0:</w:t>
              <w:br/>
              <w:t xml:space="preserve">            continue</w:t>
              <w:br/>
              <w:t xml:space="preserve">        txt = (s.get("text") or "").lower()</w:t>
              <w:br/>
              <w:t xml:space="preserve">        prev_spk = segments[i - 1].get("speaker")</w:t>
              <w:br/>
              <w:t xml:space="preserve">        if not prev_spk or prev_spk in mapping:</w:t>
              <w:br/>
              <w:t xml:space="preserve">            continue</w:t>
              <w:br/>
              <w:t xml:space="preserve">        for att in attendees:</w:t>
              <w:br/>
              <w:t xml:space="preserve">            if att in assigned_attendees:</w:t>
              <w:br/>
              <w:t xml:space="preserve">                continue</w:t>
              <w:br/>
              <w:t xml:space="preserve">            if re.search(rf"\b(?:thanks|thank you),?\s+{att.lower()}\b", txt):</w:t>
              <w:br/>
              <w:t xml:space="preserve">                mapping[prev_spk] = att</w:t>
              <w:br/>
              <w:t xml:space="preserve">                assigned_attendees.add(att)</w:t>
              <w:br/>
              <w:t xml:space="preserve">                break</w:t>
              <w:br/>
              <w:br/>
              <w:t xml:space="preserve">    # B) "[Name], what/how/can/could/is/are/do/did...?" -&gt; the NEXT turn answering belongs to [Name]</w:t>
              <w:br/>
              <w:t xml:space="preserve">    for i, s in enumerate(segments[:-1]):</w:t>
              <w:br/>
              <w:t xml:space="preserve">        txt = (s.get("text") or "").lower()</w:t>
              <w:br/>
              <w:t xml:space="preserve">        next_s = segments[i + 1]</w:t>
              <w:br/>
              <w:br/>
              <w:t># ... [Truncated: 582 additional lines in production codebase] ...</w:t>
            </w:r>
          </w:p>
        </w:tc>
      </w:tr>
    </w:tbl>
    <w:p>
      <w:pPr>
        <w:spacing w:after="160"/>
      </w:pP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