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ainText-BezOtstupa1"/>
        <w:keepNext w:val="true"/>
        <w:keepLines/>
        <w:spacing w:before="240" w:after="0"/>
        <w:jc w:val="start"/>
        <w:rPr>
          <w:rFonts w:ascii="Arial" w:hAnsi="Arial" w:cs="Arial"/>
        </w:rPr>
      </w:pPr>
      <w:r>
        <w:rPr>
          <w:rFonts w:cs="Arial" w:ascii="Arial" w:hAnsi="Arial"/>
        </w:rPr>
        <w:t>Зарегистрировано</w:t>
        <w:br/>
        <w:t>Министерством юстиции</w:t>
        <w:br/>
        <w:t>Российской Федерации</w:t>
        <w:br/>
        <w:t>26 мая 2008 года</w:t>
        <w:br/>
        <w:t>Регистрационный № 11755</w:t>
      </w:r>
    </w:p>
    <w:p>
      <w:pPr>
        <w:pStyle w:val="Prikaz"/>
        <w:keepNext w:val="true"/>
        <w:keepLines/>
        <w:tabs>
          <w:tab w:val="clear" w:pos="720"/>
          <w:tab w:val="right" w:pos="10206" w:leader="none"/>
        </w:tabs>
        <w:spacing w:before="120" w:after="0"/>
        <w:jc w:val="start"/>
        <w:rPr>
          <w:rFonts w:ascii="Arial" w:hAnsi="Arial" w:cs="Arial"/>
          <w:color w:val="000000"/>
        </w:rPr>
      </w:pPr>
      <w:r>
        <w:rPr>
          <w:rFonts w:cs="Arial" w:ascii="Arial" w:hAnsi="Arial"/>
          <w:color w:val="000000"/>
        </w:rPr>
        <w:t>30 апреля 2008 года</w:t>
        <w:tab/>
        <w:t>№ 2005-У</w:t>
      </w:r>
    </w:p>
    <w:p>
      <w:pPr>
        <w:pStyle w:val="MZagolvok-Center"/>
        <w:keepNext w:val="true"/>
        <w:keepLines/>
        <w:spacing w:before="0" w:after="120"/>
        <w:rPr>
          <w:rFonts w:ascii="Arial" w:hAnsi="Arial" w:cs="Arial"/>
        </w:rPr>
      </w:pPr>
      <w:r>
        <w:rPr>
          <w:rFonts w:cs="Arial" w:ascii="Arial" w:hAnsi="Arial"/>
        </w:rPr>
        <w:t>УКАЗАНИЕ</w:t>
        <w:br/>
        <w:t>Об оценке экономического положения банков</w:t>
      </w:r>
    </w:p>
    <w:p>
      <w:pPr>
        <w:pStyle w:val="MainText"/>
        <w:rPr>
          <w:rFonts w:ascii="Arial" w:hAnsi="Arial" w:cs="Arial"/>
          <w:color w:val="000000"/>
        </w:rPr>
      </w:pPr>
      <w:r>
        <w:rPr>
          <w:rFonts w:cs="Arial" w:ascii="Arial" w:hAnsi="Arial"/>
        </w:rPr>
        <w:t>Настоящее Указание на основании Федерального закона “О Центральном банке Российской Федерации (Банке России)” (Собрание законодательства Российской Федерации, 2002, № 28, ст. 2790; 2003, № 2, ст. 157; № 52, ст. 5032; 2004, № 27, ст. 2711; № 31, ст. 3233; 2005, № 25, ст. 2426; № 30, ст. 3101; 2006, № 19, ст. 2061; № 25, ст. 2648; 2007, № 1, ст. 9, 10; № 10, ст. 1151; № 18, ст. 2117), Федерального закона “О банках и банковской деятельности” (Ведомости Съезда народных депутатов РСФСР и Верховного Совета РСФСР, 1990, № 27, ст. 357; Собрание законодательства Российской Федерации, 1996, № 6, ст. 492; 1998, № 31, ст. 3829; 1999, № 28, ст. 3459, 3469; 2001, № 26, ст. 2586; № 33, ст. 3424; 2002, № 12, ст. 1093; 2003, № 27, ст. 2700; № 50, ст. 4855; № 52, ст. 5033, 5037; 2004, № 27, ст. 2711; № 31, ст. 3233; 2005, № 1, ст. 18, 45; № 30, ст. 3117; 2006, № 6, ст. 636; № 19, ст. 2061; № 31, ст. 3439; № 52, ст. 5497; 2007, № 1, ст. 9; № 22, ст. 2563; № 31, ст. 4011; № 41, ст. 4845; № 45, ст. 5425; № 50, ст. 6238; 2008, № </w:t>
      </w:r>
      <w:r>
        <w:rPr>
          <w:rFonts w:cs="Arial" w:ascii="Arial" w:hAnsi="Arial"/>
          <w:color w:val="000000"/>
        </w:rPr>
        <w:t>10, ст. 895) устанавливает порядок оценки экономического положения банков.</w:t>
      </w:r>
    </w:p>
    <w:p>
      <w:pPr>
        <w:pStyle w:val="MGlavaBulleted"/>
        <w:keepNext w:val="true"/>
        <w:keepLines/>
        <w:spacing w:before="120" w:after="120"/>
        <w:jc w:val="start"/>
        <w:rPr>
          <w:rFonts w:ascii="Arial" w:hAnsi="Arial" w:cs="Arial"/>
        </w:rPr>
      </w:pPr>
      <w:r>
        <w:rPr>
          <w:rFonts w:cs="Arial" w:ascii="Arial" w:hAnsi="Arial"/>
          <w:b w:val="false"/>
        </w:rPr>
        <w:tab/>
        <w:t>Глава 1.</w:t>
        <w:tab/>
      </w:r>
      <w:r>
        <w:rPr>
          <w:rFonts w:cs="Arial" w:ascii="Arial" w:hAnsi="Arial"/>
        </w:rPr>
        <w:t>Общие положения</w:t>
      </w:r>
    </w:p>
    <w:p>
      <w:pPr>
        <w:pStyle w:val="MainText"/>
        <w:rPr>
          <w:rFonts w:ascii="Arial" w:hAnsi="Arial" w:cs="Arial"/>
          <w:color w:val="000000"/>
        </w:rPr>
      </w:pPr>
      <w:r>
        <w:rPr>
          <w:rFonts w:cs="Arial" w:ascii="Arial" w:hAnsi="Arial"/>
          <w:color w:val="000000"/>
        </w:rPr>
        <w:t>1.1. Оценка экономического положения банков осуществляется по результатам оценок:</w:t>
      </w:r>
    </w:p>
    <w:p>
      <w:pPr>
        <w:pStyle w:val="MainText"/>
        <w:rPr>
          <w:rFonts w:ascii="Arial" w:hAnsi="Arial" w:cs="Arial"/>
          <w:color w:val="000000"/>
        </w:rPr>
      </w:pPr>
      <w:r>
        <w:rPr>
          <w:rFonts w:cs="Arial" w:ascii="Arial" w:hAnsi="Arial"/>
          <w:color w:val="000000"/>
        </w:rPr>
        <w:t>капитала;</w:t>
      </w:r>
    </w:p>
    <w:p>
      <w:pPr>
        <w:pStyle w:val="MainText"/>
        <w:rPr>
          <w:rFonts w:ascii="Arial" w:hAnsi="Arial" w:cs="Arial"/>
          <w:color w:val="000000"/>
        </w:rPr>
      </w:pPr>
      <w:r>
        <w:rPr>
          <w:rFonts w:cs="Arial" w:ascii="Arial" w:hAnsi="Arial"/>
          <w:color w:val="000000"/>
        </w:rPr>
        <w:t>активов;</w:t>
      </w:r>
    </w:p>
    <w:p>
      <w:pPr>
        <w:pStyle w:val="MainText"/>
        <w:rPr>
          <w:rFonts w:ascii="Arial" w:hAnsi="Arial" w:cs="Arial"/>
          <w:color w:val="000000"/>
        </w:rPr>
      </w:pPr>
      <w:r>
        <w:rPr>
          <w:rFonts w:cs="Arial" w:ascii="Arial" w:hAnsi="Arial"/>
          <w:color w:val="000000"/>
        </w:rPr>
        <w:t>доходности;</w:t>
      </w:r>
    </w:p>
    <w:p>
      <w:pPr>
        <w:pStyle w:val="MainText"/>
        <w:rPr>
          <w:rFonts w:ascii="Arial" w:hAnsi="Arial" w:cs="Arial"/>
          <w:color w:val="000000"/>
        </w:rPr>
      </w:pPr>
      <w:r>
        <w:rPr>
          <w:rFonts w:cs="Arial" w:ascii="Arial" w:hAnsi="Arial"/>
          <w:color w:val="000000"/>
        </w:rPr>
        <w:t>ликвидности;</w:t>
      </w:r>
    </w:p>
    <w:p>
      <w:pPr>
        <w:pStyle w:val="MainText"/>
        <w:rPr>
          <w:rFonts w:ascii="Arial" w:hAnsi="Arial" w:cs="Arial"/>
          <w:color w:val="000000"/>
        </w:rPr>
      </w:pPr>
      <w:r>
        <w:rPr>
          <w:rFonts w:cs="Arial" w:ascii="Arial" w:hAnsi="Arial"/>
          <w:color w:val="000000"/>
        </w:rPr>
        <w:t>обязательных нормативов, установленных Инструкцией Банка России от 16 января 2004 года № 110-И “Об обязательных нормативах банков”, зарегистрированной Министерством юстиции Российской Федерации 6 февраля 2004 года № 5529; 27 августа 2004 года № 5997; 14 марта 2005 года № 6391; 28 июля 2005 года № 6833; 19 августа 2005 года № 6926; 25 апреля 2006 года № 7740; 5 июля 2007 года № 9755; 10 декабря 2007 года № 10659 (“Вестник Банка России” от 11 февраля 2004 года № 11; от 8 сентября 2004 года № 53, от 13 апреля 2005 года № 19; от 10 августа 2005 года № 40; от 31 августа 2005 года № 46; от 4 мая 2006 года № 26; от 11 июля 2007 года № 39; от 17 декабря 2007 года № 69) (далее — Инструкция Банка России № 110-И), и Инструкцией Банка России от 15 июля 2005 года № 124-И “Об установлении размеров (лимитов) открытых валютных позиций, методике их расчета и особенностях осуществления надзора за их соблюдением кредитными организациями”, зарегистрированной Министерством юстиции Российской Федерации 5 августа 2005 года № 6889; 26 июня 2007 года № 9703; 6 декабря 2007 года № 10636 (“Вестник Банка России” от 19 августа 2005 года № 44; от 4 июля 2007 года № 38; от 17 декабря 2007 года № 69) (далее — обязательные нормативы);</w:t>
      </w:r>
    </w:p>
    <w:p>
      <w:pPr>
        <w:pStyle w:val="MainText"/>
        <w:rPr>
          <w:rFonts w:ascii="Arial" w:hAnsi="Arial" w:cs="Arial"/>
          <w:color w:val="000000"/>
        </w:rPr>
      </w:pPr>
      <w:r>
        <w:rPr>
          <w:rFonts w:cs="Arial" w:ascii="Arial" w:hAnsi="Arial"/>
          <w:color w:val="000000"/>
        </w:rPr>
        <w:t>качества управления;</w:t>
      </w:r>
    </w:p>
    <w:p>
      <w:pPr>
        <w:pStyle w:val="MainText"/>
        <w:rPr>
          <w:rFonts w:ascii="Arial" w:hAnsi="Arial" w:cs="Arial"/>
          <w:color w:val="000000"/>
        </w:rPr>
      </w:pPr>
      <w:r>
        <w:rPr>
          <w:rFonts w:cs="Arial" w:ascii="Arial" w:hAnsi="Arial"/>
          <w:color w:val="000000"/>
        </w:rPr>
        <w:t>прозрачности структуры собственности банка.</w:t>
      </w:r>
    </w:p>
    <w:p>
      <w:pPr>
        <w:pStyle w:val="MainText"/>
        <w:rPr>
          <w:rFonts w:ascii="Arial" w:hAnsi="Arial" w:cs="Arial"/>
          <w:color w:val="000000"/>
        </w:rPr>
      </w:pPr>
      <w:r>
        <w:rPr>
          <w:rFonts w:cs="Arial" w:ascii="Arial" w:hAnsi="Arial"/>
          <w:color w:val="000000"/>
        </w:rPr>
        <w:t>1.2. При оценке экономического положения банков учитываются наличие действующих в отношении банков мер воздействия, примененных в соответствии со статьями 38 и 74 Федерального закона “О Центральном банке Российской Федерации (Банке России)”, мер, примененных в соответствии со статьей 3 Федерального закона “О несостоятельности (банкротстве) кредитных организаций” (Собрание законодательства Российской Федерации, 1999, № 9, ст. 1097; 2001, № 26, ст. 2590; 2002, № 12, ст. 1093; 2004, № 31, ст. 3220; № 34, ст. 3536; 2006, № 52, ст. 5497; 2007, № 1, ст. 10; № 49, ст. 6064), а также наличие оснований для отзыва лицензии на осуществление банковских операций в соответствии со статьей 20 Федерального закона “О банках и банковской деятельности”, для осуществления мер по предупреждению несостоятельности (банкротства) кредитных организаций в соответствии со статьей 4 Федерального закона “О несостоятельности (банкротстве) кредитных организаций”.</w:t>
      </w:r>
    </w:p>
    <w:p>
      <w:pPr>
        <w:pStyle w:val="MainText"/>
        <w:rPr>
          <w:rFonts w:ascii="Arial" w:hAnsi="Arial" w:cs="Arial"/>
          <w:color w:val="000000"/>
        </w:rPr>
      </w:pPr>
      <w:r>
        <w:rPr>
          <w:rFonts w:cs="Arial" w:ascii="Arial" w:hAnsi="Arial"/>
          <w:color w:val="000000"/>
        </w:rPr>
        <w:t>1.3. Оценки капитала, активов, доходности, ликвидности, качества управления и прозрачности структуры собственности банка осуществляются в соответствии с главами 3—5 настоящего Указания.</w:t>
      </w:r>
    </w:p>
    <w:p>
      <w:pPr>
        <w:pStyle w:val="MainText"/>
        <w:rPr>
          <w:rFonts w:ascii="Arial" w:hAnsi="Arial" w:cs="Arial"/>
          <w:color w:val="000000"/>
        </w:rPr>
      </w:pPr>
      <w:r>
        <w:rPr>
          <w:rFonts w:cs="Arial" w:ascii="Arial" w:hAnsi="Arial"/>
          <w:color w:val="000000"/>
        </w:rPr>
        <w:t>1.4. Оценка экономического положения банков осуществляется территориальными учреждениями Банка России путем отнесения банка к одной из 5 классификационных групп.</w:t>
      </w:r>
    </w:p>
    <w:p>
      <w:pPr>
        <w:pStyle w:val="MGlavaBulleted"/>
        <w:keepNext w:val="true"/>
        <w:keepLines/>
        <w:spacing w:before="120" w:after="120"/>
        <w:jc w:val="start"/>
        <w:rPr>
          <w:rFonts w:ascii="Arial" w:hAnsi="Arial" w:cs="Arial"/>
        </w:rPr>
      </w:pPr>
      <w:r>
        <w:rPr>
          <w:rFonts w:cs="Arial" w:ascii="Arial" w:hAnsi="Arial"/>
          <w:b w:val="false"/>
        </w:rPr>
        <w:tab/>
        <w:t>Глава 2.</w:t>
        <w:tab/>
      </w:r>
      <w:r>
        <w:rPr>
          <w:rFonts w:cs="Arial" w:ascii="Arial" w:hAnsi="Arial"/>
        </w:rPr>
        <w:t>Характеристика классификационных групп</w:t>
      </w:r>
    </w:p>
    <w:p>
      <w:pPr>
        <w:pStyle w:val="MainText"/>
        <w:rPr>
          <w:rFonts w:ascii="Arial" w:hAnsi="Arial" w:cs="Arial"/>
          <w:color w:val="000000"/>
        </w:rPr>
      </w:pPr>
      <w:r>
        <w:rPr>
          <w:rFonts w:cs="Arial" w:ascii="Arial" w:hAnsi="Arial"/>
          <w:color w:val="000000"/>
        </w:rPr>
        <w:t>2.1. К группе 1 относятся банки, в деятельности которых не выявлены текущие трудности, а именно — банки, по которым капитал, активы, доходность, ликвидность в соответствии с главой 3 настоящего Указания и качество управления в соответствии с главой 4 настоящего Указания оцениваются как “хорошие”, а структура собственности в соответствии с главой 5 настоящего Указания признается прозрачной либо достаточно прозрачной.</w:t>
      </w:r>
    </w:p>
    <w:p>
      <w:pPr>
        <w:pStyle w:val="MainText"/>
        <w:rPr>
          <w:rFonts w:ascii="Arial" w:hAnsi="Arial" w:cs="Arial"/>
          <w:color w:val="000000"/>
        </w:rPr>
      </w:pPr>
      <w:r>
        <w:rPr>
          <w:rFonts w:cs="Arial" w:ascii="Arial" w:hAnsi="Arial"/>
          <w:color w:val="000000"/>
        </w:rPr>
        <w:t>К группе 1 не могут быть отнесены банки при наличии хотя бы одного основания для отнесения к иной классификационной группе.</w:t>
      </w:r>
    </w:p>
    <w:p>
      <w:pPr>
        <w:pStyle w:val="MainText"/>
        <w:rPr>
          <w:rFonts w:ascii="Arial" w:hAnsi="Arial" w:cs="Arial"/>
          <w:color w:val="000000"/>
        </w:rPr>
      </w:pPr>
      <w:r>
        <w:rPr>
          <w:rFonts w:cs="Arial" w:ascii="Arial" w:hAnsi="Arial"/>
          <w:color w:val="000000"/>
        </w:rPr>
        <w:t>2.2. К группе 2 относятся банки, не имеющие текущих трудностей, но в деятельности которых выявлены недостатки, которые в случае их неустранения могут привести к возникновению трудностей в ближайшие 12 месяцев, а именно банки, по которым имеется в том числе хотя бы одно из следующих оснований:</w:t>
      </w:r>
    </w:p>
    <w:p>
      <w:pPr>
        <w:pStyle w:val="MainText"/>
        <w:rPr>
          <w:rFonts w:ascii="Arial" w:hAnsi="Arial" w:cs="Arial"/>
          <w:color w:val="000000"/>
        </w:rPr>
      </w:pPr>
      <w:r>
        <w:rPr>
          <w:rFonts w:cs="Arial" w:ascii="Arial" w:hAnsi="Arial"/>
          <w:color w:val="000000"/>
        </w:rPr>
        <w:t>2.2.1. капитал, активы, доходность, ликвидность или качество управления оцениваются как “удовлетворительные”, а структура собственности признается прозрачной или достаточно прозрачной;</w:t>
      </w:r>
    </w:p>
    <w:p>
      <w:pPr>
        <w:pStyle w:val="MainText"/>
        <w:rPr>
          <w:rFonts w:ascii="Arial" w:hAnsi="Arial" w:cs="Arial"/>
          <w:color w:val="000000"/>
        </w:rPr>
      </w:pPr>
      <w:r>
        <w:rPr>
          <w:rFonts w:cs="Arial" w:ascii="Arial" w:hAnsi="Arial"/>
          <w:color w:val="000000"/>
        </w:rPr>
        <w:t>2.2.2. не соблюдается хотя бы один из обязательных нормативов (за исключением норматива достаточности собственных средств (капитала) банка (Н1) по совокупности за 6 и более операционных дней в течение хотя бы одного из месяцев отчетного квартала.</w:t>
      </w:r>
    </w:p>
    <w:p>
      <w:pPr>
        <w:pStyle w:val="MainText"/>
        <w:rPr>
          <w:rFonts w:ascii="Arial" w:hAnsi="Arial" w:cs="Arial"/>
          <w:color w:val="000000"/>
        </w:rPr>
      </w:pPr>
      <w:r>
        <w:rPr>
          <w:rFonts w:cs="Arial" w:ascii="Arial" w:hAnsi="Arial"/>
          <w:color w:val="000000"/>
        </w:rPr>
        <w:t>К группе 2 не могут быть отнесены банки, имеющие хотя бы одно основание для отнесения в группы 3—5.</w:t>
      </w:r>
    </w:p>
    <w:p>
      <w:pPr>
        <w:pStyle w:val="MainText"/>
        <w:rPr>
          <w:rFonts w:ascii="Arial" w:hAnsi="Arial" w:cs="Arial"/>
          <w:color w:val="000000"/>
        </w:rPr>
      </w:pPr>
      <w:r>
        <w:rPr>
          <w:rFonts w:cs="Arial" w:ascii="Arial" w:hAnsi="Arial"/>
          <w:color w:val="000000"/>
        </w:rPr>
        <w:t>2.3. К группе 3 относятся банки, имеющие недостатки в деятельности, неустранение которых может в ближайшие 12 месяцев привести к возникновению ситуации, угрожающей законным интересам их вкладчиков и кредиторов, а именно банки, по которым имеется в том числе хотя бы одно из следующих оснований:</w:t>
      </w:r>
    </w:p>
    <w:p>
      <w:pPr>
        <w:pStyle w:val="MainText"/>
        <w:rPr>
          <w:rFonts w:ascii="Arial" w:hAnsi="Arial" w:cs="Arial"/>
          <w:color w:val="000000"/>
        </w:rPr>
      </w:pPr>
      <w:r>
        <w:rPr>
          <w:rFonts w:cs="Arial" w:ascii="Arial" w:hAnsi="Arial"/>
          <w:color w:val="000000"/>
        </w:rPr>
        <w:t>2.3.1. капитал, активы, доходность, ликвидность оцениваются как “сомнительные”;</w:t>
      </w:r>
    </w:p>
    <w:p>
      <w:pPr>
        <w:pStyle w:val="MainText"/>
        <w:rPr>
          <w:rFonts w:ascii="Arial" w:hAnsi="Arial" w:cs="Arial"/>
          <w:color w:val="000000"/>
        </w:rPr>
      </w:pPr>
      <w:r>
        <w:rPr>
          <w:rFonts w:cs="Arial" w:ascii="Arial" w:hAnsi="Arial"/>
          <w:color w:val="000000"/>
        </w:rPr>
        <w:t>2.3.2. структура собственности оценивается как непрозрачная;</w:t>
      </w:r>
    </w:p>
    <w:p>
      <w:pPr>
        <w:pStyle w:val="MainText"/>
        <w:rPr>
          <w:rFonts w:ascii="Arial" w:hAnsi="Arial" w:cs="Arial"/>
          <w:color w:val="000000"/>
        </w:rPr>
      </w:pPr>
      <w:r>
        <w:rPr>
          <w:rFonts w:cs="Arial" w:ascii="Arial" w:hAnsi="Arial"/>
          <w:color w:val="000000"/>
        </w:rPr>
        <w:t>2.3.3. качество управления признается “сомнительным”;</w:t>
      </w:r>
    </w:p>
    <w:p>
      <w:pPr>
        <w:pStyle w:val="MainText"/>
        <w:rPr>
          <w:rFonts w:ascii="Arial" w:hAnsi="Arial" w:cs="Arial"/>
          <w:color w:val="000000"/>
        </w:rPr>
      </w:pPr>
      <w:r>
        <w:rPr>
          <w:rFonts w:cs="Arial" w:ascii="Arial" w:hAnsi="Arial"/>
          <w:color w:val="000000"/>
        </w:rPr>
        <w:t>2.3.4. не соблюдается 4 и более месяцев в течение последних 6 месяцев хотя бы один из обязательных нормативов по совокупности за 6 и более операционных дней в течение каждого месяца (за исключением норматива достаточности собственных средств (капитала) банка (Н1);</w:t>
      </w:r>
    </w:p>
    <w:p>
      <w:pPr>
        <w:pStyle w:val="MainText"/>
        <w:rPr>
          <w:rFonts w:ascii="Arial" w:hAnsi="Arial" w:cs="Arial"/>
          <w:color w:val="000000"/>
        </w:rPr>
      </w:pPr>
      <w:r>
        <w:rPr>
          <w:rFonts w:cs="Arial" w:ascii="Arial" w:hAnsi="Arial"/>
          <w:color w:val="000000"/>
        </w:rPr>
        <w:t>2.3.5. действуют ограничения и(или) запреты на осуществление отдельных банковских операций, предусмотренных лицензией на осуществление банковских операций, и(или) запрет на открытие филиалов.</w:t>
      </w:r>
    </w:p>
    <w:p>
      <w:pPr>
        <w:pStyle w:val="MainText"/>
        <w:rPr>
          <w:rFonts w:ascii="Arial" w:hAnsi="Arial" w:cs="Arial"/>
          <w:color w:val="000000"/>
        </w:rPr>
      </w:pPr>
      <w:r>
        <w:rPr>
          <w:rFonts w:cs="Arial" w:ascii="Arial" w:hAnsi="Arial"/>
          <w:color w:val="000000"/>
        </w:rPr>
        <w:t>К группе 3 не могут быть отнесены банки, имеющие хотя бы одно основание для отнесения в группы 4—5.</w:t>
      </w:r>
    </w:p>
    <w:p>
      <w:pPr>
        <w:pStyle w:val="MainText"/>
        <w:rPr>
          <w:rFonts w:ascii="Arial" w:hAnsi="Arial" w:cs="Arial"/>
          <w:color w:val="000000"/>
        </w:rPr>
      </w:pPr>
      <w:r>
        <w:rPr>
          <w:rFonts w:cs="Arial" w:ascii="Arial" w:hAnsi="Arial"/>
          <w:color w:val="000000"/>
        </w:rPr>
        <w:t>2.4. К группе 4 относятся банки, нарушения в деятельности которых создают реальную угрозу интересам их вкладчиков и кредиторов и устранение которых предполагает осуществление мер со стороны органов управления и акционеров (участников) банка, а именно банки, по которым имеется в том числе хотя бы одно из следующих оснований:</w:t>
      </w:r>
    </w:p>
    <w:p>
      <w:pPr>
        <w:pStyle w:val="MainText"/>
        <w:rPr>
          <w:rFonts w:ascii="Arial" w:hAnsi="Arial" w:cs="Arial"/>
          <w:color w:val="000000"/>
        </w:rPr>
      </w:pPr>
      <w:r>
        <w:rPr>
          <w:rFonts w:cs="Arial" w:ascii="Arial" w:hAnsi="Arial"/>
          <w:color w:val="000000"/>
        </w:rPr>
        <w:t>2.4.1. капитал, активы, доходность или ликвидность оценены как “неудовлетворительные”;</w:t>
      </w:r>
    </w:p>
    <w:p>
      <w:pPr>
        <w:pStyle w:val="MainText"/>
        <w:rPr>
          <w:rFonts w:ascii="Arial" w:hAnsi="Arial" w:cs="Arial"/>
          <w:color w:val="000000"/>
        </w:rPr>
      </w:pPr>
      <w:r>
        <w:rPr>
          <w:rFonts w:cs="Arial" w:ascii="Arial" w:hAnsi="Arial"/>
          <w:color w:val="000000"/>
        </w:rPr>
        <w:t>2.4.2. качество управления оценивается как “неудовлетворительное”;</w:t>
      </w:r>
    </w:p>
    <w:p>
      <w:pPr>
        <w:pStyle w:val="MainText"/>
        <w:rPr>
          <w:rFonts w:ascii="Arial" w:hAnsi="Arial" w:cs="Arial"/>
          <w:color w:val="000000"/>
        </w:rPr>
      </w:pPr>
      <w:r>
        <w:rPr>
          <w:rFonts w:cs="Arial" w:ascii="Arial" w:hAnsi="Arial"/>
          <w:color w:val="000000"/>
        </w:rPr>
        <w:t>2.4.3. не соблюдается норматив достаточности собственных средств (капитала) банка (Н1) по совокупности не более чем за 5 операционных дней в течение хотя бы одного из месяцев отчетного квартала.</w:t>
      </w:r>
    </w:p>
    <w:p>
      <w:pPr>
        <w:pStyle w:val="MainText"/>
        <w:rPr>
          <w:rFonts w:ascii="Arial" w:hAnsi="Arial" w:cs="Arial"/>
          <w:color w:val="000000"/>
        </w:rPr>
      </w:pPr>
      <w:r>
        <w:rPr>
          <w:rFonts w:cs="Arial" w:ascii="Arial" w:hAnsi="Arial"/>
          <w:color w:val="000000"/>
        </w:rPr>
        <w:t>К группе 4 не могут быть отнесены банки, имеющие хотя бы одно основание для отнесения в группу 5.</w:t>
      </w:r>
    </w:p>
    <w:p>
      <w:pPr>
        <w:pStyle w:val="MainText"/>
        <w:rPr>
          <w:rFonts w:ascii="Arial" w:hAnsi="Arial" w:cs="Arial"/>
          <w:color w:val="000000"/>
        </w:rPr>
      </w:pPr>
      <w:r>
        <w:rPr>
          <w:rFonts w:cs="Arial" w:ascii="Arial" w:hAnsi="Arial"/>
          <w:color w:val="000000"/>
        </w:rPr>
        <w:t>2.5. К группе 5 относятся банки, состояние которых при непринятии мер органами управления и(или) акционерами (участниками) банка приведет к прекращению деятельности этих банков на рынке банковских услуг, а именно банки, по которым имеется в том числе хотя бы одно из следующих оснований:</w:t>
      </w:r>
    </w:p>
    <w:p>
      <w:pPr>
        <w:pStyle w:val="MainText"/>
        <w:rPr>
          <w:rFonts w:ascii="Arial" w:hAnsi="Arial" w:cs="Arial"/>
          <w:color w:val="000000"/>
        </w:rPr>
      </w:pPr>
      <w:r>
        <w:rPr>
          <w:rFonts w:cs="Arial" w:ascii="Arial" w:hAnsi="Arial"/>
          <w:color w:val="000000"/>
        </w:rPr>
        <w:t>2.5.1. основание для осуществления мер по предупреждению несостоятельности (банкротства), предусмотренных Федеральным законом “О несостоятельности (банкротстве) кредитных организаций” (далее — банки с наличием признаков несостоятельности (банкротства), независимо от того, приняты ли в отношении банка меры воздействия по данным основаниям;</w:t>
      </w:r>
    </w:p>
    <w:p>
      <w:pPr>
        <w:pStyle w:val="MainText"/>
        <w:rPr>
          <w:rFonts w:ascii="Arial" w:hAnsi="Arial" w:cs="Arial"/>
          <w:color w:val="000000"/>
        </w:rPr>
      </w:pPr>
      <w:r>
        <w:rPr>
          <w:rFonts w:cs="Arial" w:ascii="Arial" w:hAnsi="Arial"/>
          <w:color w:val="000000"/>
        </w:rPr>
        <w:t>2.5.2. основание для отзыва лицензии на осуществление банковских операций.</w:t>
      </w:r>
    </w:p>
    <w:p>
      <w:pPr>
        <w:pStyle w:val="MGlavaBulleted"/>
        <w:keepNext w:val="true"/>
        <w:keepLines/>
        <w:spacing w:before="120" w:after="120"/>
        <w:jc w:val="start"/>
        <w:rPr>
          <w:rFonts w:ascii="Arial" w:hAnsi="Arial" w:cs="Arial"/>
        </w:rPr>
      </w:pPr>
      <w:r>
        <w:rPr>
          <w:rFonts w:cs="Arial" w:ascii="Arial" w:hAnsi="Arial"/>
          <w:b w:val="false"/>
        </w:rPr>
        <w:tab/>
        <w:t>Глава 3.</w:t>
        <w:tab/>
      </w:r>
      <w:r>
        <w:rPr>
          <w:rFonts w:cs="Arial" w:ascii="Arial" w:hAnsi="Arial"/>
        </w:rPr>
        <w:t>Оценка капитала, активов, доходности и ликвидности банка</w:t>
      </w:r>
    </w:p>
    <w:p>
      <w:pPr>
        <w:pStyle w:val="MainText"/>
        <w:rPr>
          <w:rFonts w:ascii="Arial" w:hAnsi="Arial" w:cs="Arial"/>
          <w:color w:val="000000"/>
        </w:rPr>
      </w:pPr>
      <w:r>
        <w:rPr>
          <w:rFonts w:cs="Arial" w:ascii="Arial" w:hAnsi="Arial"/>
          <w:color w:val="000000"/>
        </w:rPr>
        <w:t>3.1. Оценка капитала осуществляется по результатам оценок показателей достаточности собственных средств (капитала), общей достаточности капитала и оценки качества капитала (далее — группа показателей оценки капитала) банка.</w:t>
      </w:r>
    </w:p>
    <w:p>
      <w:pPr>
        <w:pStyle w:val="MainText"/>
        <w:rPr>
          <w:rFonts w:ascii="Arial" w:hAnsi="Arial" w:cs="Arial"/>
          <w:color w:val="000000"/>
        </w:rPr>
      </w:pPr>
      <w:r>
        <w:rPr>
          <w:rFonts w:cs="Arial" w:ascii="Arial" w:hAnsi="Arial"/>
          <w:color w:val="000000"/>
        </w:rPr>
        <w:t>3.1.1. Показатель достаточности собственных средств (капитала) (ПК1) представляет собой рассчитанное в соответствии с Инструкцией Банка России № 110-И фактическое значение обязательного норматива Н1 “Норматив достаточности собственных средств (капитала) банка” формы 0409135 “Информация об обязательных нормативах”, установленной приложением 1 к Указанию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(в редакции Указания Банка России от 17 февраля 2006 года № 1660-У), зарегистрированному Министерством юстиции Российской Федерации 23 января 2004 года № 5488; 23 марта 2006 года № 7613; 18 декабря 2006 года № 8630; 29 марта 2007 года № 9168; 25 июня 2007 года № 9679; 17 сентября 2007 года № 10155; 11 декабря 2007 года № 10669 (“Вестник Банка России” от 12 февраля 2004 года № 12—13; от 30 марта 2006 года № 19—20; от 21 декабря 2006 года № 71; от 30 марта 2007 года № 17; от 28 июня 2007 года № 37; от 27 сентября 2007 года № 55; от 17 декабря 2007 года № 69) (далее — Указание Банка России № 1376-У) (далее — форма 0409135).</w:t>
      </w:r>
    </w:p>
    <w:p>
      <w:pPr>
        <w:pStyle w:val="MainText"/>
        <w:rPr>
          <w:rFonts w:ascii="Arial" w:hAnsi="Arial" w:cs="Arial"/>
          <w:color w:val="000000"/>
        </w:rPr>
      </w:pPr>
      <w:r>
        <w:rPr>
          <w:rFonts w:cs="Arial" w:ascii="Arial" w:hAnsi="Arial"/>
          <w:color w:val="000000"/>
        </w:rPr>
        <w:t>3.1.2. Показатель общей достаточности капитала (ПК2) определяется как процентное отношение собственных средств (капитала) к активам банка, в объем которых не включаются активы, имеющие нулевой коэффициент риска, по следующей формуле:</w:t>
      </w:r>
    </w:p>
    <w:p>
      <w:pPr>
        <w:pStyle w:val="MainText-BezOtstupa1"/>
        <w:ind w:end="142"/>
        <w:jc w:val="center"/>
        <w:rPr>
          <w:rFonts w:ascii="Arial" w:hAnsi="Arial" w:cs="Arial"/>
        </w:rPr>
      </w:pPr>
      <w:r>
        <w:rPr>
          <w:rFonts w:cs="Arial" w:ascii="Arial" w:hAnsi="Arial"/>
        </w:rPr>
        <w:t>К</w:t>
      </w:r>
    </w:p>
    <w:p>
      <w:pPr>
        <w:pStyle w:val="MainText-BezOtstupa1"/>
        <w:jc w:val="center"/>
        <w:rPr>
          <w:rFonts w:ascii="Arial" w:hAnsi="Arial" w:cs="Arial"/>
        </w:rPr>
      </w:pPr>
      <w:r>
        <w:rPr>
          <w:rFonts w:cs="Arial" w:ascii="Arial" w:hAnsi="Arial"/>
        </w:rPr>
        <w:t>ПК2 = ———————— х 100%,</w:t>
      </w:r>
    </w:p>
    <w:p>
      <w:pPr>
        <w:pStyle w:val="MainText-BezOtstupa1"/>
        <w:ind w:end="142"/>
        <w:jc w:val="center"/>
        <w:rPr>
          <w:rFonts w:ascii="Arial" w:hAnsi="Arial" w:cs="Arial"/>
        </w:rPr>
      </w:pPr>
      <w:r>
        <w:rPr>
          <w:rFonts w:cs="Arial" w:ascii="Arial" w:hAnsi="Arial"/>
        </w:rPr>
        <w:t>А — Ариск0</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К — собственные средства (капитал) банка, определенные в соответствии с Положением Банка России от 10 февраля 2003 года № 215-П “О методике определения собственных средств (капитала) кредитных организаций”, зарегистрированным Министерством юстиции Российской Федерации 17 марта 2003 года № 4269; 17 июля 2006 года № 8091; 7 марта 2007 года № 9072; 26 июля 2007 года № 9910; 20 декабря 2007 года № 10778 (“Вестник Банка России” от 20 марта 2003 года № 15; от 26 июля 2006 года № 41; от 14 марта 2007 года № 14; от 2 августа 2007 года № 44; от 26 декабря 2007 года № 71) (далее — Положение Банка России № 215-П). Представляет собой значение показателя “Собственные средства (капитал), итого” формы 0409134 “Расчет собственных средств (капитала)”, установленной приложением 1 к Указанию Банка России № 1376-У (далее — форма 0409134);</w:t>
      </w:r>
    </w:p>
    <w:p>
      <w:pPr>
        <w:pStyle w:val="MainText"/>
        <w:rPr>
          <w:rFonts w:ascii="Arial" w:hAnsi="Arial" w:cs="Arial"/>
          <w:color w:val="000000"/>
        </w:rPr>
      </w:pPr>
      <w:r>
        <w:rPr>
          <w:rFonts w:cs="Arial" w:ascii="Arial" w:hAnsi="Arial"/>
          <w:color w:val="000000"/>
        </w:rPr>
        <w:t>А — активы. Представляет собой значение показателя “Всего активов” формы 0409806 “Бухгалтерский баланс (публикуемая форма)”, установленной приложением 1 к Указанию Банка России № 1376-У (далее — форма 0409806) (любой показатель формы 0409806 определяется в соответствии с “Разработочной таблицей для составления бухгалтерского баланса (публикуемая форма)” пункта 3 Порядка составления и представления отчетности по форме 0409806 “Бухгалтерский баланс (публикуемая форма)”;</w:t>
      </w:r>
    </w:p>
    <w:p>
      <w:pPr>
        <w:pStyle w:val="MainText"/>
        <w:rPr>
          <w:rFonts w:ascii="Arial" w:hAnsi="Arial" w:cs="Arial"/>
          <w:color w:val="000000"/>
        </w:rPr>
      </w:pPr>
      <w:r>
        <w:rPr>
          <w:rFonts w:cs="Arial" w:ascii="Arial" w:hAnsi="Arial"/>
          <w:color w:val="000000"/>
        </w:rPr>
        <w:t>Ариск0 — совокупная величина активов, имеющих нулевой коэффициент риска. Представляет собой значение показателя Ариск0 формы 0409135, рассчитанное в соответствии с Инструкцией Банка России № 110-И.</w:t>
      </w:r>
    </w:p>
    <w:p>
      <w:pPr>
        <w:pStyle w:val="MainText"/>
        <w:rPr>
          <w:rFonts w:ascii="Arial" w:hAnsi="Arial" w:cs="Arial"/>
          <w:color w:val="000000"/>
        </w:rPr>
      </w:pPr>
      <w:r>
        <w:rPr>
          <w:rFonts w:cs="Arial" w:ascii="Arial" w:hAnsi="Arial"/>
          <w:color w:val="000000"/>
        </w:rPr>
        <w:t>3.1.3. Показатель оценки качества капитала (ПК3) определяется как процентное отношение дополнительного капитала к основному капиталу по следующей формуле:</w:t>
      </w:r>
    </w:p>
    <w:p>
      <w:pPr>
        <w:pStyle w:val="MainText-BezOtstupa1"/>
        <w:keepNext w:val="true"/>
        <w:keepLines/>
        <w:spacing w:before="120" w:after="0"/>
        <w:ind w:end="125"/>
        <w:jc w:val="center"/>
        <w:rPr>
          <w:rFonts w:ascii="Arial" w:hAnsi="Arial" w:cs="Arial"/>
        </w:rPr>
      </w:pPr>
      <w:r>
        <w:rPr>
          <w:rFonts w:cs="Arial" w:ascii="Arial" w:hAnsi="Arial"/>
        </w:rPr>
        <w:t>Кдоп</w:t>
      </w:r>
    </w:p>
    <w:p>
      <w:pPr>
        <w:pStyle w:val="MainText-BezOtstupa1"/>
        <w:jc w:val="center"/>
        <w:rPr>
          <w:rFonts w:ascii="Arial" w:hAnsi="Arial" w:cs="Arial"/>
        </w:rPr>
      </w:pPr>
      <w:r>
        <w:rPr>
          <w:rFonts w:cs="Arial" w:ascii="Arial" w:hAnsi="Arial"/>
        </w:rPr>
        <w:t>ПК3 = ————— х 100%,</w:t>
      </w:r>
    </w:p>
    <w:p>
      <w:pPr>
        <w:pStyle w:val="MainText-BezOtstupa1"/>
        <w:ind w:end="125"/>
        <w:jc w:val="center"/>
        <w:rPr>
          <w:rFonts w:ascii="Arial" w:hAnsi="Arial" w:cs="Arial"/>
        </w:rPr>
      </w:pPr>
      <w:r>
        <w:rPr>
          <w:rFonts w:cs="Arial" w:ascii="Arial" w:hAnsi="Arial"/>
        </w:rPr>
        <w:t>Косн</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Кдоп — дополнительный капитал банка, определенный в соответствии с Положением Банка России № 215-П. Представляет собой значение показателя “Дополнительный капитал, итого” формы 0409134;</w:t>
      </w:r>
    </w:p>
    <w:p>
      <w:pPr>
        <w:pStyle w:val="MainText"/>
        <w:rPr>
          <w:rFonts w:ascii="Arial" w:hAnsi="Arial" w:cs="Arial"/>
          <w:color w:val="000000"/>
        </w:rPr>
      </w:pPr>
      <w:r>
        <w:rPr>
          <w:rFonts w:cs="Arial" w:ascii="Arial" w:hAnsi="Arial"/>
          <w:color w:val="000000"/>
        </w:rPr>
        <w:t>Косн — основной капитал банка, определенный в соответствии с Положением Банка России № 215-П. Представляет собой значение показателя “Основной капитал, итого” формы 0409134.</w:t>
      </w:r>
    </w:p>
    <w:p>
      <w:pPr>
        <w:pStyle w:val="MainText"/>
        <w:rPr>
          <w:rFonts w:ascii="Arial" w:hAnsi="Arial" w:cs="Arial"/>
          <w:color w:val="000000"/>
        </w:rPr>
      </w:pPr>
      <w:r>
        <w:rPr>
          <w:rFonts w:cs="Arial" w:ascii="Arial" w:hAnsi="Arial"/>
          <w:color w:val="000000"/>
        </w:rPr>
        <w:t>3.1.4. Для оценки капитала банка рассчитывается обобщающий результат по группе показателей оценки капитала (РГК), который представляет собой среднее взвешенное значение показателей, определенных в соответствии с подпунктами 3.1.1—3.1.3 настоящего пункта. Расчет обобщающего результата производится по следующей формуле:</w:t>
      </w:r>
    </w:p>
    <w:p>
      <w:pPr>
        <w:pStyle w:val="MainText-BezOtstupa1"/>
        <w:keepNext w:val="true"/>
        <w:keepLines/>
        <w:tabs>
          <w:tab w:val="clear" w:pos="720"/>
          <w:tab w:val="center" w:pos="4479" w:leader="none"/>
          <w:tab w:val="center" w:pos="5897" w:leader="none"/>
        </w:tabs>
        <w:jc w:val="start"/>
        <w:rPr>
          <w:rFonts w:ascii="Arial" w:hAnsi="Arial" w:cs="Arial"/>
          <w:vertAlign w:val="subscript"/>
        </w:rPr>
      </w:pPr>
      <w:r>
        <w:rPr>
          <w:rFonts w:cs="Arial" w:ascii="Arial" w:hAnsi="Arial"/>
          <w:vertAlign w:val="subscript"/>
        </w:rPr>
        <w:tab/>
        <w:t>3</w:t>
        <w:tab/>
        <w:t>3</w:t>
      </w:r>
    </w:p>
    <w:p>
      <w:pPr>
        <w:pStyle w:val="MainText-BezOtstupa1"/>
        <w:keepNext w:val="true"/>
        <w:keepLines/>
        <w:tabs>
          <w:tab w:val="clear" w:pos="720"/>
          <w:tab w:val="center" w:pos="4479" w:leader="none"/>
          <w:tab w:val="center" w:pos="5897" w:leader="none"/>
        </w:tabs>
        <w:jc w:val="center"/>
        <w:rPr>
          <w:rFonts w:ascii="Arial" w:hAnsi="Arial" w:cs="Arial"/>
        </w:rPr>
      </w:pPr>
      <w:r>
        <w:rPr>
          <w:rFonts w:cs="Arial" w:ascii="Arial" w:hAnsi="Arial"/>
        </w:rPr>
        <w:t xml:space="preserve">РГК = </w:t>
      </w:r>
      <w:r>
        <w:rPr>
          <w:rFonts w:cs="Symbol" w:ascii="Symbol" w:hAnsi="Symbol"/>
        </w:rPr>
        <w:sym w:font="Symbol" w:char="f053"/>
      </w:r>
      <w:r>
        <w:rPr>
          <w:rFonts w:cs="Arial" w:ascii="Arial" w:hAnsi="Arial"/>
        </w:rPr>
        <w:t xml:space="preserve"> (балл</w:t>
      </w:r>
      <w:r>
        <w:rPr>
          <w:rFonts w:cs="Arial" w:ascii="Arial" w:hAnsi="Arial"/>
          <w:vertAlign w:val="subscript"/>
        </w:rPr>
        <w:t>i</w:t>
      </w:r>
      <w:r>
        <w:rPr>
          <w:rFonts w:cs="Arial" w:ascii="Arial" w:hAnsi="Arial"/>
        </w:rPr>
        <w:t xml:space="preserve"> х вес</w:t>
      </w:r>
      <w:r>
        <w:rPr>
          <w:rFonts w:cs="Arial" w:ascii="Arial" w:hAnsi="Arial"/>
          <w:vertAlign w:val="subscript"/>
        </w:rPr>
        <w:t>i</w:t>
      </w:r>
      <w:r>
        <w:rPr>
          <w:rFonts w:cs="Arial" w:ascii="Arial" w:hAnsi="Arial"/>
        </w:rPr>
        <w:t xml:space="preserve">) : </w:t>
      </w:r>
      <w:r>
        <w:rPr>
          <w:rFonts w:cs="Symbol" w:ascii="Symbol" w:hAnsi="Symbol"/>
        </w:rPr>
        <w:sym w:font="Symbol" w:char="f053"/>
      </w:r>
      <w:r>
        <w:rPr>
          <w:rFonts w:cs="Arial" w:ascii="Arial" w:hAnsi="Arial"/>
        </w:rPr>
        <w:t xml:space="preserve"> вес</w:t>
      </w:r>
      <w:r>
        <w:rPr>
          <w:rFonts w:cs="Arial" w:ascii="Arial" w:hAnsi="Arial"/>
          <w:vertAlign w:val="subscript"/>
        </w:rPr>
        <w:t>i</w:t>
      </w:r>
      <w:r>
        <w:rPr>
          <w:rFonts w:cs="Arial" w:ascii="Arial" w:hAnsi="Arial"/>
        </w:rPr>
        <w:t>,</w:t>
      </w:r>
    </w:p>
    <w:p>
      <w:pPr>
        <w:pStyle w:val="MainText-BezOtstupa1"/>
        <w:tabs>
          <w:tab w:val="clear" w:pos="720"/>
          <w:tab w:val="center" w:pos="4479" w:leader="none"/>
          <w:tab w:val="center" w:pos="5897" w:leader="none"/>
        </w:tabs>
        <w:jc w:val="start"/>
        <w:rPr>
          <w:rFonts w:ascii="Arial" w:hAnsi="Arial" w:cs="Arial"/>
          <w:vertAlign w:val="superscript"/>
        </w:rPr>
      </w:pPr>
      <w:r>
        <w:rPr>
          <w:rFonts w:cs="Arial" w:ascii="Arial" w:hAnsi="Arial"/>
          <w:vertAlign w:val="superscript"/>
        </w:rPr>
        <w:tab/>
        <w:t>i=1</w:t>
        <w:tab/>
        <w:t>i=1</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балл</w:t>
      </w:r>
      <w:r>
        <w:rPr>
          <w:rFonts w:cs="Arial" w:ascii="Arial" w:hAnsi="Arial"/>
          <w:color w:val="000000"/>
          <w:vertAlign w:val="subscript"/>
        </w:rPr>
        <w:t>i</w:t>
      </w:r>
      <w:r>
        <w:rPr>
          <w:rFonts w:cs="Arial" w:ascii="Arial" w:hAnsi="Arial"/>
          <w:color w:val="000000"/>
        </w:rPr>
        <w:t> — оценка от 1 до 4 соответствующего показателя, определенного в соответствии с подпунктами 3.1.1—3.1.3 настоящего пункта (балльная оценка);</w:t>
      </w:r>
    </w:p>
    <w:p>
      <w:pPr>
        <w:pStyle w:val="MainText"/>
        <w:rPr>
          <w:rFonts w:ascii="Arial" w:hAnsi="Arial" w:cs="Arial"/>
          <w:color w:val="000000"/>
        </w:rPr>
      </w:pPr>
      <w:r>
        <w:rPr>
          <w:rFonts w:cs="Arial" w:ascii="Arial" w:hAnsi="Arial"/>
          <w:color w:val="000000"/>
        </w:rPr>
        <w:t>вес</w:t>
      </w:r>
      <w:r>
        <w:rPr>
          <w:rFonts w:cs="Arial" w:ascii="Arial" w:hAnsi="Arial"/>
          <w:color w:val="000000"/>
          <w:vertAlign w:val="subscript"/>
        </w:rPr>
        <w:t>i</w:t>
      </w:r>
      <w:r>
        <w:rPr>
          <w:rFonts w:cs="Arial" w:ascii="Arial" w:hAnsi="Arial"/>
          <w:color w:val="000000"/>
        </w:rPr>
        <w:t> — оценка по шкале относительной значимости от 1 до 3 соответствующего показателя, определенного в соответствии с подпунктами 3.1.1—3.1.3 настоящего пункта (весовая оценка).</w:t>
      </w:r>
    </w:p>
    <w:p>
      <w:pPr>
        <w:pStyle w:val="MainText"/>
        <w:rPr>
          <w:rFonts w:ascii="Arial" w:hAnsi="Arial" w:cs="Arial"/>
          <w:color w:val="000000"/>
        </w:rPr>
      </w:pPr>
      <w:r>
        <w:rPr>
          <w:rFonts w:cs="Arial" w:ascii="Arial" w:hAnsi="Arial"/>
          <w:color w:val="000000"/>
        </w:rPr>
        <w:t>Балльная и весовая оценки показателей группы показателей оценки капитала приведены в приложении 1 к настоящему Указанию.</w:t>
      </w:r>
    </w:p>
    <w:p>
      <w:pPr>
        <w:pStyle w:val="MainText"/>
        <w:rPr>
          <w:rFonts w:ascii="Arial" w:hAnsi="Arial" w:cs="Arial"/>
          <w:color w:val="000000"/>
        </w:rPr>
      </w:pPr>
      <w:r>
        <w:rPr>
          <w:rFonts w:cs="Arial" w:ascii="Arial" w:hAnsi="Arial"/>
          <w:color w:val="000000"/>
        </w:rPr>
        <w:t>3.1.5. Обобщающий результат по группе показателей оценки капитала является целым числом. В случае если дробная часть полученного показателя имеет значение, меньшее 0,35, показателю присваивается значение, равное его целой части. В противном случае показатель принимается равным его целой части, увеличенной на 1.</w:t>
      </w:r>
    </w:p>
    <w:p>
      <w:pPr>
        <w:pStyle w:val="MainText"/>
        <w:rPr>
          <w:rFonts w:ascii="Arial" w:hAnsi="Arial" w:cs="Arial"/>
          <w:color w:val="000000"/>
        </w:rPr>
      </w:pPr>
      <w:r>
        <w:rPr>
          <w:rFonts w:cs="Arial" w:ascii="Arial" w:hAnsi="Arial"/>
          <w:color w:val="000000"/>
        </w:rPr>
        <w:t>3.1.6. Обобщающий результат характеризует состояние капитала следующим образом:</w:t>
      </w:r>
    </w:p>
    <w:p>
      <w:pPr>
        <w:pStyle w:val="MainText"/>
        <w:rPr>
          <w:rFonts w:ascii="Arial" w:hAnsi="Arial" w:cs="Arial"/>
          <w:color w:val="000000"/>
        </w:rPr>
      </w:pPr>
      <w:r>
        <w:rPr>
          <w:rFonts w:cs="Arial" w:ascii="Arial" w:hAnsi="Arial"/>
          <w:color w:val="000000"/>
        </w:rPr>
        <w:t>равный 1 — “хорошее”;</w:t>
      </w:r>
    </w:p>
    <w:p>
      <w:pPr>
        <w:pStyle w:val="MainText"/>
        <w:rPr>
          <w:rFonts w:ascii="Arial" w:hAnsi="Arial" w:cs="Arial"/>
          <w:color w:val="000000"/>
        </w:rPr>
      </w:pPr>
      <w:r>
        <w:rPr>
          <w:rFonts w:cs="Arial" w:ascii="Arial" w:hAnsi="Arial"/>
          <w:color w:val="000000"/>
        </w:rPr>
        <w:t>равный 2 — “удовлетворительное”;</w:t>
      </w:r>
    </w:p>
    <w:p>
      <w:pPr>
        <w:pStyle w:val="MainText"/>
        <w:rPr>
          <w:rFonts w:ascii="Arial" w:hAnsi="Arial" w:cs="Arial"/>
          <w:color w:val="000000"/>
        </w:rPr>
      </w:pPr>
      <w:r>
        <w:rPr>
          <w:rFonts w:cs="Arial" w:ascii="Arial" w:hAnsi="Arial"/>
          <w:color w:val="000000"/>
        </w:rPr>
        <w:t>равный 3 — “сомнительное”;</w:t>
      </w:r>
    </w:p>
    <w:p>
      <w:pPr>
        <w:pStyle w:val="MainText"/>
        <w:rPr>
          <w:rFonts w:ascii="Arial" w:hAnsi="Arial" w:cs="Arial"/>
          <w:color w:val="000000"/>
        </w:rPr>
      </w:pPr>
      <w:r>
        <w:rPr>
          <w:rFonts w:cs="Arial" w:ascii="Arial" w:hAnsi="Arial"/>
          <w:color w:val="000000"/>
        </w:rPr>
        <w:t>равный 4 — “неудовлетворительное”.</w:t>
      </w:r>
    </w:p>
    <w:p>
      <w:pPr>
        <w:pStyle w:val="MainText"/>
        <w:rPr>
          <w:rFonts w:ascii="Arial" w:hAnsi="Arial" w:cs="Arial"/>
          <w:color w:val="000000"/>
        </w:rPr>
      </w:pPr>
      <w:r>
        <w:rPr>
          <w:rFonts w:cs="Arial" w:ascii="Arial" w:hAnsi="Arial"/>
          <w:color w:val="000000"/>
        </w:rPr>
        <w:t>3.2. Оценка активов банка определяется по результатам оценок показателей качества ссуд, риска потерь, доли просроченных ссуд, размера резервов на потери по ссудам и иным активам, концентрации крупных кредитных рисков, концентрации кредитных рисков на акционеров (участников) и концентрации кредитных рисков на инсайдеров (далее — группа показателей оценки активов).</w:t>
      </w:r>
    </w:p>
    <w:p>
      <w:pPr>
        <w:pStyle w:val="MainText"/>
        <w:rPr>
          <w:rFonts w:ascii="Arial" w:hAnsi="Arial" w:cs="Arial"/>
          <w:color w:val="000000"/>
        </w:rPr>
      </w:pPr>
      <w:r>
        <w:rPr>
          <w:rFonts w:cs="Arial" w:ascii="Arial" w:hAnsi="Arial"/>
          <w:color w:val="000000"/>
        </w:rPr>
        <w:t>3.2.1. Показатель качества ссуд (ПА1) представляет собой удельный вес безнадежных ссуд в общем объеме ссуд и рассчитывается по следующей формуле:</w:t>
      </w:r>
    </w:p>
    <w:p>
      <w:pPr>
        <w:pStyle w:val="MainText-BezOtstupa1"/>
        <w:keepNext w:val="true"/>
        <w:keepLines/>
        <w:spacing w:before="120" w:after="0"/>
        <w:ind w:end="142"/>
        <w:jc w:val="center"/>
        <w:rPr>
          <w:rFonts w:ascii="Arial" w:hAnsi="Arial" w:cs="Arial"/>
        </w:rPr>
      </w:pPr>
      <w:r>
        <w:rPr>
          <w:rFonts w:cs="Arial" w:ascii="Arial" w:hAnsi="Arial"/>
        </w:rPr>
        <w:t>СЗбн</w:t>
      </w:r>
    </w:p>
    <w:p>
      <w:pPr>
        <w:pStyle w:val="MainText-BezOtstupa1"/>
        <w:jc w:val="center"/>
        <w:rPr>
          <w:rFonts w:ascii="Arial" w:hAnsi="Arial" w:cs="Arial"/>
        </w:rPr>
      </w:pPr>
      <w:r>
        <w:rPr>
          <w:rFonts w:cs="Arial" w:ascii="Arial" w:hAnsi="Arial"/>
        </w:rPr>
        <w:t>ПА1 = ————— х 100%,</w:t>
      </w:r>
    </w:p>
    <w:p>
      <w:pPr>
        <w:pStyle w:val="MainText-BezOtstupa1"/>
        <w:ind w:end="142"/>
        <w:jc w:val="center"/>
        <w:rPr>
          <w:rFonts w:ascii="Arial" w:hAnsi="Arial" w:cs="Arial"/>
        </w:rPr>
      </w:pPr>
      <w:r>
        <w:rPr>
          <w:rFonts w:cs="Arial" w:ascii="Arial" w:hAnsi="Arial"/>
        </w:rPr>
        <w:t>СЗ</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СЗ — ссуды, ссудная и приравненная к ней задолженность, определенные в соответствии с Положением Банка России от 26 марта 2004 года №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зарегистрированным Министерством юстиции Российской Федерации 26 апреля 2004 года № 5774; 20 апреля 2006 года № 7728; 27 декабря 2006 года № 8676; 10 декабря 2007 года № 10660; 23 января 2008 года № 10968 (“Вестник Банка России” от 7 мая 2004 года № 28; от 4 мая 2006 года № 26; от 15 января 2007 года № 1; от 17 декабря 2007 года № 69; от 31 января 2008 года № 4) (далее — Положение Банка России № 254-П) (далее — cсуды), на основе данных формы 0409115 “Информация о качестве активов кредитной организации”, установленной приложением 1 к Указанию Банка России № 1376-У (далее — форма 0409115);</w:t>
      </w:r>
    </w:p>
    <w:p>
      <w:pPr>
        <w:pStyle w:val="MainText"/>
        <w:rPr>
          <w:rFonts w:ascii="Arial" w:hAnsi="Arial" w:cs="Arial"/>
          <w:color w:val="000000"/>
        </w:rPr>
      </w:pPr>
      <w:r>
        <w:rPr>
          <w:rFonts w:cs="Arial" w:ascii="Arial" w:hAnsi="Arial"/>
          <w:color w:val="000000"/>
        </w:rPr>
        <w:t>СЗбн — безнадежные ссуды, определенные в соответствии с Положением Банка России № 254-П на основе данных формы 0409115.</w:t>
      </w:r>
    </w:p>
    <w:p>
      <w:pPr>
        <w:pStyle w:val="MainText"/>
        <w:rPr>
          <w:rFonts w:ascii="Arial" w:hAnsi="Arial" w:cs="Arial"/>
          <w:color w:val="000000"/>
        </w:rPr>
      </w:pPr>
      <w:r>
        <w:rPr>
          <w:rFonts w:cs="Arial" w:ascii="Arial" w:hAnsi="Arial"/>
          <w:color w:val="000000"/>
        </w:rPr>
        <w:t>3.2.2. Показатель риска потерь (ПА2) определяется как процентное отношение не покрытых резервами активов, резервы на возможные потери по которым должны составлять более 20 процентов, к собственным средствам (капиталу) банка по следующей формуле:</w:t>
      </w:r>
    </w:p>
    <w:p>
      <w:pPr>
        <w:pStyle w:val="MainText-BezOtstupa1"/>
        <w:spacing w:before="120" w:after="0"/>
        <w:ind w:end="130"/>
        <w:jc w:val="center"/>
        <w:rPr>
          <w:rFonts w:ascii="Arial" w:hAnsi="Arial" w:cs="Arial"/>
        </w:rPr>
      </w:pPr>
      <w:r>
        <w:rPr>
          <w:rFonts w:cs="Arial" w:ascii="Arial" w:hAnsi="Arial"/>
        </w:rPr>
        <w:t>А</w:t>
      </w:r>
      <w:r>
        <w:rPr>
          <w:rFonts w:cs="Arial" w:ascii="Arial" w:hAnsi="Arial"/>
          <w:vertAlign w:val="subscript"/>
        </w:rPr>
        <w:t>20</w:t>
      </w:r>
      <w:r>
        <w:rPr>
          <w:rFonts w:cs="Arial" w:ascii="Arial" w:hAnsi="Arial"/>
        </w:rPr>
        <w:t xml:space="preserve"> — (РП</w:t>
      </w:r>
      <w:r>
        <w:rPr>
          <w:rFonts w:cs="Arial" w:ascii="Arial" w:hAnsi="Arial"/>
          <w:vertAlign w:val="subscript"/>
        </w:rPr>
        <w:t>20</w:t>
      </w:r>
      <w:r>
        <w:rPr>
          <w:rFonts w:cs="Arial" w:ascii="Arial" w:hAnsi="Arial"/>
        </w:rPr>
        <w:t xml:space="preserve"> + (РР</w:t>
      </w:r>
      <w:r>
        <w:rPr>
          <w:rFonts w:cs="Arial" w:ascii="Arial" w:hAnsi="Arial"/>
          <w:vertAlign w:val="subscript"/>
        </w:rPr>
        <w:t>20</w:t>
      </w:r>
      <w:r>
        <w:rPr>
          <w:rFonts w:cs="Arial" w:ascii="Arial" w:hAnsi="Arial"/>
        </w:rPr>
        <w:t xml:space="preserve"> — Р) + ПП)</w:t>
      </w:r>
    </w:p>
    <w:p>
      <w:pPr>
        <w:pStyle w:val="MainText-BezOtstupa1"/>
        <w:jc w:val="center"/>
        <w:rPr>
          <w:rFonts w:ascii="Arial" w:hAnsi="Arial" w:cs="Arial"/>
        </w:rPr>
      </w:pPr>
      <w:r>
        <w:rPr>
          <w:rFonts w:cs="Arial" w:ascii="Arial" w:hAnsi="Arial"/>
        </w:rPr>
        <w:t>ПА2 = ———————————————— х 100%,</w:t>
      </w:r>
    </w:p>
    <w:p>
      <w:pPr>
        <w:pStyle w:val="MainText-BezOtstupa1"/>
        <w:ind w:end="130"/>
        <w:jc w:val="center"/>
        <w:rPr>
          <w:rFonts w:ascii="Arial" w:hAnsi="Arial" w:cs="Arial"/>
        </w:rPr>
      </w:pPr>
      <w:r>
        <w:rPr>
          <w:rFonts w:cs="Arial" w:ascii="Arial" w:hAnsi="Arial"/>
        </w:rPr>
        <w:t>К</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А</w:t>
      </w:r>
      <w:r>
        <w:rPr>
          <w:rFonts w:cs="Arial" w:ascii="Arial" w:hAnsi="Arial"/>
          <w:color w:val="000000"/>
          <w:vertAlign w:val="subscript"/>
        </w:rPr>
        <w:t>20</w:t>
      </w:r>
      <w:r>
        <w:rPr>
          <w:rFonts w:cs="Arial" w:ascii="Arial" w:hAnsi="Arial"/>
          <w:color w:val="000000"/>
        </w:rPr>
        <w:t> — активы (включая положительные разницы между номинальными стоимостями срочных сделок на покупку базисных активов и их рыночными стоимостями и(или) между рыночными стоимостями срочных сделок на продажу базисных активов и их номинальными стоимостями), резервы на возможные потери по которым в соответствии с Положением Банка России № 254-П и Положением Банка России от 20 марта 2006 года № 283-П “О порядке формирования кредитными организациями резервов на возможные потери”, зарегистрированным Министерством юстиции Российской Федерации 25 апреля 2006 года № 7741; 2 июля 2007 года № 9739; 6 декабря 2007 года № 10639 (“Вестник Банка России” от 4 мая 2006 года № 26; от 11 июля 2007 года № 39; от 17 декабря 2007 года № 69) (далее — Положение Банка России № 283-П), должны быть сформированы в размере более 20 процентов. Определяются на основе данных формы 0409115 и формы 0409155 “Сведения о финансовых инструментах, отражаемых на внебалансовых счетах”, установленной приложением 1 к Указанию Банка России № 1376-У (далее — форма 0409155);</w:t>
      </w:r>
    </w:p>
    <w:p>
      <w:pPr>
        <w:pStyle w:val="MainText"/>
        <w:rPr>
          <w:rFonts w:ascii="Arial" w:hAnsi="Arial" w:cs="Arial"/>
          <w:color w:val="000000"/>
        </w:rPr>
      </w:pPr>
      <w:r>
        <w:rPr>
          <w:rFonts w:cs="Arial" w:ascii="Arial" w:hAnsi="Arial"/>
          <w:color w:val="000000"/>
        </w:rPr>
        <w:t>РП</w:t>
      </w:r>
      <w:r>
        <w:rPr>
          <w:rFonts w:cs="Arial" w:ascii="Arial" w:hAnsi="Arial"/>
          <w:color w:val="000000"/>
          <w:vertAlign w:val="subscript"/>
        </w:rPr>
        <w:t>20</w:t>
      </w:r>
      <w:r>
        <w:rPr>
          <w:rFonts w:cs="Arial" w:ascii="Arial" w:hAnsi="Arial"/>
          <w:color w:val="000000"/>
        </w:rPr>
        <w:t> — резервы на возможные потери, фактически сформированные под А</w:t>
      </w:r>
      <w:r>
        <w:rPr>
          <w:rFonts w:cs="Arial" w:ascii="Arial" w:hAnsi="Arial"/>
          <w:color w:val="000000"/>
          <w:vertAlign w:val="subscript"/>
        </w:rPr>
        <w:t>20</w:t>
      </w:r>
      <w:r>
        <w:rPr>
          <w:rFonts w:cs="Arial" w:ascii="Arial" w:hAnsi="Arial"/>
          <w:color w:val="000000"/>
        </w:rPr>
        <w:t xml:space="preserve"> в соответствии с Положением Банка России № 254-П и Положением Банка России № 283-П. Определяются на основе данных форм 0409115 и 0409155;</w:t>
      </w:r>
    </w:p>
    <w:p>
      <w:pPr>
        <w:pStyle w:val="MainText"/>
        <w:rPr>
          <w:rFonts w:ascii="Arial" w:hAnsi="Arial" w:cs="Arial"/>
          <w:color w:val="000000"/>
        </w:rPr>
      </w:pPr>
      <w:r>
        <w:rPr>
          <w:rFonts w:cs="Arial" w:ascii="Arial" w:hAnsi="Arial"/>
          <w:color w:val="000000"/>
        </w:rPr>
        <w:t>РР</w:t>
      </w:r>
      <w:r>
        <w:rPr>
          <w:rFonts w:cs="Arial" w:ascii="Arial" w:hAnsi="Arial"/>
          <w:color w:val="000000"/>
          <w:vertAlign w:val="subscript"/>
        </w:rPr>
        <w:t>20</w:t>
      </w:r>
      <w:r>
        <w:rPr>
          <w:rFonts w:cs="Arial" w:ascii="Arial" w:hAnsi="Arial"/>
          <w:color w:val="000000"/>
        </w:rPr>
        <w:t> — величина расчетного резерва на возможные потери под А</w:t>
      </w:r>
      <w:r>
        <w:rPr>
          <w:rFonts w:cs="Arial" w:ascii="Arial" w:hAnsi="Arial"/>
          <w:color w:val="000000"/>
          <w:vertAlign w:val="subscript"/>
        </w:rPr>
        <w:t>20</w:t>
      </w:r>
      <w:r>
        <w:rPr>
          <w:rFonts w:cs="Arial" w:ascii="Arial" w:hAnsi="Arial"/>
          <w:color w:val="000000"/>
        </w:rPr>
        <w:t xml:space="preserve"> в соответствии с Положением Банка России № 254-П и Положением Банка России № 283-П. Определяется на основе данных формы 0409115;</w:t>
      </w:r>
    </w:p>
    <w:p>
      <w:pPr>
        <w:pStyle w:val="MainText"/>
        <w:rPr>
          <w:rFonts w:ascii="Arial" w:hAnsi="Arial" w:cs="Arial"/>
          <w:color w:val="000000"/>
        </w:rPr>
      </w:pPr>
      <w:r>
        <w:rPr>
          <w:rFonts w:cs="Arial" w:ascii="Arial" w:hAnsi="Arial"/>
          <w:color w:val="000000"/>
        </w:rPr>
        <w:t>Р — минимальный размер резерва на возможные потери под А</w:t>
      </w:r>
      <w:r>
        <w:rPr>
          <w:rFonts w:cs="Arial" w:ascii="Arial" w:hAnsi="Arial"/>
          <w:color w:val="000000"/>
          <w:vertAlign w:val="subscript"/>
        </w:rPr>
        <w:t>20</w:t>
      </w:r>
      <w:r>
        <w:rPr>
          <w:rFonts w:cs="Arial" w:ascii="Arial" w:hAnsi="Arial"/>
          <w:color w:val="000000"/>
        </w:rPr>
        <w:t xml:space="preserve"> в соответствии с Положением Банка России № 254-П и Положением Банка России № 283-П. Определяется на основе данных формы 0409115;</w:t>
      </w:r>
    </w:p>
    <w:p>
      <w:pPr>
        <w:pStyle w:val="MainText"/>
        <w:rPr>
          <w:rFonts w:ascii="Arial" w:hAnsi="Arial" w:cs="Arial"/>
          <w:color w:val="000000"/>
        </w:rPr>
      </w:pPr>
      <w:r>
        <w:rPr>
          <w:rFonts w:cs="Arial" w:ascii="Arial" w:hAnsi="Arial"/>
          <w:color w:val="000000"/>
        </w:rPr>
        <w:t>ПП — положительная переоценка по хеджирующим сделкам, принятая в уменьшение резервов на возможные потери по срочным сделкам в соответствии с Положением Банка России № 283-П. Определяется на основе данных формы 0409155.</w:t>
      </w:r>
    </w:p>
    <w:p>
      <w:pPr>
        <w:pStyle w:val="MainText"/>
        <w:rPr>
          <w:rFonts w:ascii="Arial" w:hAnsi="Arial" w:cs="Arial"/>
          <w:color w:val="000000"/>
        </w:rPr>
      </w:pPr>
      <w:r>
        <w:rPr>
          <w:rFonts w:cs="Arial" w:ascii="Arial" w:hAnsi="Arial"/>
          <w:color w:val="000000"/>
        </w:rPr>
        <w:t>3.2.3. Показатель доли просроченных ссуд (ПА3) представляет собой удельный вес просроченных ссуд в общем объеме ссуд и рассчитывается по следующей формуле:</w:t>
      </w:r>
    </w:p>
    <w:p>
      <w:pPr>
        <w:pStyle w:val="MainText-BezOtstupa1"/>
        <w:spacing w:before="120" w:after="0"/>
        <w:ind w:end="142"/>
        <w:jc w:val="center"/>
        <w:rPr>
          <w:rFonts w:ascii="Arial" w:hAnsi="Arial" w:cs="Arial"/>
        </w:rPr>
      </w:pPr>
      <w:r>
        <w:rPr>
          <w:rFonts w:cs="Arial" w:ascii="Arial" w:hAnsi="Arial"/>
        </w:rPr>
        <w:t>СЗпр</w:t>
      </w:r>
    </w:p>
    <w:p>
      <w:pPr>
        <w:pStyle w:val="MainText-BezOtstupa1"/>
        <w:jc w:val="center"/>
        <w:rPr>
          <w:rFonts w:ascii="Arial" w:hAnsi="Arial" w:cs="Arial"/>
        </w:rPr>
      </w:pPr>
      <w:r>
        <w:rPr>
          <w:rFonts w:cs="Arial" w:ascii="Arial" w:hAnsi="Arial"/>
        </w:rPr>
        <w:t>ПА3 = ————— х 100%,</w:t>
      </w:r>
    </w:p>
    <w:p>
      <w:pPr>
        <w:pStyle w:val="MainText-BezOtstupa1"/>
        <w:ind w:end="142"/>
        <w:jc w:val="center"/>
        <w:rPr>
          <w:rFonts w:ascii="Arial" w:hAnsi="Arial" w:cs="Arial"/>
        </w:rPr>
      </w:pPr>
      <w:r>
        <w:rPr>
          <w:rFonts w:cs="Arial" w:ascii="Arial" w:hAnsi="Arial"/>
        </w:rPr>
        <w:t>СЗ</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СЗпр — ссуды, просроченные свыше 30 календарных дней, определенные на основе данных формы 0409115.</w:t>
      </w:r>
    </w:p>
    <w:p>
      <w:pPr>
        <w:pStyle w:val="MainText"/>
        <w:rPr>
          <w:rFonts w:ascii="Arial" w:hAnsi="Arial" w:cs="Arial"/>
          <w:color w:val="000000"/>
        </w:rPr>
      </w:pPr>
      <w:r>
        <w:rPr>
          <w:rFonts w:cs="Arial" w:ascii="Arial" w:hAnsi="Arial"/>
          <w:color w:val="000000"/>
        </w:rPr>
        <w:t>3.2.4. Показатель размера резервов на потери по ссудам и иным активам (ПА4) определяется как процентное отношение расчетного резерва на возможные потери по ссудам (далее — РВПС) за минусом сформированного РВПС к собственным средствам (капиталу) по следующей формуле:</w:t>
      </w:r>
    </w:p>
    <w:p>
      <w:pPr>
        <w:pStyle w:val="MainText-BezOtstupa1"/>
        <w:spacing w:before="120" w:after="0"/>
        <w:ind w:end="142"/>
        <w:jc w:val="center"/>
        <w:rPr>
          <w:rFonts w:ascii="Arial" w:hAnsi="Arial" w:cs="Arial"/>
        </w:rPr>
      </w:pPr>
      <w:r>
        <w:rPr>
          <w:rFonts w:cs="Arial" w:ascii="Arial" w:hAnsi="Arial"/>
        </w:rPr>
        <w:t>РВПСр — РВПСф</w:t>
      </w:r>
    </w:p>
    <w:p>
      <w:pPr>
        <w:pStyle w:val="MainText-BezOtstupa1"/>
        <w:jc w:val="center"/>
        <w:rPr>
          <w:rFonts w:ascii="Arial" w:hAnsi="Arial" w:cs="Arial"/>
        </w:rPr>
      </w:pPr>
      <w:r>
        <w:rPr>
          <w:rFonts w:cs="Arial" w:ascii="Arial" w:hAnsi="Arial"/>
        </w:rPr>
        <w:t>ПА4 = ——————————— х 100%,</w:t>
      </w:r>
    </w:p>
    <w:p>
      <w:pPr>
        <w:pStyle w:val="MainText-BezOtstupa1"/>
        <w:ind w:end="142"/>
        <w:jc w:val="center"/>
        <w:rPr>
          <w:rFonts w:ascii="Arial" w:hAnsi="Arial" w:cs="Arial"/>
        </w:rPr>
      </w:pPr>
      <w:r>
        <w:rPr>
          <w:rFonts w:cs="Arial" w:ascii="Arial" w:hAnsi="Arial"/>
        </w:rPr>
        <w:t>К</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РВПСр — величина расчетного РВПС в соответствии с Положением Банка России № 254-П для ссуд, оцениваемых на индивидуальной основе. Определяются на основе данных формы 0409115;</w:t>
      </w:r>
    </w:p>
    <w:p>
      <w:pPr>
        <w:pStyle w:val="MainText"/>
        <w:rPr>
          <w:rFonts w:ascii="Arial" w:hAnsi="Arial" w:cs="Arial"/>
          <w:color w:val="000000"/>
        </w:rPr>
      </w:pPr>
      <w:r>
        <w:rPr>
          <w:rFonts w:cs="Arial" w:ascii="Arial" w:hAnsi="Arial"/>
          <w:color w:val="000000"/>
        </w:rPr>
        <w:t>РВПСф — фактически сформированный РВПС в соответствии с Положением Банка России № 254-П для ссуд, оцениваемых на индивидуальной основе. Определяются на основе данных формы 0409115.</w:t>
      </w:r>
    </w:p>
    <w:p>
      <w:pPr>
        <w:pStyle w:val="MainText"/>
        <w:rPr>
          <w:rFonts w:ascii="Arial" w:hAnsi="Arial" w:cs="Arial"/>
          <w:color w:val="000000"/>
        </w:rPr>
      </w:pPr>
      <w:r>
        <w:rPr>
          <w:rFonts w:cs="Arial" w:ascii="Arial" w:hAnsi="Arial"/>
          <w:color w:val="000000"/>
        </w:rPr>
        <w:t>3.2.5. Показатель концентрации крупных кредитных рисков (ПА5) представляет собой фактическое значение обязательного норматива Н7 “Максимальный размер крупных кредитных рисков” формы 0409135, рассчитанное в соответствии с Инструкцией Банка России № 110-И.</w:t>
      </w:r>
    </w:p>
    <w:p>
      <w:pPr>
        <w:pStyle w:val="MainText"/>
        <w:rPr>
          <w:rFonts w:ascii="Arial" w:hAnsi="Arial" w:cs="Arial"/>
          <w:color w:val="000000"/>
        </w:rPr>
      </w:pPr>
      <w:r>
        <w:rPr>
          <w:rFonts w:cs="Arial" w:ascii="Arial" w:hAnsi="Arial"/>
          <w:color w:val="000000"/>
        </w:rPr>
        <w:t>3.2.6. Показатель концентрации кредитных рисков на акционеров (участников) (ПА6) представляет собой фактическое значение обязательного норматива Н9.1 “Максимальный размер кредитов, банковских гарантий и поручительств, предоставленных банком своим участникам (акционерам)” формы 0409135, рассчитанное в соответствии с Инструкцией Банка России № 110-И.</w:t>
      </w:r>
    </w:p>
    <w:p>
      <w:pPr>
        <w:pStyle w:val="MainText"/>
        <w:rPr>
          <w:rFonts w:ascii="Arial" w:hAnsi="Arial" w:cs="Arial"/>
          <w:color w:val="000000"/>
        </w:rPr>
      </w:pPr>
      <w:r>
        <w:rPr>
          <w:rFonts w:cs="Arial" w:ascii="Arial" w:hAnsi="Arial"/>
          <w:color w:val="000000"/>
        </w:rPr>
        <w:t>3.2.7. Показатель концентрации кредитных рисков на инсайдеров (ПА7) представляет собой фактическое значение обязательного норматива Н10.1 “Совокупная величина риска по инсайдерам банка” формы 0409135, рассчитанное в соответствии с Инструкцией Банка России № 110-И.</w:t>
      </w:r>
    </w:p>
    <w:p>
      <w:pPr>
        <w:pStyle w:val="MainText"/>
        <w:rPr>
          <w:rFonts w:ascii="Arial" w:hAnsi="Arial" w:cs="Arial"/>
          <w:color w:val="000000"/>
        </w:rPr>
      </w:pPr>
      <w:r>
        <w:rPr>
          <w:rFonts w:cs="Arial" w:ascii="Arial" w:hAnsi="Arial"/>
          <w:color w:val="000000"/>
        </w:rPr>
        <w:t>3.2.8. Для оценки активов банка рассчитывается обобщающий результат по группе показателей оценки активов (РГА), который представляет собой среднее взвешенное значение показателей, определенных в соответствии с подпунктами 3.2.1—3.2.7 настоящего пункта. Расчет обобщающего результата производится по следующей формуле:</w:t>
      </w:r>
    </w:p>
    <w:p>
      <w:pPr>
        <w:pStyle w:val="MainText-BezOtstupa1"/>
        <w:keepNext w:val="true"/>
        <w:keepLines/>
        <w:tabs>
          <w:tab w:val="clear" w:pos="720"/>
          <w:tab w:val="center" w:pos="4479" w:leader="none"/>
          <w:tab w:val="center" w:pos="5897" w:leader="none"/>
        </w:tabs>
        <w:jc w:val="start"/>
        <w:rPr>
          <w:rFonts w:ascii="Arial" w:hAnsi="Arial" w:cs="Arial"/>
          <w:vertAlign w:val="subscript"/>
        </w:rPr>
      </w:pPr>
      <w:r>
        <w:rPr>
          <w:rFonts w:cs="Arial" w:ascii="Arial" w:hAnsi="Arial"/>
          <w:vertAlign w:val="subscript"/>
        </w:rPr>
        <w:tab/>
        <w:t>7</w:t>
        <w:tab/>
        <w:t>7</w:t>
      </w:r>
    </w:p>
    <w:p>
      <w:pPr>
        <w:pStyle w:val="MainText-BezOtstupa1"/>
        <w:keepNext w:val="true"/>
        <w:keepLines/>
        <w:tabs>
          <w:tab w:val="clear" w:pos="720"/>
          <w:tab w:val="center" w:pos="4479" w:leader="none"/>
          <w:tab w:val="center" w:pos="5897" w:leader="none"/>
        </w:tabs>
        <w:jc w:val="center"/>
        <w:rPr>
          <w:rFonts w:ascii="Arial" w:hAnsi="Arial" w:cs="Arial"/>
        </w:rPr>
      </w:pPr>
      <w:r>
        <w:rPr>
          <w:rFonts w:cs="Arial" w:ascii="Arial" w:hAnsi="Arial"/>
        </w:rPr>
        <w:t xml:space="preserve">РГА = </w:t>
      </w:r>
      <w:r>
        <w:rPr>
          <w:rFonts w:cs="Symbol" w:ascii="Symbol" w:hAnsi="Symbol"/>
        </w:rPr>
        <w:sym w:font="Symbol" w:char="f053"/>
      </w:r>
      <w:r>
        <w:rPr>
          <w:rFonts w:cs="Arial" w:ascii="Arial" w:hAnsi="Arial"/>
        </w:rPr>
        <w:t xml:space="preserve"> (балл</w:t>
      </w:r>
      <w:r>
        <w:rPr>
          <w:rFonts w:cs="Arial" w:ascii="Arial" w:hAnsi="Arial"/>
          <w:vertAlign w:val="subscript"/>
        </w:rPr>
        <w:t>i</w:t>
      </w:r>
      <w:r>
        <w:rPr>
          <w:rFonts w:cs="Arial" w:ascii="Arial" w:hAnsi="Arial"/>
        </w:rPr>
        <w:t xml:space="preserve"> х вес</w:t>
      </w:r>
      <w:r>
        <w:rPr>
          <w:rFonts w:cs="Arial" w:ascii="Arial" w:hAnsi="Arial"/>
          <w:vertAlign w:val="subscript"/>
        </w:rPr>
        <w:t>i</w:t>
      </w:r>
      <w:r>
        <w:rPr>
          <w:rFonts w:cs="Arial" w:ascii="Arial" w:hAnsi="Arial"/>
        </w:rPr>
        <w:t xml:space="preserve">) : </w:t>
      </w:r>
      <w:r>
        <w:rPr>
          <w:rFonts w:cs="Symbol" w:ascii="Symbol" w:hAnsi="Symbol"/>
        </w:rPr>
        <w:sym w:font="Symbol" w:char="f053"/>
      </w:r>
      <w:r>
        <w:rPr>
          <w:rFonts w:cs="Arial" w:ascii="Arial" w:hAnsi="Arial"/>
        </w:rPr>
        <w:t xml:space="preserve"> вес</w:t>
      </w:r>
      <w:r>
        <w:rPr>
          <w:rFonts w:cs="Arial" w:ascii="Arial" w:hAnsi="Arial"/>
          <w:vertAlign w:val="subscript"/>
        </w:rPr>
        <w:t>i</w:t>
      </w:r>
      <w:r>
        <w:rPr>
          <w:rFonts w:cs="Arial" w:ascii="Arial" w:hAnsi="Arial"/>
        </w:rPr>
        <w:t>,</w:t>
      </w:r>
    </w:p>
    <w:p>
      <w:pPr>
        <w:pStyle w:val="MainText-BezOtstupa1"/>
        <w:tabs>
          <w:tab w:val="clear" w:pos="720"/>
          <w:tab w:val="center" w:pos="4479" w:leader="none"/>
          <w:tab w:val="center" w:pos="5897" w:leader="none"/>
        </w:tabs>
        <w:jc w:val="start"/>
        <w:rPr>
          <w:rFonts w:ascii="Arial" w:hAnsi="Arial" w:cs="Arial"/>
          <w:vertAlign w:val="superscript"/>
        </w:rPr>
      </w:pPr>
      <w:r>
        <w:rPr>
          <w:rFonts w:cs="Arial" w:ascii="Arial" w:hAnsi="Arial"/>
          <w:vertAlign w:val="superscript"/>
        </w:rPr>
        <w:tab/>
        <w:t>i=1</w:t>
        <w:tab/>
        <w:t>i=1</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балл</w:t>
      </w:r>
      <w:r>
        <w:rPr>
          <w:rFonts w:cs="Arial" w:ascii="Arial" w:hAnsi="Arial"/>
          <w:color w:val="000000"/>
          <w:vertAlign w:val="subscript"/>
        </w:rPr>
        <w:t>i</w:t>
      </w:r>
      <w:r>
        <w:rPr>
          <w:rFonts w:cs="Arial" w:ascii="Arial" w:hAnsi="Arial"/>
          <w:color w:val="000000"/>
        </w:rPr>
        <w:t> — оценка от 1 до 4 соответствующего показателя, определенного в соответствии с подпунктами 3.2.1—3.2.7 настоящего пункта (балльная оценка);</w:t>
      </w:r>
    </w:p>
    <w:p>
      <w:pPr>
        <w:pStyle w:val="MainText"/>
        <w:rPr>
          <w:rFonts w:ascii="Arial" w:hAnsi="Arial" w:cs="Arial"/>
          <w:color w:val="000000"/>
        </w:rPr>
      </w:pPr>
      <w:r>
        <w:rPr>
          <w:rFonts w:cs="Arial" w:ascii="Arial" w:hAnsi="Arial"/>
          <w:color w:val="000000"/>
        </w:rPr>
        <w:t>вес</w:t>
      </w:r>
      <w:r>
        <w:rPr>
          <w:rFonts w:cs="Arial" w:ascii="Arial" w:hAnsi="Arial"/>
          <w:color w:val="000000"/>
          <w:vertAlign w:val="subscript"/>
        </w:rPr>
        <w:t>i</w:t>
      </w:r>
      <w:r>
        <w:rPr>
          <w:rFonts w:cs="Arial" w:ascii="Arial" w:hAnsi="Arial"/>
          <w:color w:val="000000"/>
        </w:rPr>
        <w:t> — оценка по шкале относительной значимости от 1 до 3 соответствующего показателя, определенного в соответствии с подпунктами 3.2.1—3.2.7 настоящего пункта (весовая оценка).</w:t>
      </w:r>
    </w:p>
    <w:p>
      <w:pPr>
        <w:pStyle w:val="MainText"/>
        <w:rPr>
          <w:rFonts w:ascii="Arial" w:hAnsi="Arial" w:cs="Arial"/>
          <w:color w:val="000000"/>
        </w:rPr>
      </w:pPr>
      <w:r>
        <w:rPr>
          <w:rFonts w:cs="Arial" w:ascii="Arial" w:hAnsi="Arial"/>
          <w:color w:val="000000"/>
        </w:rPr>
        <w:t>Балльная и весовая оценки показателей группы показателей оценки активов приведены в приложении 2 к настоящему Указанию.</w:t>
      </w:r>
    </w:p>
    <w:p>
      <w:pPr>
        <w:pStyle w:val="MainText"/>
        <w:rPr>
          <w:rFonts w:ascii="Arial" w:hAnsi="Arial" w:cs="Arial"/>
          <w:color w:val="000000"/>
        </w:rPr>
      </w:pPr>
      <w:r>
        <w:rPr>
          <w:rFonts w:cs="Arial" w:ascii="Arial" w:hAnsi="Arial"/>
          <w:color w:val="000000"/>
        </w:rPr>
        <w:t>3.2.9. Обобщающий результат по группе показателей оценки активов является целым числом. В случае если дробная часть полученного показателя имеет значение, меньшее 0,35, показателю присваивается значение, равное его целой части. В противном случае показатель принимается равным его целой части, увеличенной на 1.</w:t>
      </w:r>
    </w:p>
    <w:p>
      <w:pPr>
        <w:pStyle w:val="MainText"/>
        <w:rPr>
          <w:rFonts w:ascii="Arial" w:hAnsi="Arial" w:cs="Arial"/>
          <w:color w:val="000000"/>
        </w:rPr>
      </w:pPr>
      <w:r>
        <w:rPr>
          <w:rFonts w:cs="Arial" w:ascii="Arial" w:hAnsi="Arial"/>
          <w:color w:val="000000"/>
        </w:rPr>
        <w:t>3.2.10. Обобщающий результат характеризует состояние активов следующим образом:</w:t>
      </w:r>
    </w:p>
    <w:p>
      <w:pPr>
        <w:pStyle w:val="MainText"/>
        <w:rPr>
          <w:rFonts w:ascii="Arial" w:hAnsi="Arial" w:cs="Arial"/>
          <w:color w:val="000000"/>
        </w:rPr>
      </w:pPr>
      <w:r>
        <w:rPr>
          <w:rFonts w:cs="Arial" w:ascii="Arial" w:hAnsi="Arial"/>
          <w:color w:val="000000"/>
        </w:rPr>
        <w:t>равный 1 — “хорошее”;</w:t>
      </w:r>
    </w:p>
    <w:p>
      <w:pPr>
        <w:pStyle w:val="MainText"/>
        <w:rPr>
          <w:rFonts w:ascii="Arial" w:hAnsi="Arial" w:cs="Arial"/>
          <w:color w:val="000000"/>
        </w:rPr>
      </w:pPr>
      <w:r>
        <w:rPr>
          <w:rFonts w:cs="Arial" w:ascii="Arial" w:hAnsi="Arial"/>
          <w:color w:val="000000"/>
        </w:rPr>
        <w:t>равный 2 — “удовлетворительное”;</w:t>
      </w:r>
    </w:p>
    <w:p>
      <w:pPr>
        <w:pStyle w:val="MainText"/>
        <w:rPr>
          <w:rFonts w:ascii="Arial" w:hAnsi="Arial" w:cs="Arial"/>
          <w:color w:val="000000"/>
        </w:rPr>
      </w:pPr>
      <w:r>
        <w:rPr>
          <w:rFonts w:cs="Arial" w:ascii="Arial" w:hAnsi="Arial"/>
          <w:color w:val="000000"/>
        </w:rPr>
        <w:t>равный 3 — “сомнительное”;</w:t>
      </w:r>
    </w:p>
    <w:p>
      <w:pPr>
        <w:pStyle w:val="MainText"/>
        <w:rPr>
          <w:rFonts w:ascii="Arial" w:hAnsi="Arial" w:cs="Arial"/>
          <w:color w:val="000000"/>
        </w:rPr>
      </w:pPr>
      <w:r>
        <w:rPr>
          <w:rFonts w:cs="Arial" w:ascii="Arial" w:hAnsi="Arial"/>
          <w:color w:val="000000"/>
        </w:rPr>
        <w:t>равный 4 — “неудовлетворительное”.</w:t>
      </w:r>
    </w:p>
    <w:p>
      <w:pPr>
        <w:pStyle w:val="MainText"/>
        <w:rPr>
          <w:rFonts w:ascii="Arial" w:hAnsi="Arial" w:cs="Arial"/>
          <w:color w:val="000000"/>
        </w:rPr>
      </w:pPr>
      <w:r>
        <w:rPr>
          <w:rFonts w:cs="Arial" w:ascii="Arial" w:hAnsi="Arial"/>
          <w:color w:val="000000"/>
        </w:rPr>
        <w:t>3.3. Оценка доходности определяется по результатам оценок показателей прибыльности активов, прибыльности капитала, структуры расходов, чистой процентной маржи и чистого спреда от кредитных операций (далее — группа показателей оценки доходности).</w:t>
      </w:r>
    </w:p>
    <w:p>
      <w:pPr>
        <w:pStyle w:val="MainText"/>
        <w:rPr>
          <w:rFonts w:ascii="Arial" w:hAnsi="Arial" w:cs="Arial"/>
          <w:color w:val="000000"/>
        </w:rPr>
      </w:pPr>
      <w:r>
        <w:rPr>
          <w:rFonts w:cs="Arial" w:ascii="Arial" w:hAnsi="Arial"/>
          <w:color w:val="000000"/>
        </w:rPr>
        <w:t>3.3.1. Показатель прибыльности активов (ПД1</w:t>
      </w:r>
      <w:r>
        <w:rPr>
          <w:rFonts w:cs="Arial" w:ascii="Arial" w:hAnsi="Arial"/>
          <w:color w:val="000000"/>
          <w:vertAlign w:val="subscript"/>
        </w:rPr>
        <w:t>0</w:t>
      </w:r>
      <w:r>
        <w:rPr>
          <w:rFonts w:cs="Arial" w:ascii="Arial" w:hAnsi="Arial"/>
          <w:color w:val="000000"/>
        </w:rPr>
        <w:t>) определяется как процентное отношение (в процентах годовых) финансового результата за минусом чистых доходов от разовых операций к средней величине активов по следующей формуле:</w:t>
      </w:r>
    </w:p>
    <w:p>
      <w:pPr>
        <w:pStyle w:val="MainText-BezOtstupa1"/>
        <w:ind w:end="85"/>
        <w:jc w:val="center"/>
        <w:rPr>
          <w:rFonts w:ascii="Arial" w:hAnsi="Arial" w:cs="Arial"/>
        </w:rPr>
      </w:pPr>
      <w:r>
        <w:rPr>
          <w:rFonts w:cs="Arial" w:ascii="Arial" w:hAnsi="Arial"/>
        </w:rPr>
        <w:t>ФР — ЧДраз</w:t>
      </w:r>
    </w:p>
    <w:p>
      <w:pPr>
        <w:pStyle w:val="MainText-BezOtstupa1"/>
        <w:jc w:val="center"/>
        <w:rPr>
          <w:rFonts w:ascii="Arial" w:hAnsi="Arial" w:cs="Arial"/>
        </w:rPr>
      </w:pPr>
      <w:r>
        <w:rPr>
          <w:rFonts w:cs="Arial" w:ascii="Arial" w:hAnsi="Arial"/>
        </w:rPr>
        <w:t>ПД1</w:t>
      </w:r>
      <w:r>
        <w:rPr>
          <w:rFonts w:cs="Arial" w:ascii="Arial" w:hAnsi="Arial"/>
          <w:vertAlign w:val="subscript"/>
        </w:rPr>
        <w:t>0</w:t>
      </w:r>
      <w:r>
        <w:rPr>
          <w:rFonts w:cs="Arial" w:ascii="Arial" w:hAnsi="Arial"/>
        </w:rPr>
        <w:t xml:space="preserve"> = ————————— х 100%,</w:t>
      </w:r>
    </w:p>
    <w:p>
      <w:pPr>
        <w:pStyle w:val="MainText-BezOtstupa1"/>
        <w:ind w:end="85"/>
        <w:jc w:val="center"/>
        <w:rPr>
          <w:rFonts w:ascii="Arial" w:hAnsi="Arial" w:cs="Arial"/>
        </w:rPr>
      </w:pPr>
      <w:r>
        <w:rPr>
          <w:rFonts w:cs="Arial" w:ascii="Arial" w:hAnsi="Arial"/>
        </w:rPr>
        <w:t>Аср</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ФР — финансовый результат банка. Представляет собой показатель “Прибыль (убыток)” формы 0409102 “Отчет о прибылях и убытках кредитной организации” (далее — форма 0409102), установленной приложением 1 к Указанию Банка России № 1376-У, увеличенный на размер налогов и сборов, относимых на расходы в соответствии с законодательством Российской Федерации (символ 26411 формы 0409102) и величину отрицательной переоценки ценных бумаг, текущая (справедливая) стоимость которых определена банком при отсутствии средневзвешенной цены, раскрываемой организатором торговли на рынке ценных бумаг (расшифровка с кодом обозначения 6102 формы 0409110 “Расшифровки отдельных показателей деятельности кредитных организаций” (далее — форма 0409110), установленной приложением 1 к Указанию Банка России № 1376-У), и уменьшенный на величину расходов, произведенных за счет нераспределенной прибыли (расшифровки с кодами обозначения 4201 и 4301 формы 0409110) и величину положительной переоценки ценных бумаг, текущая (справедливая) стоимость которых определена банком при отсутствии средневзвешенной цены, раскрываемой организатором торговли на рынке ценных бумаг (расшифровка с кодом обозначения 6101 формы 0409110). В случае если символ 28101 формы 0409102 не равен нулю, показатель ФР увеличивается на сумму налогов, уплаченных из прибыли (начисленных) (расшифровка с кодом обозначения 3101 формы 0409110).</w:t>
      </w:r>
    </w:p>
    <w:p>
      <w:pPr>
        <w:pStyle w:val="MainText"/>
        <w:rPr>
          <w:rFonts w:ascii="Arial" w:hAnsi="Arial" w:cs="Arial"/>
          <w:color w:val="000000"/>
        </w:rPr>
      </w:pPr>
      <w:r>
        <w:rPr>
          <w:rFonts w:cs="Arial" w:ascii="Arial" w:hAnsi="Arial"/>
          <w:color w:val="000000"/>
        </w:rPr>
        <w:t>Для целей оценки показателей группы показателей оценки доходности Комитет банковского надзора Банка России на основании ходатайства территориального учреждения Банка России, подготовленного на основании соответствующего обращения банка, вправе принять решение об определении финансового результата банка (ФР) без учета:</w:t>
      </w:r>
    </w:p>
    <w:p>
      <w:pPr>
        <w:pStyle w:val="MainText"/>
        <w:rPr>
          <w:rFonts w:ascii="Arial" w:hAnsi="Arial" w:cs="Arial"/>
          <w:color w:val="000000"/>
        </w:rPr>
      </w:pPr>
      <w:r>
        <w:rPr>
          <w:rFonts w:cs="Arial" w:ascii="Arial" w:hAnsi="Arial"/>
          <w:color w:val="000000"/>
        </w:rPr>
        <w:t>расходов (убытков), обусловленных развитием бизнеса;</w:t>
      </w:r>
    </w:p>
    <w:p>
      <w:pPr>
        <w:pStyle w:val="MainText"/>
        <w:rPr>
          <w:rFonts w:ascii="Arial" w:hAnsi="Arial" w:cs="Arial"/>
          <w:color w:val="000000"/>
        </w:rPr>
      </w:pPr>
      <w:r>
        <w:rPr>
          <w:rFonts w:cs="Arial" w:ascii="Arial" w:hAnsi="Arial"/>
          <w:color w:val="000000"/>
        </w:rPr>
        <w:t>расходов (убытков), явившихся причиной для возникновения оснований (одного из оснований) для осуществления мер по финансовому оздоровлению банка;</w:t>
      </w:r>
    </w:p>
    <w:p>
      <w:pPr>
        <w:pStyle w:val="MainText"/>
        <w:rPr>
          <w:rFonts w:ascii="Arial" w:hAnsi="Arial" w:cs="Arial"/>
          <w:color w:val="000000"/>
        </w:rPr>
      </w:pPr>
      <w:r>
        <w:rPr>
          <w:rFonts w:cs="Arial" w:ascii="Arial" w:hAnsi="Arial"/>
          <w:color w:val="000000"/>
        </w:rPr>
        <w:t>ЧДраз — чистые доходы от разовых операций. Представляют собой разность между доходами и расходами от разовых операций банка.</w:t>
      </w:r>
    </w:p>
    <w:p>
      <w:pPr>
        <w:pStyle w:val="MainText"/>
        <w:rPr>
          <w:rFonts w:ascii="Arial" w:hAnsi="Arial" w:cs="Arial"/>
          <w:color w:val="000000"/>
        </w:rPr>
      </w:pPr>
      <w:r>
        <w:rPr>
          <w:rFonts w:cs="Arial" w:ascii="Arial" w:hAnsi="Arial"/>
          <w:color w:val="000000"/>
        </w:rPr>
        <w:t>К доходам от разовых операций относятся прочие доходы (итог раздела 7 главы I формы 0409102), за исключением штрафов, пеней, неустоек по операциям привлечения и предоставления (размещения) денежных средств (символ 17101 формы 0409102), других доходов, относимых к прочим (символ 17306 формы 0409102) и доходов прошлых лет, выявленных в отчетном году (итог подраздела 2 раздела 7 главы I формы 0409102), а также другие операционные доходы от выбытия (реализации) имущества (символ 16302 формы 0409102).</w:t>
      </w:r>
    </w:p>
    <w:p>
      <w:pPr>
        <w:pStyle w:val="MainText"/>
        <w:rPr>
          <w:rFonts w:ascii="Arial" w:hAnsi="Arial" w:cs="Arial"/>
          <w:color w:val="000000"/>
        </w:rPr>
      </w:pPr>
      <w:r>
        <w:rPr>
          <w:rFonts w:cs="Arial" w:ascii="Arial" w:hAnsi="Arial"/>
          <w:color w:val="000000"/>
        </w:rPr>
        <w:t>К расходам от разовых операций относятся расходы банка по выбытию (реализации) имущества (символ 26307 формы 0409102), судебные и арбитражные издержки (символ 26407 формы 0409102), штрафы, пени, неустойки по другим банковским операциям и сделкам (символ 27102 формы 0409102), прочим (хозяйственным) операциям (символ 27103 формы 0409102), платежи в возмещение причиненных убытков (символ 27301 формы 0409102), от списания недостач материальных ценностей (символ 27302 формы 0409102), денежной наличности, сумм по фальшивым денежным билетам и монетам (символ 27303 формы 0409102), а также расходы, возникающие как последствия чрезвычайных обстоятельств хозяйственной деятельности (символ 27307 формы 0409102);</w:t>
      </w:r>
    </w:p>
    <w:p>
      <w:pPr>
        <w:pStyle w:val="MainText"/>
        <w:rPr>
          <w:rFonts w:ascii="Arial" w:hAnsi="Arial" w:cs="Arial"/>
          <w:color w:val="000000"/>
        </w:rPr>
      </w:pPr>
      <w:r>
        <w:rPr>
          <w:rFonts w:cs="Arial" w:ascii="Arial" w:hAnsi="Arial"/>
          <w:color w:val="000000"/>
        </w:rPr>
        <w:t>Аср — средняя величина активов. Рассчитывается по формуле средней хронологической (по данным отчетности по состоянию на первое число месяца, следующего за отчетным, за все месяцы, начиная с отчетности по состоянию на 1 января и заканчивая отчетностью на дату, на которую рассчитывается числитель) для показателя А.</w:t>
      </w:r>
    </w:p>
    <w:p>
      <w:pPr>
        <w:pStyle w:val="MainText"/>
        <w:rPr>
          <w:rFonts w:ascii="Arial" w:hAnsi="Arial" w:cs="Arial"/>
          <w:color w:val="000000"/>
        </w:rPr>
      </w:pPr>
      <w:r>
        <w:rPr>
          <w:rFonts w:cs="Arial" w:ascii="Arial" w:hAnsi="Arial"/>
          <w:color w:val="000000"/>
        </w:rPr>
        <w:t>3.3.2. Показатель прибыльности капитала (ПД2</w:t>
      </w:r>
      <w:r>
        <w:rPr>
          <w:rFonts w:cs="Arial" w:ascii="Arial" w:hAnsi="Arial"/>
          <w:color w:val="000000"/>
          <w:vertAlign w:val="subscript"/>
        </w:rPr>
        <w:t>0</w:t>
      </w:r>
      <w:r>
        <w:rPr>
          <w:rFonts w:cs="Arial" w:ascii="Arial" w:hAnsi="Arial"/>
          <w:color w:val="000000"/>
        </w:rPr>
        <w:t>) определяется как процентное (в процентах годовых) отношение финансового результата за минусом чистых доходов от разовых операций и начисленных налогов к средней величине капитала по следующей формуле:</w:t>
      </w:r>
    </w:p>
    <w:p>
      <w:pPr>
        <w:pStyle w:val="MainText-BezOtstupa1"/>
        <w:spacing w:before="120" w:after="0"/>
        <w:ind w:end="57"/>
        <w:jc w:val="center"/>
        <w:rPr>
          <w:rFonts w:ascii="Arial" w:hAnsi="Arial" w:cs="Arial"/>
        </w:rPr>
      </w:pPr>
      <w:r>
        <w:rPr>
          <w:rFonts w:cs="Arial" w:ascii="Arial" w:hAnsi="Arial"/>
        </w:rPr>
        <w:t>ФР — ЧДраз — Н</w:t>
      </w:r>
    </w:p>
    <w:p>
      <w:pPr>
        <w:pStyle w:val="MainText-BezOtstupa1"/>
        <w:jc w:val="center"/>
        <w:rPr>
          <w:rFonts w:ascii="Arial" w:hAnsi="Arial" w:cs="Arial"/>
        </w:rPr>
      </w:pPr>
      <w:r>
        <w:rPr>
          <w:rFonts w:cs="Arial" w:ascii="Arial" w:hAnsi="Arial"/>
        </w:rPr>
        <w:t>ПД2</w:t>
      </w:r>
      <w:r>
        <w:rPr>
          <w:rFonts w:cs="Arial" w:ascii="Arial" w:hAnsi="Arial"/>
          <w:vertAlign w:val="subscript"/>
        </w:rPr>
        <w:t>0</w:t>
      </w:r>
      <w:r>
        <w:rPr>
          <w:rFonts w:cs="Arial" w:ascii="Arial" w:hAnsi="Arial"/>
        </w:rPr>
        <w:t xml:space="preserve"> = ——————————— х 100%,</w:t>
      </w:r>
    </w:p>
    <w:p>
      <w:pPr>
        <w:pStyle w:val="MainText-BezOtstupa1"/>
        <w:ind w:end="57"/>
        <w:jc w:val="center"/>
        <w:rPr>
          <w:rFonts w:ascii="Arial" w:hAnsi="Arial" w:cs="Arial"/>
        </w:rPr>
      </w:pPr>
      <w:r>
        <w:rPr>
          <w:rFonts w:cs="Arial" w:ascii="Arial" w:hAnsi="Arial"/>
        </w:rPr>
        <w:t>К</w:t>
      </w:r>
      <w:r>
        <w:rPr>
          <w:rFonts w:cs="Arial" w:ascii="Arial" w:hAnsi="Arial"/>
          <w:vertAlign w:val="subscript"/>
        </w:rPr>
        <w:t>ср</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Н — начисленные налоги. Представляет собой показатель “Начисленные (уплаченные) налоги” формы 0409807 “Отчет о прибылях и убытках (публикуемая форма)”, установленной приложением 1 к Указанию Банка России № 1376-У (далее — форма 0409807) (любой показатель формы 0409807 определяется в соответствии с “Разработочной таблицей для составления отчета о прибылях и убытках (публикуемая форма)” пункта 3 Порядка составления и представления отчетности по форме 0409807 “Отчет о прибылях и убытках (публикуемая форма)”;</w:t>
      </w:r>
    </w:p>
    <w:p>
      <w:pPr>
        <w:pStyle w:val="MainText"/>
        <w:rPr>
          <w:rFonts w:ascii="Arial" w:hAnsi="Arial" w:cs="Arial"/>
          <w:color w:val="000000"/>
        </w:rPr>
      </w:pPr>
      <w:r>
        <w:rPr>
          <w:rFonts w:cs="Arial" w:ascii="Arial" w:hAnsi="Arial"/>
          <w:color w:val="000000"/>
        </w:rPr>
        <w:t>К</w:t>
      </w:r>
      <w:r>
        <w:rPr>
          <w:rFonts w:cs="Arial" w:ascii="Arial" w:hAnsi="Arial"/>
          <w:color w:val="000000"/>
          <w:vertAlign w:val="subscript"/>
        </w:rPr>
        <w:t>ср</w:t>
      </w:r>
      <w:r>
        <w:rPr>
          <w:rFonts w:cs="Arial" w:ascii="Arial" w:hAnsi="Arial"/>
          <w:color w:val="000000"/>
        </w:rPr>
        <w:t> — средняя величина капитала. Рассчитывается по формуле средней хронологической (по данным отчетности по состоянию на первое число месяца, следующего за отчетным, за все месяцы, начиная с отчетности по состоянию на 1 января и заканчивая отчетностью на дату, на которую рассчитывается числитель) для показателя К.</w:t>
      </w:r>
    </w:p>
    <w:p>
      <w:pPr>
        <w:pStyle w:val="MainText"/>
        <w:rPr>
          <w:rFonts w:ascii="Arial" w:hAnsi="Arial" w:cs="Arial"/>
          <w:color w:val="000000"/>
        </w:rPr>
      </w:pPr>
      <w:r>
        <w:rPr>
          <w:rFonts w:cs="Arial" w:ascii="Arial" w:hAnsi="Arial"/>
          <w:color w:val="000000"/>
        </w:rPr>
        <w:t>3.3.3. Показатель структуры расходов (ПД4) определяется как процентное отношение административно-управленческих расходов к чистым доходам (расходам) по следующей формуле:</w:t>
      </w:r>
    </w:p>
    <w:p>
      <w:pPr>
        <w:pStyle w:val="MainText-BezOtstupa1"/>
        <w:spacing w:before="120" w:after="0"/>
        <w:ind w:end="113"/>
        <w:jc w:val="center"/>
        <w:rPr>
          <w:rFonts w:ascii="Arial" w:hAnsi="Arial" w:cs="Arial"/>
        </w:rPr>
      </w:pPr>
      <w:r>
        <w:rPr>
          <w:rFonts w:cs="Arial" w:ascii="Arial" w:hAnsi="Arial"/>
        </w:rPr>
        <w:t>Рау</w:t>
      </w:r>
    </w:p>
    <w:p>
      <w:pPr>
        <w:pStyle w:val="MainText-BezOtstupa1"/>
        <w:jc w:val="center"/>
        <w:rPr>
          <w:rFonts w:ascii="Arial" w:hAnsi="Arial" w:cs="Arial"/>
        </w:rPr>
      </w:pPr>
      <w:r>
        <w:rPr>
          <w:rFonts w:cs="Arial" w:ascii="Arial" w:hAnsi="Arial"/>
        </w:rPr>
        <w:t>ПД4 = ————— х 100%,</w:t>
      </w:r>
    </w:p>
    <w:p>
      <w:pPr>
        <w:pStyle w:val="MainText-BezOtstupa1"/>
        <w:ind w:end="113"/>
        <w:jc w:val="center"/>
        <w:rPr>
          <w:rFonts w:ascii="Arial" w:hAnsi="Arial" w:cs="Arial"/>
        </w:rPr>
      </w:pPr>
      <w:r>
        <w:rPr>
          <w:rFonts w:cs="Arial" w:ascii="Arial" w:hAnsi="Arial"/>
        </w:rPr>
        <w:t>ЧД</w:t>
      </w:r>
    </w:p>
    <w:p>
      <w:pPr>
        <w:pStyle w:val="MainText"/>
        <w:keepNext w:val="true"/>
        <w:keepLines/>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Рау — административно-управленческие расходы. Представляют собой итог раздела 6 главы II формы 0409102, за исключением судебных и арбитражных издержек (символ 26407 формы 0409102), налогов и сборов, относимых на расходы в соответствии с законодательством Российской Федерации (символ 26411 формы 0409102) и расходов по выбытию (реализации) имущества (символ 26307 формы 0409102);</w:t>
      </w:r>
    </w:p>
    <w:p>
      <w:pPr>
        <w:pStyle w:val="MainText"/>
        <w:rPr>
          <w:rFonts w:ascii="Arial" w:hAnsi="Arial" w:cs="Arial"/>
          <w:color w:val="000000"/>
        </w:rPr>
      </w:pPr>
      <w:r>
        <w:rPr>
          <w:rFonts w:cs="Arial" w:ascii="Arial" w:hAnsi="Arial"/>
          <w:color w:val="000000"/>
        </w:rPr>
        <w:t>ЧД — значение показателя “Чистые доходы (расходы)” формы 0409807.</w:t>
      </w:r>
    </w:p>
    <w:p>
      <w:pPr>
        <w:pStyle w:val="MainText"/>
        <w:rPr>
          <w:rFonts w:ascii="Arial" w:hAnsi="Arial" w:cs="Arial"/>
          <w:color w:val="000000"/>
        </w:rPr>
      </w:pPr>
      <w:r>
        <w:rPr>
          <w:rFonts w:cs="Arial" w:ascii="Arial" w:hAnsi="Arial"/>
          <w:color w:val="000000"/>
        </w:rPr>
        <w:t>3.3.4. Показатель чистой процентной маржи (ПД5) определяется как процентное отношение (в процентах годовых) чистых процентных и аналогичных доходов к средней величине активов по следующей формуле:</w:t>
      </w:r>
    </w:p>
    <w:p>
      <w:pPr>
        <w:pStyle w:val="MainText-BezOtstupa1"/>
        <w:spacing w:before="120" w:after="0"/>
        <w:ind w:end="113"/>
        <w:jc w:val="center"/>
        <w:rPr>
          <w:rFonts w:ascii="Arial" w:hAnsi="Arial" w:cs="Arial"/>
        </w:rPr>
      </w:pPr>
      <w:r>
        <w:rPr>
          <w:rFonts w:cs="Arial" w:ascii="Arial" w:hAnsi="Arial"/>
        </w:rPr>
        <w:t>ЧДп</w:t>
      </w:r>
    </w:p>
    <w:p>
      <w:pPr>
        <w:pStyle w:val="MainText-BezOtstupa1"/>
        <w:jc w:val="center"/>
        <w:rPr>
          <w:rFonts w:ascii="Arial" w:hAnsi="Arial" w:cs="Arial"/>
        </w:rPr>
      </w:pPr>
      <w:r>
        <w:rPr>
          <w:rFonts w:cs="Arial" w:ascii="Arial" w:hAnsi="Arial"/>
        </w:rPr>
        <w:t>ПД5 = ————— х 100%,</w:t>
      </w:r>
    </w:p>
    <w:p>
      <w:pPr>
        <w:pStyle w:val="MainText-BezOtstupa1"/>
        <w:ind w:end="113"/>
        <w:jc w:val="center"/>
        <w:rPr>
          <w:rFonts w:ascii="Arial" w:hAnsi="Arial" w:cs="Arial"/>
        </w:rPr>
      </w:pPr>
      <w:r>
        <w:rPr>
          <w:rFonts w:cs="Arial" w:ascii="Arial" w:hAnsi="Arial"/>
        </w:rPr>
        <w:t>Аср</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ЧДп — чистые процентные и аналогичные доходы. Представляют собой разность между процентными доходами и процентными расходами (Рп). Процентные доходы представляют собой сумму значения показателя процентных доходов по ссудам (Дп) и процентных доходов от вложений в ценные бумаги;</w:t>
      </w:r>
    </w:p>
    <w:p>
      <w:pPr>
        <w:pStyle w:val="MainText"/>
        <w:rPr>
          <w:rFonts w:ascii="Arial" w:hAnsi="Arial" w:cs="Arial"/>
          <w:color w:val="000000"/>
        </w:rPr>
      </w:pPr>
      <w:r>
        <w:rPr>
          <w:rFonts w:cs="Arial" w:ascii="Arial" w:hAnsi="Arial"/>
          <w:color w:val="000000"/>
        </w:rPr>
        <w:t>Дп — процентные доходы по ссудам. Представляют собой сумму процентных доходов (итог раздела 1 главы I формы 0409102, за исключением процентных доходов от вложений в долговые обязательства (кроме векселей) (подраздел 5 раздела 1 главы I формы 0409102), доходов от оказания услуг по финансовой аренде (лизингу) (символ 12405 формы 0409102), штрафов, пеней, неустоек по операциям привлечения и предоставления (размещения) денежных средств (символ 17101 формы 0409102), доходов прошлых лет, выявленных в отчетном году по операциям привлечения и предоставления (размещения) денежных средств (символ 17201 формы 0409102), доходов от открытия и ведения ссудных счетов клиентов (расшифровка формы 0409110 с кодом обозначения S12101/1.2), доходов от оказания консультационных и информационных услуг в связи с предоставлением ссуд (расшифровка формы 0409110 с кодом обозначения S12406/1.2), доходов от восстановления сумм резервов на возможные потери, сформированных под требования по получению процентных доходов (расшифровка формы 0409110 с кодом обозначения S16305/4.1). Процентные доходы от вложений в ценные бумаги представляют собой сумму процентных доходов от вложений в долговые обязательства (кроме векселей) (подраздел 5 раздела 1 главы I формы 0409102) и доходов от восстановления сумм резервов на возможные потери, сформированных под требования по получению процентных доходов (расшифровка формы 0409110 с кодом обозначения S16305/4.2);</w:t>
      </w:r>
    </w:p>
    <w:p>
      <w:pPr>
        <w:pStyle w:val="MainText"/>
        <w:rPr>
          <w:rFonts w:ascii="Arial" w:hAnsi="Arial" w:cs="Arial"/>
          <w:color w:val="000000"/>
        </w:rPr>
      </w:pPr>
      <w:r>
        <w:rPr>
          <w:rFonts w:cs="Arial" w:ascii="Arial" w:hAnsi="Arial"/>
          <w:color w:val="000000"/>
        </w:rPr>
        <w:t>Рп — процентные расходы. Представляют собой сумму процентных расходов (итог раздела 1 формы 0409102), штрафов, пеней, неустоек по операциям привлечения и предоставления (размещения) денежных средств (символ 27101 формы 0409102) и расходов прошлых лет, выявленных в отчетном году по операциям привлечения и предоставления (размещения) денежных средств (символ 27201 формы 0409102), увеличенную на величину отчислений в резервы на возможные потери, сформированные под требования по получению процентных доходов (расшифровки формы 0409110 с кодами обозначения S25302/4.1 и S25302/4.2).</w:t>
      </w:r>
    </w:p>
    <w:p>
      <w:pPr>
        <w:pStyle w:val="MainText"/>
        <w:rPr>
          <w:rFonts w:ascii="Arial" w:hAnsi="Arial" w:cs="Arial"/>
          <w:color w:val="000000"/>
        </w:rPr>
      </w:pPr>
      <w:r>
        <w:rPr>
          <w:rFonts w:cs="Arial" w:ascii="Arial" w:hAnsi="Arial"/>
          <w:color w:val="000000"/>
        </w:rPr>
        <w:t>3.3.5. Показатель чистого спреда от кредитных операций (ПД6) определяется как разница между процентными (в процентах годовых) отношениями процентных доходов по ссудам к средней величине ссуд и процентных расходов к средней величине обязательств, генерирующих процентные выплаты, по следующей формуле:</w:t>
      </w:r>
    </w:p>
    <w:p>
      <w:pPr>
        <w:pStyle w:val="MainText-BezOtstupa1"/>
        <w:tabs>
          <w:tab w:val="clear" w:pos="720"/>
          <w:tab w:val="center" w:pos="4111" w:leader="none"/>
          <w:tab w:val="center" w:pos="5954" w:leader="none"/>
        </w:tabs>
        <w:jc w:val="start"/>
        <w:rPr>
          <w:rFonts w:ascii="Arial" w:hAnsi="Arial" w:cs="Arial"/>
        </w:rPr>
      </w:pPr>
      <w:r>
        <w:rPr>
          <w:rFonts w:cs="Arial" w:ascii="Arial" w:hAnsi="Arial"/>
        </w:rPr>
        <w:tab/>
        <w:t>Дп</w:t>
        <w:tab/>
        <w:t>Рп</w:t>
      </w:r>
    </w:p>
    <w:p>
      <w:pPr>
        <w:pStyle w:val="MainText-BezOtstupa1"/>
        <w:tabs>
          <w:tab w:val="clear" w:pos="720"/>
          <w:tab w:val="center" w:pos="4111" w:leader="none"/>
          <w:tab w:val="center" w:pos="5954" w:leader="none"/>
        </w:tabs>
        <w:jc w:val="center"/>
        <w:rPr>
          <w:rFonts w:ascii="Arial" w:hAnsi="Arial" w:cs="Arial"/>
        </w:rPr>
      </w:pPr>
      <w:r>
        <w:rPr>
          <w:rFonts w:cs="Arial" w:ascii="Arial" w:hAnsi="Arial"/>
        </w:rPr>
        <w:t>ПД6 = ————— х 100% — ————— х 100%,</w:t>
      </w:r>
    </w:p>
    <w:p>
      <w:pPr>
        <w:pStyle w:val="MainText-BezOtstupa1"/>
        <w:tabs>
          <w:tab w:val="clear" w:pos="720"/>
          <w:tab w:val="center" w:pos="4111" w:leader="none"/>
          <w:tab w:val="center" w:pos="5954" w:leader="none"/>
        </w:tabs>
        <w:jc w:val="start"/>
        <w:rPr>
          <w:rFonts w:ascii="Arial" w:hAnsi="Arial" w:cs="Arial"/>
        </w:rPr>
      </w:pPr>
      <w:r>
        <w:rPr>
          <w:rFonts w:cs="Arial" w:ascii="Arial" w:hAnsi="Arial"/>
        </w:rPr>
        <w:tab/>
        <w:t>СЗ</w:t>
      </w:r>
      <w:r>
        <w:rPr>
          <w:rFonts w:cs="Arial" w:ascii="Arial" w:hAnsi="Arial"/>
          <w:vertAlign w:val="subscript"/>
        </w:rPr>
        <w:t>ср</w:t>
      </w:r>
      <w:r>
        <w:rPr>
          <w:rFonts w:cs="Arial" w:ascii="Arial" w:hAnsi="Arial"/>
        </w:rPr>
        <w:tab/>
        <w:t>ОБ</w:t>
      </w:r>
      <w:r>
        <w:rPr>
          <w:rFonts w:cs="Arial" w:ascii="Arial" w:hAnsi="Arial"/>
          <w:vertAlign w:val="subscript"/>
        </w:rPr>
        <w:t>ср</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СЗ</w:t>
      </w:r>
      <w:r>
        <w:rPr>
          <w:rFonts w:cs="Arial" w:ascii="Arial" w:hAnsi="Arial"/>
          <w:color w:val="000000"/>
          <w:vertAlign w:val="subscript"/>
        </w:rPr>
        <w:t>ср</w:t>
      </w:r>
      <w:r>
        <w:rPr>
          <w:rFonts w:cs="Arial" w:ascii="Arial" w:hAnsi="Arial"/>
          <w:color w:val="000000"/>
        </w:rPr>
        <w:t> — средняя величина ссуд. Рассчитывается по формуле средней хронологической (по данным отчетности по состоянию на первое число месяца, следующего за отчетным, за все месяцы, начиная с отчетности по состоянию на 1 января и заканчивая отчетностью на дату, на которую рассчитывается числитель) для показателя СЗ;</w:t>
      </w:r>
    </w:p>
    <w:p>
      <w:pPr>
        <w:pStyle w:val="MainText"/>
        <w:rPr>
          <w:rFonts w:ascii="Arial" w:hAnsi="Arial" w:cs="Arial"/>
          <w:color w:val="000000"/>
        </w:rPr>
      </w:pPr>
      <w:r>
        <w:rPr>
          <w:rFonts w:cs="Arial" w:ascii="Arial" w:hAnsi="Arial"/>
          <w:color w:val="000000"/>
        </w:rPr>
        <w:t>ОБ</w:t>
      </w:r>
      <w:r>
        <w:rPr>
          <w:rFonts w:cs="Arial" w:ascii="Arial" w:hAnsi="Arial"/>
          <w:color w:val="000000"/>
          <w:vertAlign w:val="subscript"/>
        </w:rPr>
        <w:t>ср</w:t>
      </w:r>
      <w:r>
        <w:rPr>
          <w:rFonts w:cs="Arial" w:ascii="Arial" w:hAnsi="Arial"/>
          <w:color w:val="000000"/>
        </w:rPr>
        <w:t> — средняя величина обязательств, генерирующих процентные выплаты. Обязательства, генерирующие процентные выплаты (ОБ), представляют собой значение показателя “Всего обязательств” за вычетом значений показателей “Прочие обязательства” и “Резервы на возможные потери по условным обязательствам кредитного характера, прочим возможным потерям и операциям с резидентами офшорных зон” формы 0409806. Рассчитывается по формуле средней хронологической (по данным отчетности по состоянию на первое число месяца, следующего за отчетным, за все месяцы, начиная с отчетности по состоянию на 1 января и заканчивая отчетностью на дату, на которую рассчитывается числитель) для показателя ОБ.</w:t>
      </w:r>
    </w:p>
    <w:p>
      <w:pPr>
        <w:pStyle w:val="MainText"/>
        <w:rPr>
          <w:rFonts w:ascii="Arial" w:hAnsi="Arial" w:cs="Arial"/>
          <w:color w:val="000000"/>
        </w:rPr>
      </w:pPr>
      <w:r>
        <w:rPr>
          <w:rFonts w:cs="Arial" w:ascii="Arial" w:hAnsi="Arial"/>
          <w:color w:val="000000"/>
        </w:rPr>
        <w:t>3.3.6. Значение показателей группы показателей оценки доходности указывается в процентах годовых. Приведение значений показателей группы показателей оценки доходности к годовой оценке производится путем умножения их значений, полученных на квартальную отчетную дату, на 12 и деления на количество месяцев, прошедших с начала года до квартальной отчетной даты.</w:t>
      </w:r>
    </w:p>
    <w:p>
      <w:pPr>
        <w:pStyle w:val="MainText"/>
        <w:rPr>
          <w:rFonts w:ascii="Arial" w:hAnsi="Arial" w:cs="Arial"/>
          <w:color w:val="000000"/>
        </w:rPr>
      </w:pPr>
      <w:r>
        <w:rPr>
          <w:rFonts w:cs="Arial" w:ascii="Arial" w:hAnsi="Arial"/>
          <w:color w:val="000000"/>
        </w:rPr>
        <w:t>3.3.7. Для оценки доходности рассчитывается обобщающий результат по группе показателей оценки доходности (РГД), который представляет собой среднее взвешенное значение показателей, определенных в соответствии с подпунктами 3.3.1—3.3.5 настоящего пункта. Расчет обобщающего результата производится по следующей формуле:</w:t>
      </w:r>
    </w:p>
    <w:p>
      <w:pPr>
        <w:pStyle w:val="MainText-BezOtstupa1"/>
        <w:keepNext w:val="true"/>
        <w:keepLines/>
        <w:tabs>
          <w:tab w:val="clear" w:pos="720"/>
          <w:tab w:val="center" w:pos="4479" w:leader="none"/>
          <w:tab w:val="center" w:pos="5897" w:leader="none"/>
        </w:tabs>
        <w:jc w:val="start"/>
        <w:rPr>
          <w:rFonts w:ascii="Arial" w:hAnsi="Arial" w:cs="Arial"/>
          <w:vertAlign w:val="subscript"/>
        </w:rPr>
      </w:pPr>
      <w:r>
        <w:rPr>
          <w:rFonts w:cs="Arial" w:ascii="Arial" w:hAnsi="Arial"/>
          <w:vertAlign w:val="subscript"/>
        </w:rPr>
        <w:tab/>
        <w:t>5</w:t>
        <w:tab/>
        <w:t>5</w:t>
      </w:r>
    </w:p>
    <w:p>
      <w:pPr>
        <w:pStyle w:val="MainText-BezOtstupa1"/>
        <w:keepNext w:val="true"/>
        <w:keepLines/>
        <w:tabs>
          <w:tab w:val="clear" w:pos="720"/>
          <w:tab w:val="center" w:pos="4479" w:leader="none"/>
          <w:tab w:val="center" w:pos="5897" w:leader="none"/>
        </w:tabs>
        <w:jc w:val="center"/>
        <w:rPr>
          <w:rFonts w:ascii="Arial" w:hAnsi="Arial" w:cs="Arial"/>
        </w:rPr>
      </w:pPr>
      <w:r>
        <w:rPr>
          <w:rFonts w:cs="Arial" w:ascii="Arial" w:hAnsi="Arial"/>
        </w:rPr>
        <w:t xml:space="preserve">РГД = </w:t>
      </w:r>
      <w:r>
        <w:rPr>
          <w:rFonts w:cs="Symbol" w:ascii="Symbol" w:hAnsi="Symbol"/>
        </w:rPr>
        <w:sym w:font="Symbol" w:char="f053"/>
      </w:r>
      <w:r>
        <w:rPr>
          <w:rFonts w:cs="Arial" w:ascii="Arial" w:hAnsi="Arial"/>
        </w:rPr>
        <w:t xml:space="preserve"> (балл</w:t>
      </w:r>
      <w:r>
        <w:rPr>
          <w:rFonts w:cs="Arial" w:ascii="Arial" w:hAnsi="Arial"/>
          <w:vertAlign w:val="subscript"/>
        </w:rPr>
        <w:t>i</w:t>
      </w:r>
      <w:r>
        <w:rPr>
          <w:rFonts w:cs="Arial" w:ascii="Arial" w:hAnsi="Arial"/>
        </w:rPr>
        <w:t xml:space="preserve"> х вес</w:t>
      </w:r>
      <w:r>
        <w:rPr>
          <w:rFonts w:cs="Arial" w:ascii="Arial" w:hAnsi="Arial"/>
          <w:vertAlign w:val="subscript"/>
        </w:rPr>
        <w:t>i</w:t>
      </w:r>
      <w:r>
        <w:rPr>
          <w:rFonts w:cs="Arial" w:ascii="Arial" w:hAnsi="Arial"/>
        </w:rPr>
        <w:t xml:space="preserve">) : </w:t>
      </w:r>
      <w:r>
        <w:rPr>
          <w:rFonts w:cs="Symbol" w:ascii="Symbol" w:hAnsi="Symbol"/>
        </w:rPr>
        <w:sym w:font="Symbol" w:char="f053"/>
      </w:r>
      <w:r>
        <w:rPr>
          <w:rFonts w:cs="Arial" w:ascii="Arial" w:hAnsi="Arial"/>
        </w:rPr>
        <w:t xml:space="preserve"> вес</w:t>
      </w:r>
      <w:r>
        <w:rPr>
          <w:rFonts w:cs="Arial" w:ascii="Arial" w:hAnsi="Arial"/>
          <w:vertAlign w:val="subscript"/>
        </w:rPr>
        <w:t>i</w:t>
      </w:r>
      <w:r>
        <w:rPr>
          <w:rFonts w:cs="Arial" w:ascii="Arial" w:hAnsi="Arial"/>
        </w:rPr>
        <w:t>,</w:t>
      </w:r>
    </w:p>
    <w:p>
      <w:pPr>
        <w:pStyle w:val="MainText-BezOtstupa1"/>
        <w:tabs>
          <w:tab w:val="clear" w:pos="720"/>
          <w:tab w:val="center" w:pos="4479" w:leader="none"/>
          <w:tab w:val="center" w:pos="5897" w:leader="none"/>
        </w:tabs>
        <w:jc w:val="start"/>
        <w:rPr>
          <w:rFonts w:ascii="Arial" w:hAnsi="Arial" w:cs="Arial"/>
          <w:vertAlign w:val="superscript"/>
        </w:rPr>
      </w:pPr>
      <w:r>
        <w:rPr>
          <w:rFonts w:cs="Arial" w:ascii="Arial" w:hAnsi="Arial"/>
          <w:vertAlign w:val="superscript"/>
        </w:rPr>
        <w:tab/>
        <w:t>i=1</w:t>
        <w:tab/>
        <w:t>i=1</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балл</w:t>
      </w:r>
      <w:r>
        <w:rPr>
          <w:rFonts w:cs="Arial" w:ascii="Arial" w:hAnsi="Arial"/>
          <w:color w:val="000000"/>
          <w:vertAlign w:val="subscript"/>
        </w:rPr>
        <w:t>i</w:t>
      </w:r>
      <w:r>
        <w:rPr>
          <w:rFonts w:cs="Arial" w:ascii="Arial" w:hAnsi="Arial"/>
          <w:color w:val="000000"/>
        </w:rPr>
        <w:t> — оценка от 1 до 4 соответствующего показателя, определенного в соответствии с подпунктами 3.3.1—3.3.5 настоящего пункта (балльная оценка);</w:t>
      </w:r>
    </w:p>
    <w:p>
      <w:pPr>
        <w:pStyle w:val="MainText"/>
        <w:rPr>
          <w:rFonts w:ascii="Arial" w:hAnsi="Arial" w:cs="Arial"/>
          <w:color w:val="000000"/>
        </w:rPr>
      </w:pPr>
      <w:r>
        <w:rPr>
          <w:rFonts w:cs="Arial" w:ascii="Arial" w:hAnsi="Arial"/>
          <w:color w:val="000000"/>
        </w:rPr>
        <w:t>вес</w:t>
      </w:r>
      <w:r>
        <w:rPr>
          <w:rFonts w:cs="Arial" w:ascii="Arial" w:hAnsi="Arial"/>
          <w:color w:val="000000"/>
          <w:vertAlign w:val="subscript"/>
        </w:rPr>
        <w:t>i</w:t>
      </w:r>
      <w:r>
        <w:rPr>
          <w:rFonts w:cs="Arial" w:ascii="Arial" w:hAnsi="Arial"/>
          <w:color w:val="000000"/>
        </w:rPr>
        <w:t> — оценка по шкале относительной значимости от 1 до 3 соответствующего показателя, определенного в соответствии с подпунктами 3.3.1—3.3.5 настоящего пункта (весовая оценка).</w:t>
      </w:r>
    </w:p>
    <w:p>
      <w:pPr>
        <w:pStyle w:val="MainText"/>
        <w:rPr>
          <w:rFonts w:ascii="Arial" w:hAnsi="Arial" w:cs="Arial"/>
          <w:color w:val="000000"/>
        </w:rPr>
      </w:pPr>
      <w:r>
        <w:rPr>
          <w:rFonts w:cs="Arial" w:ascii="Arial" w:hAnsi="Arial"/>
          <w:color w:val="000000"/>
        </w:rPr>
        <w:t>Балльная и весовая оценки показателей группы показателей оценки доходности приведены в приложении 3 к настоящему Указанию.</w:t>
      </w:r>
    </w:p>
    <w:p>
      <w:pPr>
        <w:pStyle w:val="MainText"/>
        <w:rPr>
          <w:rFonts w:ascii="Arial" w:hAnsi="Arial" w:cs="Arial"/>
          <w:color w:val="000000"/>
        </w:rPr>
      </w:pPr>
      <w:r>
        <w:rPr>
          <w:rFonts w:cs="Arial" w:ascii="Arial" w:hAnsi="Arial"/>
          <w:color w:val="000000"/>
        </w:rPr>
        <w:t>3.3.8. Обобщающий результат по группе показателей оценки доходности является целым числом. В случае, если дробная часть полученного показателя имеет значение, меньшее 0,35, показателю присваивается значение, равное его целой части. В противном случае показатель принимается равным его целой части, увеличенной на 1.</w:t>
      </w:r>
    </w:p>
    <w:p>
      <w:pPr>
        <w:pStyle w:val="MainText"/>
        <w:rPr>
          <w:rFonts w:ascii="Arial" w:hAnsi="Arial" w:cs="Arial"/>
          <w:color w:val="000000"/>
        </w:rPr>
      </w:pPr>
      <w:r>
        <w:rPr>
          <w:rFonts w:cs="Arial" w:ascii="Arial" w:hAnsi="Arial"/>
          <w:color w:val="000000"/>
        </w:rPr>
        <w:t>3.3.9. Обобщающий результат характеризует состояние доходности следующим образом:</w:t>
      </w:r>
    </w:p>
    <w:p>
      <w:pPr>
        <w:pStyle w:val="MainText"/>
        <w:rPr>
          <w:rFonts w:ascii="Arial" w:hAnsi="Arial" w:cs="Arial"/>
          <w:color w:val="000000"/>
        </w:rPr>
      </w:pPr>
      <w:r>
        <w:rPr>
          <w:rFonts w:cs="Arial" w:ascii="Arial" w:hAnsi="Arial"/>
          <w:color w:val="000000"/>
        </w:rPr>
        <w:t>равный 1 — “хорошее”;</w:t>
      </w:r>
    </w:p>
    <w:p>
      <w:pPr>
        <w:pStyle w:val="MainText"/>
        <w:rPr>
          <w:rFonts w:ascii="Arial" w:hAnsi="Arial" w:cs="Arial"/>
          <w:color w:val="000000"/>
        </w:rPr>
      </w:pPr>
      <w:r>
        <w:rPr>
          <w:rFonts w:cs="Arial" w:ascii="Arial" w:hAnsi="Arial"/>
          <w:color w:val="000000"/>
        </w:rPr>
        <w:t>равный 2 — “удовлетворительное”;</w:t>
      </w:r>
    </w:p>
    <w:p>
      <w:pPr>
        <w:pStyle w:val="MainText"/>
        <w:rPr>
          <w:rFonts w:ascii="Arial" w:hAnsi="Arial" w:cs="Arial"/>
          <w:color w:val="000000"/>
        </w:rPr>
      </w:pPr>
      <w:r>
        <w:rPr>
          <w:rFonts w:cs="Arial" w:ascii="Arial" w:hAnsi="Arial"/>
          <w:color w:val="000000"/>
        </w:rPr>
        <w:t>равный 3 — “сомнительное”;</w:t>
      </w:r>
    </w:p>
    <w:p>
      <w:pPr>
        <w:pStyle w:val="MainText"/>
        <w:rPr>
          <w:rFonts w:ascii="Arial" w:hAnsi="Arial" w:cs="Arial"/>
          <w:color w:val="000000"/>
        </w:rPr>
      </w:pPr>
      <w:r>
        <w:rPr>
          <w:rFonts w:cs="Arial" w:ascii="Arial" w:hAnsi="Arial"/>
          <w:color w:val="000000"/>
        </w:rPr>
        <w:t>равный 4 — “неудовлетворительное”.</w:t>
      </w:r>
    </w:p>
    <w:p>
      <w:pPr>
        <w:pStyle w:val="MainText"/>
        <w:rPr>
          <w:rFonts w:ascii="Arial" w:hAnsi="Arial" w:cs="Arial"/>
          <w:color w:val="000000"/>
        </w:rPr>
      </w:pPr>
      <w:r>
        <w:rPr>
          <w:rFonts w:cs="Arial" w:ascii="Arial" w:hAnsi="Arial"/>
          <w:color w:val="000000"/>
        </w:rPr>
        <w:t>3.4. Оценка ликвидности определяется по результатам оценок показателей общей краткосрочной ликвидности, мгновенной ликвидности, текущей ликвидности, структуры привлеченных средств, зависимости от межбанковского рынка, риска собственных вексельных обязательств, небанковских ссуд, усреднения обязательных резервов, обязательных резервов и риска на крупных кредиторов и вкладчиков (далее — группа показателей оценки ликвидности).</w:t>
      </w:r>
    </w:p>
    <w:p>
      <w:pPr>
        <w:pStyle w:val="MainText"/>
        <w:rPr>
          <w:rFonts w:ascii="Arial" w:hAnsi="Arial" w:cs="Arial"/>
          <w:color w:val="000000"/>
        </w:rPr>
      </w:pPr>
      <w:r>
        <w:rPr>
          <w:rFonts w:cs="Arial" w:ascii="Arial" w:hAnsi="Arial"/>
          <w:color w:val="000000"/>
        </w:rPr>
        <w:t>3.4.1. Показатель общей краткосрочной ликвидности (ПЛ1) определяется как процентное отношение ликвидных активов к привлеченным средствам по следующей формуле:</w:t>
      </w:r>
    </w:p>
    <w:p>
      <w:pPr>
        <w:pStyle w:val="MainText-BezOtstupa1"/>
        <w:spacing w:before="120" w:after="0"/>
        <w:ind w:end="113"/>
        <w:jc w:val="center"/>
        <w:rPr>
          <w:rFonts w:ascii="Arial" w:hAnsi="Arial" w:cs="Arial"/>
        </w:rPr>
      </w:pPr>
      <w:r>
        <w:rPr>
          <w:rFonts w:cs="Arial" w:ascii="Arial" w:hAnsi="Arial"/>
        </w:rPr>
        <w:t>Лат</w:t>
      </w:r>
    </w:p>
    <w:p>
      <w:pPr>
        <w:pStyle w:val="MainText-BezOtstupa1"/>
        <w:jc w:val="center"/>
        <w:rPr>
          <w:rFonts w:ascii="Arial" w:hAnsi="Arial" w:cs="Arial"/>
        </w:rPr>
      </w:pPr>
      <w:r>
        <w:rPr>
          <w:rFonts w:cs="Arial" w:ascii="Arial" w:hAnsi="Arial"/>
        </w:rPr>
        <w:t>ПЛ1 = ——————————— х 100%,</w:t>
      </w:r>
    </w:p>
    <w:p>
      <w:pPr>
        <w:pStyle w:val="MainText-BezOtstupa1"/>
        <w:ind w:end="113"/>
        <w:jc w:val="center"/>
        <w:rPr>
          <w:rFonts w:ascii="Arial" w:hAnsi="Arial" w:cs="Arial"/>
        </w:rPr>
      </w:pPr>
      <w:r>
        <w:rPr>
          <w:rFonts w:cs="Arial" w:ascii="Arial" w:hAnsi="Arial"/>
        </w:rPr>
        <w:t>О — (Одл — Офл)</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Лат — ликвидные активы банка. Представляют собой значение показателя Лат формы 0409135, рассчитанное в соответствии с Инструкцией Банка России № 110-И;</w:t>
      </w:r>
    </w:p>
    <w:p>
      <w:pPr>
        <w:pStyle w:val="MainText"/>
        <w:rPr>
          <w:rFonts w:ascii="Arial" w:hAnsi="Arial" w:cs="Arial"/>
          <w:color w:val="000000"/>
        </w:rPr>
      </w:pPr>
      <w:r>
        <w:rPr>
          <w:rFonts w:cs="Arial" w:ascii="Arial" w:hAnsi="Arial"/>
          <w:color w:val="000000"/>
        </w:rPr>
        <w:t>О — общий объем обязательств банка. Представляет собой значение показателя “Итого обязательств со сроком погашения (востребования) свыше 1 года” формы 0409125 “Сведения об активах и пассивах по срокам востребования и погашения”, установленной приложением 1 к Указанию Банка России № 1376-У (далее — форма 0409125);</w:t>
      </w:r>
    </w:p>
    <w:p>
      <w:pPr>
        <w:pStyle w:val="MainText"/>
        <w:rPr>
          <w:rFonts w:ascii="Arial" w:hAnsi="Arial" w:cs="Arial"/>
          <w:color w:val="000000"/>
        </w:rPr>
      </w:pPr>
      <w:r>
        <w:rPr>
          <w:rFonts w:cs="Arial" w:ascii="Arial" w:hAnsi="Arial"/>
          <w:color w:val="000000"/>
        </w:rPr>
        <w:t>Одл — обязательства банка со сроком погашения (востребования) свыше 1 года. Представляют собой разницу показателей “Итого обязательств со сроком погашения (востребования) свыше 1 года” и “Итого обязательств со сроком погашения (востребования) до 1 года” формы 0409125;</w:t>
      </w:r>
    </w:p>
    <w:p>
      <w:pPr>
        <w:pStyle w:val="MainText"/>
        <w:rPr>
          <w:rFonts w:ascii="Arial" w:hAnsi="Arial" w:cs="Arial"/>
          <w:color w:val="000000"/>
        </w:rPr>
      </w:pPr>
      <w:r>
        <w:rPr>
          <w:rFonts w:cs="Arial" w:ascii="Arial" w:hAnsi="Arial"/>
          <w:color w:val="000000"/>
        </w:rPr>
        <w:t>Офл — средства клиентов — физических лиц со сроком погашения (востребования) свыше 1 года. Представляют собой разницу показателей “Вклады физических лиц со сроком погашения (востребования) свыше 1 года” и “Вклады физических лиц со сроком погашения (востребования) до 1 года” формы 0409125.</w:t>
      </w:r>
    </w:p>
    <w:p>
      <w:pPr>
        <w:pStyle w:val="MainText"/>
        <w:rPr>
          <w:rFonts w:ascii="Arial" w:hAnsi="Arial" w:cs="Arial"/>
          <w:color w:val="000000"/>
        </w:rPr>
      </w:pPr>
      <w:r>
        <w:rPr>
          <w:rFonts w:cs="Arial" w:ascii="Arial" w:hAnsi="Arial"/>
          <w:color w:val="000000"/>
        </w:rPr>
        <w:t>3.4.2. Показатель мгновенной ликвидности (ПЛ2) представляет собой фактическое значение обязательного норматива Н2 “Норматив мгновенной ликвидности банка” формы 0409135, рассчитанное в соответствии с Инструкцией Банка России № 110-И.</w:t>
      </w:r>
    </w:p>
    <w:p>
      <w:pPr>
        <w:pStyle w:val="MainText"/>
        <w:rPr>
          <w:rFonts w:ascii="Arial" w:hAnsi="Arial" w:cs="Arial"/>
          <w:color w:val="000000"/>
        </w:rPr>
      </w:pPr>
      <w:r>
        <w:rPr>
          <w:rFonts w:cs="Arial" w:ascii="Arial" w:hAnsi="Arial"/>
          <w:color w:val="000000"/>
        </w:rPr>
        <w:t>3.4.3. Показатель текущей ликвидности (ПЛ3) представляет собой фактическое значение обязательного норматива Н3 “Норматив текущей ликвидности банка” формы 0409135, рассчитанное в соответствии с Инструкцией Банка России № 110-И.</w:t>
      </w:r>
    </w:p>
    <w:p>
      <w:pPr>
        <w:pStyle w:val="MainText"/>
        <w:rPr>
          <w:rFonts w:ascii="Arial" w:hAnsi="Arial" w:cs="Arial"/>
          <w:color w:val="000000"/>
        </w:rPr>
      </w:pPr>
      <w:r>
        <w:rPr>
          <w:rFonts w:cs="Arial" w:ascii="Arial" w:hAnsi="Arial"/>
          <w:color w:val="000000"/>
        </w:rPr>
        <w:t>3.4.4. Показатель структуры привлеченных средств (ПЛ4) определяется как процентное отношение обязательств (пассивов) до востребования и привлеченных средств по следующей формуле:</w:t>
      </w:r>
    </w:p>
    <w:p>
      <w:pPr>
        <w:pStyle w:val="MainText-BezOtstupa1"/>
        <w:spacing w:before="120" w:after="0"/>
        <w:ind w:end="142"/>
        <w:jc w:val="center"/>
        <w:rPr>
          <w:rFonts w:ascii="Arial" w:hAnsi="Arial" w:cs="Arial"/>
        </w:rPr>
      </w:pPr>
      <w:r>
        <w:rPr>
          <w:rFonts w:cs="Arial" w:ascii="Arial" w:hAnsi="Arial"/>
        </w:rPr>
        <w:t>Овм</w:t>
      </w:r>
    </w:p>
    <w:p>
      <w:pPr>
        <w:pStyle w:val="MainText-BezOtstupa1"/>
        <w:jc w:val="center"/>
        <w:rPr>
          <w:rFonts w:ascii="Arial" w:hAnsi="Arial" w:cs="Arial"/>
        </w:rPr>
      </w:pPr>
      <w:r>
        <w:rPr>
          <w:rFonts w:cs="Arial" w:ascii="Arial" w:hAnsi="Arial"/>
        </w:rPr>
        <w:t>ПЛ4 = ————— х 100%,</w:t>
      </w:r>
    </w:p>
    <w:p>
      <w:pPr>
        <w:pStyle w:val="MainText-BezOtstupa1"/>
        <w:ind w:end="142"/>
        <w:jc w:val="center"/>
        <w:rPr>
          <w:rFonts w:ascii="Arial" w:hAnsi="Arial" w:cs="Arial"/>
        </w:rPr>
      </w:pPr>
      <w:r>
        <w:rPr>
          <w:rFonts w:cs="Arial" w:ascii="Arial" w:hAnsi="Arial"/>
        </w:rPr>
        <w:t>ПС</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Овм — обязательства (пассивы) до востребования. Представляют собой значение показателя Овм формы 0409135, рассчитанное в соответствии с Инструкцией Банка России № 110-И;</w:t>
      </w:r>
    </w:p>
    <w:p>
      <w:pPr>
        <w:pStyle w:val="MainText"/>
        <w:rPr>
          <w:rFonts w:ascii="Arial" w:hAnsi="Arial" w:cs="Arial"/>
          <w:color w:val="000000"/>
        </w:rPr>
      </w:pPr>
      <w:r>
        <w:rPr>
          <w:rFonts w:cs="Arial" w:ascii="Arial" w:hAnsi="Arial"/>
          <w:color w:val="000000"/>
        </w:rPr>
        <w:t>ПС — привлеченные средства. Представляют собой разницу значений показателей “Всего обязательств” и “Резервы на возможные потери по условным обязательствам кредитного характера, прочим возможным потерям и операциям с резидентами офшорных зон” формы 0409806.</w:t>
      </w:r>
    </w:p>
    <w:p>
      <w:pPr>
        <w:pStyle w:val="MainText"/>
        <w:rPr>
          <w:rFonts w:ascii="Arial" w:hAnsi="Arial" w:cs="Arial"/>
          <w:color w:val="000000"/>
        </w:rPr>
      </w:pPr>
      <w:r>
        <w:rPr>
          <w:rFonts w:cs="Arial" w:ascii="Arial" w:hAnsi="Arial"/>
          <w:color w:val="000000"/>
        </w:rPr>
        <w:t>3.4.5. Показатель зависимости от межбанковского рынка (ПЛ5) определяется как процентное отношение разницы привлеченных и размещенных межбанковских кредитов (депозитов) и привлеченных средств по следующей формуле:</w:t>
      </w:r>
    </w:p>
    <w:p>
      <w:pPr>
        <w:pStyle w:val="MainText-BezOtstupa1"/>
        <w:ind w:end="130"/>
        <w:jc w:val="center"/>
        <w:rPr>
          <w:rFonts w:ascii="Arial" w:hAnsi="Arial" w:cs="Arial"/>
        </w:rPr>
      </w:pPr>
      <w:r>
        <w:rPr>
          <w:rFonts w:cs="Arial" w:ascii="Arial" w:hAnsi="Arial"/>
        </w:rPr>
        <w:t>ПСбк — СЗбк</w:t>
      </w:r>
    </w:p>
    <w:p>
      <w:pPr>
        <w:pStyle w:val="MainText-BezOtstupa1"/>
        <w:jc w:val="center"/>
        <w:rPr>
          <w:rFonts w:ascii="Arial" w:hAnsi="Arial" w:cs="Arial"/>
        </w:rPr>
      </w:pPr>
      <w:r>
        <w:rPr>
          <w:rFonts w:cs="Arial" w:ascii="Arial" w:hAnsi="Arial"/>
        </w:rPr>
        <w:t>ПЛ5 = ————————— х 100%,</w:t>
      </w:r>
    </w:p>
    <w:p>
      <w:pPr>
        <w:pStyle w:val="MainText-BezOtstupa1"/>
        <w:ind w:end="130"/>
        <w:jc w:val="center"/>
        <w:rPr>
          <w:rFonts w:ascii="Arial" w:hAnsi="Arial" w:cs="Arial"/>
        </w:rPr>
      </w:pPr>
      <w:r>
        <w:rPr>
          <w:rFonts w:cs="Arial" w:ascii="Arial" w:hAnsi="Arial"/>
        </w:rPr>
        <w:t>ПС</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ПСбк — полученные межбанковские кредиты (депозиты). Представляют собой итог раздела II формы 0409501 “Сведения о межбанковских кредитах и депозитах”, установленной приложением 1 к Указанию Банка России № 1376-У (далее — форма 0409501);</w:t>
      </w:r>
    </w:p>
    <w:p>
      <w:pPr>
        <w:pStyle w:val="MainText"/>
        <w:rPr>
          <w:rFonts w:ascii="Arial" w:hAnsi="Arial" w:cs="Arial"/>
          <w:color w:val="000000"/>
        </w:rPr>
      </w:pPr>
      <w:r>
        <w:rPr>
          <w:rFonts w:cs="Arial" w:ascii="Arial" w:hAnsi="Arial"/>
          <w:color w:val="000000"/>
        </w:rPr>
        <w:t>СЗбк — предоставленные межбанковские кредиты (депозиты). Представляют собой итог раздела I формы 0409501.</w:t>
      </w:r>
    </w:p>
    <w:p>
      <w:pPr>
        <w:pStyle w:val="MainText"/>
        <w:rPr>
          <w:rFonts w:ascii="Arial" w:hAnsi="Arial" w:cs="Arial"/>
          <w:color w:val="000000"/>
        </w:rPr>
      </w:pPr>
      <w:r>
        <w:rPr>
          <w:rFonts w:cs="Arial" w:ascii="Arial" w:hAnsi="Arial"/>
          <w:color w:val="000000"/>
        </w:rPr>
        <w:t>3.4.6. Показатель риска собственных вексельных обязательств (ПЛ6) определяется как процентное отношение суммы выпущенных банком векселей и банковских акцептов к собственным средствам (капиталу) по следующей формуле:</w:t>
      </w:r>
    </w:p>
    <w:p>
      <w:pPr>
        <w:pStyle w:val="MainText-BezOtstupa1"/>
        <w:ind w:end="142"/>
        <w:jc w:val="center"/>
        <w:rPr>
          <w:rFonts w:ascii="Arial" w:hAnsi="Arial" w:cs="Arial"/>
        </w:rPr>
      </w:pPr>
      <w:r>
        <w:rPr>
          <w:rFonts w:cs="Arial" w:ascii="Arial" w:hAnsi="Arial"/>
        </w:rPr>
        <w:t>Ов</w:t>
      </w:r>
    </w:p>
    <w:p>
      <w:pPr>
        <w:pStyle w:val="MainText-BezOtstupa1"/>
        <w:jc w:val="center"/>
        <w:rPr>
          <w:rFonts w:ascii="Arial" w:hAnsi="Arial" w:cs="Arial"/>
        </w:rPr>
      </w:pPr>
      <w:r>
        <w:rPr>
          <w:rFonts w:cs="Arial" w:ascii="Arial" w:hAnsi="Arial"/>
        </w:rPr>
        <w:t>ПЛ6 = ————— х 100%,</w:t>
      </w:r>
    </w:p>
    <w:p>
      <w:pPr>
        <w:pStyle w:val="MainText-BezOtstupa1"/>
        <w:ind w:end="142"/>
        <w:jc w:val="center"/>
        <w:rPr>
          <w:rFonts w:ascii="Arial" w:hAnsi="Arial" w:cs="Arial"/>
        </w:rPr>
      </w:pPr>
      <w:r>
        <w:rPr>
          <w:rFonts w:cs="Arial" w:ascii="Arial" w:hAnsi="Arial"/>
        </w:rPr>
        <w:t>К</w:t>
      </w:r>
    </w:p>
    <w:p>
      <w:pPr>
        <w:pStyle w:val="MainText"/>
        <w:keepNext w:val="true"/>
        <w:keepLines/>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Ов — выпущенные банком векселя и банковские акцепты. Представляют собой сумму исходящих остатков на балансовых счетах № 523 “Выпущенные векселя и банковские акцепты” и № 52406 “Векселя к исполнению” формы 0409101 “Оборотная ведомость по счетам бухгалтерского учета кредитной организации”, установленной приложением 1 к Указанию Банка России № 1376-У.</w:t>
      </w:r>
    </w:p>
    <w:p>
      <w:pPr>
        <w:pStyle w:val="MainText"/>
        <w:rPr>
          <w:rFonts w:ascii="Arial" w:hAnsi="Arial" w:cs="Arial"/>
          <w:color w:val="000000"/>
        </w:rPr>
      </w:pPr>
      <w:r>
        <w:rPr>
          <w:rFonts w:cs="Arial" w:ascii="Arial" w:hAnsi="Arial"/>
          <w:color w:val="000000"/>
        </w:rPr>
        <w:t>3.4.7. Показатель небанковских ссуд (ПЛ7) определяется как процентное отношение ссуд, предоставленных клиентам — некредитным организациям, и остатков средств на счетах клиентов — некредитных организаций по следующей формуле:</w:t>
      </w:r>
    </w:p>
    <w:p>
      <w:pPr>
        <w:pStyle w:val="MainText-BezOtstupa1"/>
        <w:ind w:end="113"/>
        <w:jc w:val="center"/>
        <w:rPr>
          <w:rFonts w:ascii="Arial" w:hAnsi="Arial" w:cs="Arial"/>
        </w:rPr>
      </w:pPr>
      <w:r>
        <w:rPr>
          <w:rFonts w:cs="Arial" w:ascii="Arial" w:hAnsi="Arial"/>
        </w:rPr>
        <w:t>СЗнб</w:t>
      </w:r>
    </w:p>
    <w:p>
      <w:pPr>
        <w:pStyle w:val="MainText-BezOtstupa1"/>
        <w:jc w:val="center"/>
        <w:rPr>
          <w:rFonts w:ascii="Arial" w:hAnsi="Arial" w:cs="Arial"/>
        </w:rPr>
      </w:pPr>
      <w:r>
        <w:rPr>
          <w:rFonts w:cs="Arial" w:ascii="Arial" w:hAnsi="Arial"/>
        </w:rPr>
        <w:t>ПЛ7 = ————————— х 100%,</w:t>
      </w:r>
    </w:p>
    <w:p>
      <w:pPr>
        <w:pStyle w:val="MainText-BezOtstupa1"/>
        <w:ind w:end="113"/>
        <w:jc w:val="center"/>
        <w:rPr>
          <w:rFonts w:ascii="Arial" w:hAnsi="Arial" w:cs="Arial"/>
        </w:rPr>
      </w:pPr>
      <w:r>
        <w:rPr>
          <w:rFonts w:cs="Arial" w:ascii="Arial" w:hAnsi="Arial"/>
        </w:rPr>
        <w:t>ПСнб + ПСдо</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СЗнб — ссуды, предоставленные клиентам — некредитным организациям (включая ссуды, предоставленные физическим лицам). Определяется как разница значений показателей СЗ и СЗбк;</w:t>
      </w:r>
    </w:p>
    <w:p>
      <w:pPr>
        <w:pStyle w:val="MainText"/>
        <w:rPr>
          <w:rFonts w:ascii="Arial" w:hAnsi="Arial" w:cs="Arial"/>
          <w:color w:val="000000"/>
        </w:rPr>
      </w:pPr>
      <w:r>
        <w:rPr>
          <w:rFonts w:cs="Arial" w:ascii="Arial" w:hAnsi="Arial"/>
          <w:color w:val="000000"/>
        </w:rPr>
        <w:t>ПСнб — показатель “Средства клиентов (некредитных организаций)” формы 0409806;</w:t>
      </w:r>
    </w:p>
    <w:p>
      <w:pPr>
        <w:pStyle w:val="MainText"/>
        <w:rPr>
          <w:rFonts w:ascii="Arial" w:hAnsi="Arial" w:cs="Arial"/>
          <w:color w:val="000000"/>
        </w:rPr>
      </w:pPr>
      <w:r>
        <w:rPr>
          <w:rFonts w:cs="Arial" w:ascii="Arial" w:hAnsi="Arial"/>
          <w:color w:val="000000"/>
        </w:rPr>
        <w:t>ПСдо — показатель “Выпущенные долговые обязательства” формы 0409806.</w:t>
      </w:r>
    </w:p>
    <w:p>
      <w:pPr>
        <w:pStyle w:val="MainText"/>
        <w:rPr>
          <w:rFonts w:ascii="Arial" w:hAnsi="Arial" w:cs="Arial"/>
          <w:color w:val="000000"/>
        </w:rPr>
      </w:pPr>
      <w:r>
        <w:rPr>
          <w:rFonts w:cs="Arial" w:ascii="Arial" w:hAnsi="Arial"/>
          <w:color w:val="000000"/>
        </w:rPr>
        <w:t>3.4.8. Показатель усреднения обязательных резервов (ПЛ8) характеризует отсутствие (наличие) у банка факта невыполнения обязанности по усреднению обязательных резервов в соответствии с Положением Банка России от 29 марта 2004 года № 255-П “Об обязательных резервах кредитных организаций”, зарегистрированным Министерством юстиции Российской Федерации 23 апреля 2004 года № 5769; 22 октября 2004 года № 6081; 28 апреля 2005 года № 6561; 19 октября 2005 года № 7106; 11 октября 2006 года № 8368; 5 июня 2007 года № 9587; 20 декабря 2007 года № 10787 (“Вестник Банка России” от 30 апреля 2004 года № 25; от 27 октября 2004 года № 62; от 5 мая 2005 года № 22; от 26 октября 2005 года № 56; от 18 октября 2006 года № 56; от 9 июня 2007 года № 34; от 26 декабря 2007 года № 71), и оценивается за квартал, предшествующий отчетной дате, на которую рассчитываются группы показателей оценки капитала, активов, доходности и ликвидности.</w:t>
      </w:r>
    </w:p>
    <w:p>
      <w:pPr>
        <w:pStyle w:val="MainText"/>
        <w:rPr>
          <w:rFonts w:ascii="Arial" w:hAnsi="Arial" w:cs="Arial"/>
          <w:color w:val="000000"/>
        </w:rPr>
      </w:pPr>
      <w:r>
        <w:rPr>
          <w:rFonts w:cs="Arial" w:ascii="Arial" w:hAnsi="Arial"/>
          <w:color w:val="000000"/>
        </w:rPr>
        <w:t>В случае неиспользования банком в анализируемом периоде усреднения обязательных резервов либо отсутствия факта невыполнения обязанности по усреднению обязательных резервов показатель ПЛ8 не рассчитывается и не включается в расчет обобщающего результата по группе показателей оценки ликвидности.</w:t>
      </w:r>
    </w:p>
    <w:p>
      <w:pPr>
        <w:pStyle w:val="MainText"/>
        <w:rPr>
          <w:rFonts w:ascii="Arial" w:hAnsi="Arial" w:cs="Arial"/>
          <w:color w:val="000000"/>
        </w:rPr>
      </w:pPr>
      <w:r>
        <w:rPr>
          <w:rFonts w:cs="Arial" w:ascii="Arial" w:hAnsi="Arial"/>
          <w:color w:val="000000"/>
        </w:rPr>
        <w:t>3.4.9. Показатель риска на крупных кредиторов и вкладчиков (ПЛ10) определяется как процентное отношение суммы обязательств банка по кредиторам и вкладчикам (группам связанных кредиторов и вкладчиков) — некредитным организациям, доля которых в совокупной величине аналогичных обязательств банка составляет 10 и более процентов, к ликвидным активам по следующей формуле:</w:t>
      </w:r>
    </w:p>
    <w:p>
      <w:pPr>
        <w:pStyle w:val="MainText-BezOtstupa1"/>
        <w:spacing w:before="120" w:after="0"/>
        <w:ind w:end="85"/>
        <w:jc w:val="center"/>
        <w:rPr>
          <w:rFonts w:ascii="Arial" w:hAnsi="Arial" w:cs="Arial"/>
        </w:rPr>
      </w:pPr>
      <w:r>
        <w:rPr>
          <w:rFonts w:cs="Arial" w:ascii="Arial" w:hAnsi="Arial"/>
        </w:rPr>
        <w:t>Овкк</w:t>
      </w:r>
    </w:p>
    <w:p>
      <w:pPr>
        <w:pStyle w:val="MainText-BezOtstupa1"/>
        <w:jc w:val="center"/>
        <w:rPr>
          <w:rFonts w:ascii="Arial" w:hAnsi="Arial" w:cs="Arial"/>
        </w:rPr>
      </w:pPr>
      <w:r>
        <w:rPr>
          <w:rFonts w:cs="Arial" w:ascii="Arial" w:hAnsi="Arial"/>
        </w:rPr>
        <w:t>ПЛ10 = ————— х 100%,</w:t>
      </w:r>
    </w:p>
    <w:p>
      <w:pPr>
        <w:pStyle w:val="MainText-BezOtstupa1"/>
        <w:ind w:end="85"/>
        <w:jc w:val="center"/>
        <w:rPr>
          <w:rFonts w:ascii="Arial" w:hAnsi="Arial" w:cs="Arial"/>
        </w:rPr>
      </w:pPr>
      <w:r>
        <w:rPr>
          <w:rFonts w:cs="Arial" w:ascii="Arial" w:hAnsi="Arial"/>
        </w:rPr>
        <w:t>Лат</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Овкк — сумма обязательств банка по кредиторам и вкладчикам (группам связанных кредиторов и вкладчиков) — некредитным организациям, доля каждого из которых в совокупной величине аналогичных обязательств банка составляет 10 и более процентов. Рассчитываются на основе данных отчетности по форме 0409157 “Сведения о крупных кредиторах (вкладчиках) кредитной организации”, установленной приложением 1 к Указанию Банка России № 1376-У.</w:t>
      </w:r>
    </w:p>
    <w:p>
      <w:pPr>
        <w:pStyle w:val="MainText"/>
        <w:rPr>
          <w:rFonts w:ascii="Arial" w:hAnsi="Arial" w:cs="Arial"/>
          <w:color w:val="000000"/>
        </w:rPr>
      </w:pPr>
      <w:r>
        <w:rPr>
          <w:rFonts w:cs="Arial" w:ascii="Arial" w:hAnsi="Arial"/>
          <w:color w:val="000000"/>
        </w:rPr>
        <w:t>3.4.10. Показатель не исполненных банком требований перед кредиторами (ПЛ11) характеризует отсутствие (наличие) у банка неисполненных требований отдельных кредиторов по денежным обязательствам, включая требования Банка России, и(или) обязанности по уплате обязательных платежей и оценивается в календарных днях длительности неуплаты в течение 6 месяцев, предшествующих отчетной дате, на которую рассчитываются группы показателей оценки капитала, активов, доходности и ликвидности.</w:t>
      </w:r>
    </w:p>
    <w:p>
      <w:pPr>
        <w:pStyle w:val="MainText"/>
        <w:rPr>
          <w:rFonts w:ascii="Arial" w:hAnsi="Arial" w:cs="Arial"/>
          <w:color w:val="000000"/>
        </w:rPr>
      </w:pPr>
      <w:r>
        <w:rPr>
          <w:rFonts w:cs="Arial" w:ascii="Arial" w:hAnsi="Arial"/>
          <w:color w:val="000000"/>
        </w:rPr>
        <w:t>В случае отсутствия у банка в анализируемом периоде фактов неисполнения требований показатель ПЛ11 не рассчитывается и исключается из расчета обобщающего результата по группе показателей оценки ликвидности.</w:t>
      </w:r>
    </w:p>
    <w:p>
      <w:pPr>
        <w:pStyle w:val="MainText"/>
        <w:rPr>
          <w:rFonts w:ascii="Arial" w:hAnsi="Arial" w:cs="Arial"/>
          <w:color w:val="000000"/>
        </w:rPr>
      </w:pPr>
      <w:r>
        <w:rPr>
          <w:rFonts w:cs="Arial" w:ascii="Arial" w:hAnsi="Arial"/>
          <w:color w:val="000000"/>
        </w:rPr>
        <w:t>3.4.11. Показатель обязательных резервов (ПЛ9) характеризует отсутствие (наличие) у банка неисполнения обязанности по выполнению резервных требований и оценивается в календарных днях длительности неуплаты за квартал, предшествующий отчетной дате, на которую рассчитываются группы показателей оценки капитала, активов, доходности и ликвидности.</w:t>
      </w:r>
    </w:p>
    <w:p>
      <w:pPr>
        <w:pStyle w:val="MainText"/>
        <w:rPr>
          <w:rFonts w:ascii="Arial" w:hAnsi="Arial" w:cs="Arial"/>
          <w:color w:val="000000"/>
        </w:rPr>
      </w:pPr>
      <w:r>
        <w:rPr>
          <w:rFonts w:cs="Arial" w:ascii="Arial" w:hAnsi="Arial"/>
          <w:color w:val="000000"/>
        </w:rPr>
        <w:t>В случае отсутствия у банка в анализируемом периоде фактов неуплаченного недовзноса в обязательные резервы показатель ПЛ9 не рассчитывается и исключается из расчета обобщающего результата по группе показателей оценки ликвидности.</w:t>
      </w:r>
    </w:p>
    <w:p>
      <w:pPr>
        <w:pStyle w:val="MainText"/>
        <w:rPr>
          <w:rFonts w:ascii="Arial" w:hAnsi="Arial" w:cs="Arial"/>
          <w:color w:val="000000"/>
        </w:rPr>
      </w:pPr>
      <w:r>
        <w:rPr>
          <w:rFonts w:cs="Arial" w:ascii="Arial" w:hAnsi="Arial"/>
          <w:color w:val="000000"/>
        </w:rPr>
        <w:t>3.4.12. Для оценки ликвидности рассчитывается обобщающий результат по группе показателей оценки ликвидности (РГЛ), который представляет собой среднее взвешенное значение коэффициентов, определенных в соответствии с подпунктами 3.4.1—3.4.11 настоящего пункта. Расчет обобщающего результата производится по следующей формуле:</w:t>
      </w:r>
    </w:p>
    <w:p>
      <w:pPr>
        <w:pStyle w:val="MainText-BezOtstupa1"/>
        <w:keepNext w:val="true"/>
        <w:keepLines/>
        <w:tabs>
          <w:tab w:val="clear" w:pos="720"/>
          <w:tab w:val="center" w:pos="4479" w:leader="none"/>
          <w:tab w:val="center" w:pos="5897" w:leader="none"/>
        </w:tabs>
        <w:jc w:val="start"/>
        <w:rPr>
          <w:rFonts w:ascii="Arial" w:hAnsi="Arial" w:cs="Arial"/>
          <w:vertAlign w:val="subscript"/>
        </w:rPr>
      </w:pPr>
      <w:r>
        <w:rPr>
          <w:rFonts w:cs="Arial" w:ascii="Arial" w:hAnsi="Arial"/>
          <w:vertAlign w:val="subscript"/>
        </w:rPr>
        <w:tab/>
        <w:t>n</w:t>
        <w:tab/>
        <w:t>n</w:t>
      </w:r>
    </w:p>
    <w:p>
      <w:pPr>
        <w:pStyle w:val="MainText-BezOtstupa1"/>
        <w:keepNext w:val="true"/>
        <w:keepLines/>
        <w:tabs>
          <w:tab w:val="clear" w:pos="720"/>
          <w:tab w:val="center" w:pos="4479" w:leader="none"/>
          <w:tab w:val="center" w:pos="5897" w:leader="none"/>
        </w:tabs>
        <w:jc w:val="center"/>
        <w:rPr>
          <w:rFonts w:ascii="Arial" w:hAnsi="Arial" w:cs="Arial"/>
        </w:rPr>
      </w:pPr>
      <w:r>
        <w:rPr>
          <w:rFonts w:cs="Arial" w:ascii="Arial" w:hAnsi="Arial"/>
        </w:rPr>
        <w:t xml:space="preserve">РГЛ = </w:t>
      </w:r>
      <w:r>
        <w:rPr>
          <w:rFonts w:cs="Symbol" w:ascii="Symbol" w:hAnsi="Symbol"/>
        </w:rPr>
        <w:sym w:font="Symbol" w:char="f053"/>
      </w:r>
      <w:r>
        <w:rPr>
          <w:rFonts w:cs="Arial" w:ascii="Arial" w:hAnsi="Arial"/>
        </w:rPr>
        <w:t xml:space="preserve"> (балл</w:t>
      </w:r>
      <w:r>
        <w:rPr>
          <w:rFonts w:cs="Arial" w:ascii="Arial" w:hAnsi="Arial"/>
          <w:vertAlign w:val="subscript"/>
        </w:rPr>
        <w:t>i</w:t>
      </w:r>
      <w:r>
        <w:rPr>
          <w:rFonts w:cs="Arial" w:ascii="Arial" w:hAnsi="Arial"/>
        </w:rPr>
        <w:t xml:space="preserve"> х вес</w:t>
      </w:r>
      <w:r>
        <w:rPr>
          <w:rFonts w:cs="Arial" w:ascii="Arial" w:hAnsi="Arial"/>
          <w:vertAlign w:val="subscript"/>
        </w:rPr>
        <w:t>i</w:t>
      </w:r>
      <w:r>
        <w:rPr>
          <w:rFonts w:cs="Arial" w:ascii="Arial" w:hAnsi="Arial"/>
        </w:rPr>
        <w:t xml:space="preserve">) : </w:t>
      </w:r>
      <w:r>
        <w:rPr>
          <w:rFonts w:cs="Symbol" w:ascii="Symbol" w:hAnsi="Symbol"/>
        </w:rPr>
        <w:sym w:font="Symbol" w:char="f053"/>
      </w:r>
      <w:r>
        <w:rPr>
          <w:rFonts w:cs="Arial" w:ascii="Arial" w:hAnsi="Arial"/>
        </w:rPr>
        <w:t xml:space="preserve"> вес</w:t>
      </w:r>
      <w:r>
        <w:rPr>
          <w:rFonts w:cs="Arial" w:ascii="Arial" w:hAnsi="Arial"/>
          <w:vertAlign w:val="subscript"/>
        </w:rPr>
        <w:t>i</w:t>
      </w:r>
      <w:r>
        <w:rPr>
          <w:rFonts w:cs="Arial" w:ascii="Arial" w:hAnsi="Arial"/>
        </w:rPr>
        <w:t>,</w:t>
      </w:r>
    </w:p>
    <w:p>
      <w:pPr>
        <w:pStyle w:val="MainText-BezOtstupa1"/>
        <w:tabs>
          <w:tab w:val="clear" w:pos="720"/>
          <w:tab w:val="center" w:pos="4479" w:leader="none"/>
          <w:tab w:val="center" w:pos="5897" w:leader="none"/>
        </w:tabs>
        <w:jc w:val="start"/>
        <w:rPr>
          <w:rFonts w:ascii="Arial" w:hAnsi="Arial" w:cs="Arial"/>
          <w:vertAlign w:val="superscript"/>
        </w:rPr>
      </w:pPr>
      <w:r>
        <w:rPr>
          <w:rFonts w:cs="Arial" w:ascii="Arial" w:hAnsi="Arial"/>
          <w:vertAlign w:val="superscript"/>
        </w:rPr>
        <w:tab/>
        <w:t>i=1</w:t>
        <w:tab/>
        <w:t>i=1</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балл</w:t>
      </w:r>
      <w:r>
        <w:rPr>
          <w:rFonts w:cs="Arial" w:ascii="Arial" w:hAnsi="Arial"/>
          <w:color w:val="000000"/>
          <w:vertAlign w:val="subscript"/>
        </w:rPr>
        <w:t>i</w:t>
      </w:r>
      <w:r>
        <w:rPr>
          <w:rFonts w:cs="Arial" w:ascii="Arial" w:hAnsi="Arial"/>
          <w:color w:val="000000"/>
        </w:rPr>
        <w:t> — оценка от 1 до 4 соответствующего показателя, определенного в соответствии с подпунктами 3.4.1—3.4.11 настоящего пункта (балльная оценка);</w:t>
      </w:r>
    </w:p>
    <w:p>
      <w:pPr>
        <w:pStyle w:val="MainText"/>
        <w:rPr>
          <w:rFonts w:ascii="Arial" w:hAnsi="Arial" w:cs="Arial"/>
          <w:color w:val="000000"/>
        </w:rPr>
      </w:pPr>
      <w:r>
        <w:rPr>
          <w:rFonts w:cs="Arial" w:ascii="Arial" w:hAnsi="Arial"/>
          <w:color w:val="000000"/>
        </w:rPr>
        <w:t>вес</w:t>
      </w:r>
      <w:r>
        <w:rPr>
          <w:rFonts w:cs="Arial" w:ascii="Arial" w:hAnsi="Arial"/>
          <w:color w:val="000000"/>
          <w:vertAlign w:val="subscript"/>
        </w:rPr>
        <w:t>i</w:t>
      </w:r>
      <w:r>
        <w:rPr>
          <w:rFonts w:cs="Arial" w:ascii="Arial" w:hAnsi="Arial"/>
          <w:color w:val="000000"/>
        </w:rPr>
        <w:t> — оценка по шкале относительной значимости от 1 до 3 соответствующего показателя, определенного в соответствии с подпунктами 3.4.1—3.4.11 настоящего пункта (весовая оценка);</w:t>
      </w:r>
    </w:p>
    <w:p>
      <w:pPr>
        <w:pStyle w:val="MainText"/>
        <w:rPr>
          <w:rFonts w:ascii="Arial" w:hAnsi="Arial" w:cs="Arial"/>
          <w:color w:val="000000"/>
        </w:rPr>
      </w:pPr>
      <w:r>
        <w:rPr>
          <w:rFonts w:cs="Arial" w:ascii="Arial" w:hAnsi="Arial"/>
          <w:color w:val="000000"/>
        </w:rPr>
        <w:t xml:space="preserve">n — количество показателей, принимаемых в расчет РГЛ (n </w:t>
      </w:r>
      <w:r>
        <w:rPr>
          <w:rFonts w:cs="Symbol" w:ascii="Symbol" w:hAnsi="Symbol"/>
          <w:color w:val="000000"/>
        </w:rPr>
        <w:sym w:font="Symbol" w:char="f0a3"/>
      </w:r>
      <w:r>
        <w:rPr>
          <w:rFonts w:cs="Arial" w:ascii="Arial" w:hAnsi="Arial"/>
          <w:color w:val="000000"/>
        </w:rPr>
        <w:t xml:space="preserve"> 11). Количество показателей, принимаемых в расчет РГЛ, может меняться в зависимости от включения в расчет (исключения из расчета) показателей, предусмотренных подпунктами 3.4.8, 3.4.10 и 3.4.11 настоящего пункта.</w:t>
      </w:r>
    </w:p>
    <w:p>
      <w:pPr>
        <w:pStyle w:val="MainText"/>
        <w:rPr>
          <w:rFonts w:ascii="Arial" w:hAnsi="Arial" w:cs="Arial"/>
          <w:color w:val="000000"/>
        </w:rPr>
      </w:pPr>
      <w:r>
        <w:rPr>
          <w:rFonts w:cs="Arial" w:ascii="Arial" w:hAnsi="Arial"/>
          <w:color w:val="000000"/>
        </w:rPr>
        <w:t>Балльная и весовая оценки показателей группы показателей оценки ликвидности приведены в приложении 4 к настоящему Указанию.</w:t>
      </w:r>
    </w:p>
    <w:p>
      <w:pPr>
        <w:pStyle w:val="MainText"/>
        <w:rPr>
          <w:rFonts w:ascii="Arial" w:hAnsi="Arial" w:cs="Arial"/>
          <w:color w:val="000000"/>
        </w:rPr>
      </w:pPr>
      <w:r>
        <w:rPr>
          <w:rFonts w:cs="Arial" w:ascii="Arial" w:hAnsi="Arial"/>
          <w:color w:val="000000"/>
        </w:rPr>
        <w:t>3.4.13. Обобщающий результат по группе показателей оценки ликвидности является целым числом. В случае, если дробная часть полученного показателя имеет значение, меньшее 0,35, показателю присваивается значение, равное его целой части. В противном случае показатель принимается равным его целой части, увеличенной на 1.</w:t>
      </w:r>
    </w:p>
    <w:p>
      <w:pPr>
        <w:pStyle w:val="MainText"/>
        <w:rPr>
          <w:rFonts w:ascii="Arial" w:hAnsi="Arial" w:cs="Arial"/>
          <w:color w:val="000000"/>
        </w:rPr>
      </w:pPr>
      <w:r>
        <w:rPr>
          <w:rFonts w:cs="Arial" w:ascii="Arial" w:hAnsi="Arial"/>
          <w:color w:val="000000"/>
        </w:rPr>
        <w:t>3.4.14. Обобщающий результат характеризует состояние ликвидности следующим образом:</w:t>
      </w:r>
    </w:p>
    <w:p>
      <w:pPr>
        <w:pStyle w:val="MainText"/>
        <w:rPr>
          <w:rFonts w:ascii="Arial" w:hAnsi="Arial" w:cs="Arial"/>
          <w:color w:val="000000"/>
        </w:rPr>
      </w:pPr>
      <w:r>
        <w:rPr>
          <w:rFonts w:cs="Arial" w:ascii="Arial" w:hAnsi="Arial"/>
          <w:color w:val="000000"/>
        </w:rPr>
        <w:t>равный 1 — “хорошее”;</w:t>
      </w:r>
    </w:p>
    <w:p>
      <w:pPr>
        <w:pStyle w:val="MainText"/>
        <w:rPr>
          <w:rFonts w:ascii="Arial" w:hAnsi="Arial" w:cs="Arial"/>
          <w:color w:val="000000"/>
        </w:rPr>
      </w:pPr>
      <w:r>
        <w:rPr>
          <w:rFonts w:cs="Arial" w:ascii="Arial" w:hAnsi="Arial"/>
          <w:color w:val="000000"/>
        </w:rPr>
        <w:t>равный 2 — “удовлетворительное”;</w:t>
      </w:r>
    </w:p>
    <w:p>
      <w:pPr>
        <w:pStyle w:val="MainText"/>
        <w:rPr>
          <w:rFonts w:ascii="Arial" w:hAnsi="Arial" w:cs="Arial"/>
          <w:color w:val="000000"/>
        </w:rPr>
      </w:pPr>
      <w:r>
        <w:rPr>
          <w:rFonts w:cs="Arial" w:ascii="Arial" w:hAnsi="Arial"/>
          <w:color w:val="000000"/>
        </w:rPr>
        <w:t>равный 3 — “сомнительное”;</w:t>
      </w:r>
    </w:p>
    <w:p>
      <w:pPr>
        <w:pStyle w:val="MainText"/>
        <w:rPr>
          <w:rFonts w:ascii="Arial" w:hAnsi="Arial" w:cs="Arial"/>
          <w:color w:val="000000"/>
        </w:rPr>
      </w:pPr>
      <w:r>
        <w:rPr>
          <w:rFonts w:cs="Arial" w:ascii="Arial" w:hAnsi="Arial"/>
          <w:color w:val="000000"/>
        </w:rPr>
        <w:t>равный 4 — “неудовлетворительное”.</w:t>
      </w:r>
    </w:p>
    <w:p>
      <w:pPr>
        <w:pStyle w:val="MainText"/>
        <w:rPr>
          <w:rFonts w:ascii="Arial" w:hAnsi="Arial" w:cs="Arial"/>
          <w:color w:val="000000"/>
        </w:rPr>
      </w:pPr>
      <w:r>
        <w:rPr>
          <w:rFonts w:cs="Arial" w:ascii="Arial" w:hAnsi="Arial"/>
          <w:color w:val="000000"/>
        </w:rPr>
        <w:t>3.5. Расчет и оценка групп показателей оценки капитала, активов и ликвидности производится на первое число каждого месяца. Расчет и оценка группы показателей оценки доходности производится на первое число каждого квартала.</w:t>
      </w:r>
    </w:p>
    <w:p>
      <w:pPr>
        <w:pStyle w:val="MainText"/>
        <w:rPr>
          <w:rFonts w:ascii="Arial" w:hAnsi="Arial" w:cs="Arial"/>
          <w:color w:val="000000"/>
        </w:rPr>
      </w:pPr>
      <w:r>
        <w:rPr>
          <w:rFonts w:cs="Arial" w:ascii="Arial" w:hAnsi="Arial"/>
          <w:color w:val="000000"/>
        </w:rPr>
        <w:t>3.6. Оценка отдельных показателей групп показателей оценки капитала, активов, доходности и ликвидности, значение знаменателя которых принимает нулевое или отрицательное значение, осуществляется в соответствии с приложением 5 к настоящему Указанию.</w:t>
      </w:r>
    </w:p>
    <w:p>
      <w:pPr>
        <w:pStyle w:val="MainText"/>
        <w:rPr>
          <w:rFonts w:ascii="Arial" w:hAnsi="Arial" w:cs="Arial"/>
          <w:color w:val="000000"/>
        </w:rPr>
      </w:pPr>
      <w:r>
        <w:rPr>
          <w:rFonts w:cs="Arial" w:ascii="Arial" w:hAnsi="Arial"/>
          <w:color w:val="000000"/>
        </w:rPr>
        <w:t>3.7. В случае непредставления банком установленной Указанием Банка России № 1376-У отчетности, данные которой используются для расчета групп показателей оценки капитала, активов, доходности и ликвидности, соответствующему показателю присваиваются 4 балла.</w:t>
      </w:r>
    </w:p>
    <w:p>
      <w:pPr>
        <w:pStyle w:val="MainText"/>
        <w:rPr>
          <w:rFonts w:ascii="Arial" w:hAnsi="Arial" w:cs="Arial"/>
          <w:color w:val="000000"/>
        </w:rPr>
      </w:pPr>
      <w:r>
        <w:rPr>
          <w:rFonts w:cs="Arial" w:ascii="Arial" w:hAnsi="Arial"/>
          <w:color w:val="000000"/>
        </w:rPr>
        <w:t>3.8. В целях обеспечения соответствия оценок групп показателей оценки капитала, активов, доходности и ликвидности и значений обязательных нормативов содержательному представлению территориального учреждения Банка России об экономическом положении банка, в том числе полученному по результатам проверок, проводимых Банком России, результатам анализа представленных банком по запросу территориального учреждения Банка России пояснений к информации, содержащейся в отчетности, иной имеющейся в распоряжении территориального учреждения Банка России информации, последним корректируется расчет показателей групп показателей оценки капитала, активов, доходности и ликвидности и обязательных нормативов.</w:t>
      </w:r>
    </w:p>
    <w:p>
      <w:pPr>
        <w:pStyle w:val="MainText"/>
        <w:rPr>
          <w:rFonts w:ascii="Arial" w:hAnsi="Arial" w:cs="Arial"/>
          <w:color w:val="000000"/>
        </w:rPr>
      </w:pPr>
      <w:r>
        <w:rPr>
          <w:rFonts w:cs="Arial" w:ascii="Arial" w:hAnsi="Arial"/>
          <w:color w:val="000000"/>
        </w:rPr>
        <w:t>3.8.1. Расчет показателей оценки капитала корректируется в том числе:</w:t>
      </w:r>
    </w:p>
    <w:p>
      <w:pPr>
        <w:pStyle w:val="MainText"/>
        <w:rPr>
          <w:rFonts w:ascii="Arial" w:hAnsi="Arial" w:cs="Arial"/>
          <w:color w:val="000000"/>
        </w:rPr>
      </w:pPr>
      <w:r>
        <w:rPr>
          <w:rFonts w:cs="Arial" w:ascii="Arial" w:hAnsi="Arial"/>
          <w:color w:val="000000"/>
        </w:rPr>
        <w:t>на сумму балансовой стоимости ненадлежащих активов, использованных инвесторами при формировании источников собственных средств (капитала) (их части);</w:t>
      </w:r>
    </w:p>
    <w:p>
      <w:pPr>
        <w:pStyle w:val="MainText"/>
        <w:rPr>
          <w:rFonts w:ascii="Arial" w:hAnsi="Arial" w:cs="Arial"/>
          <w:color w:val="000000"/>
        </w:rPr>
      </w:pPr>
      <w:r>
        <w:rPr>
          <w:rFonts w:cs="Arial" w:ascii="Arial" w:hAnsi="Arial"/>
          <w:color w:val="000000"/>
        </w:rPr>
        <w:t>на величину субординированного кредита (займа), не удовлетворяющего условиям включения в состав источников собственных средств (капитала) банка;</w:t>
      </w:r>
    </w:p>
    <w:p>
      <w:pPr>
        <w:pStyle w:val="MainText"/>
        <w:rPr>
          <w:rFonts w:ascii="Arial" w:hAnsi="Arial" w:cs="Arial"/>
          <w:color w:val="000000"/>
        </w:rPr>
      </w:pPr>
      <w:r>
        <w:rPr>
          <w:rFonts w:cs="Arial" w:ascii="Arial" w:hAnsi="Arial"/>
          <w:color w:val="000000"/>
        </w:rPr>
        <w:t>на размер недосозданных резервов на возможные потери;</w:t>
      </w:r>
    </w:p>
    <w:p>
      <w:pPr>
        <w:pStyle w:val="MainText"/>
        <w:rPr>
          <w:rFonts w:ascii="Arial" w:hAnsi="Arial" w:cs="Arial"/>
          <w:color w:val="000000"/>
        </w:rPr>
      </w:pPr>
      <w:r>
        <w:rPr>
          <w:rFonts w:cs="Arial" w:ascii="Arial" w:hAnsi="Arial"/>
          <w:color w:val="000000"/>
        </w:rPr>
        <w:t>на недостоверно отраженную в отчетности величину превышения кредитного риска, принятого по отношению к акционеру (инсайдеру), над установленными Банком России максимально допустимыми значениями.</w:t>
      </w:r>
    </w:p>
    <w:p>
      <w:pPr>
        <w:pStyle w:val="MainText"/>
        <w:rPr>
          <w:rFonts w:ascii="Arial" w:hAnsi="Arial" w:cs="Arial"/>
          <w:color w:val="000000"/>
        </w:rPr>
      </w:pPr>
      <w:r>
        <w:rPr>
          <w:rFonts w:cs="Arial" w:ascii="Arial" w:hAnsi="Arial"/>
          <w:color w:val="000000"/>
        </w:rPr>
        <w:t>3.8.2. Расчет показателей оценки активов корректируется в том числе:</w:t>
      </w:r>
    </w:p>
    <w:p>
      <w:pPr>
        <w:pStyle w:val="MainText"/>
        <w:rPr>
          <w:rFonts w:ascii="Arial" w:hAnsi="Arial" w:cs="Arial"/>
          <w:color w:val="000000"/>
        </w:rPr>
      </w:pPr>
      <w:r>
        <w:rPr>
          <w:rFonts w:cs="Arial" w:ascii="Arial" w:hAnsi="Arial"/>
          <w:color w:val="000000"/>
        </w:rPr>
        <w:t>на размер недосозданных резервов на возможные потери;</w:t>
      </w:r>
    </w:p>
    <w:p>
      <w:pPr>
        <w:pStyle w:val="MainText"/>
        <w:rPr>
          <w:rFonts w:ascii="Arial" w:hAnsi="Arial" w:cs="Arial"/>
          <w:color w:val="000000"/>
        </w:rPr>
      </w:pPr>
      <w:r>
        <w:rPr>
          <w:rFonts w:cs="Arial" w:ascii="Arial" w:hAnsi="Arial"/>
          <w:color w:val="000000"/>
        </w:rPr>
        <w:t>на недостоверно отраженную в отчетности величину крупного кредитного риска, кредитного риска, принятого банком по операциям со своими участниками (акционерами), инсайдерами.</w:t>
      </w:r>
    </w:p>
    <w:p>
      <w:pPr>
        <w:pStyle w:val="MainText"/>
        <w:rPr>
          <w:rFonts w:ascii="Arial" w:hAnsi="Arial" w:cs="Arial"/>
          <w:color w:val="000000"/>
        </w:rPr>
      </w:pPr>
      <w:r>
        <w:rPr>
          <w:rFonts w:cs="Arial" w:ascii="Arial" w:hAnsi="Arial"/>
          <w:color w:val="000000"/>
        </w:rPr>
        <w:t>3.8.3. Расчет показателей оценки доходности корректируется в том числе:</w:t>
      </w:r>
    </w:p>
    <w:p>
      <w:pPr>
        <w:pStyle w:val="MainText"/>
        <w:rPr>
          <w:rFonts w:ascii="Arial" w:hAnsi="Arial" w:cs="Arial"/>
          <w:color w:val="000000"/>
        </w:rPr>
      </w:pPr>
      <w:r>
        <w:rPr>
          <w:rFonts w:cs="Arial" w:ascii="Arial" w:hAnsi="Arial"/>
          <w:color w:val="000000"/>
        </w:rPr>
        <w:t>на величину расходов по досозданию резервов на возможные потери;</w:t>
      </w:r>
    </w:p>
    <w:p>
      <w:pPr>
        <w:pStyle w:val="MainText"/>
        <w:rPr>
          <w:rFonts w:ascii="Arial" w:hAnsi="Arial" w:cs="Arial"/>
          <w:color w:val="000000"/>
        </w:rPr>
      </w:pPr>
      <w:r>
        <w:rPr>
          <w:rFonts w:cs="Arial" w:ascii="Arial" w:hAnsi="Arial"/>
          <w:color w:val="000000"/>
        </w:rPr>
        <w:t>на недостоверно отраженную в отчетности величину доходов и расходов.</w:t>
      </w:r>
    </w:p>
    <w:p>
      <w:pPr>
        <w:pStyle w:val="MainText"/>
        <w:rPr>
          <w:rFonts w:ascii="Arial" w:hAnsi="Arial" w:cs="Arial"/>
          <w:color w:val="000000"/>
        </w:rPr>
      </w:pPr>
      <w:r>
        <w:rPr>
          <w:rFonts w:cs="Arial" w:ascii="Arial" w:hAnsi="Arial"/>
          <w:color w:val="000000"/>
        </w:rPr>
        <w:t>3.8.4. Расчет показателей оценки ликвидности корректируется в том числе:</w:t>
      </w:r>
    </w:p>
    <w:p>
      <w:pPr>
        <w:pStyle w:val="MainText"/>
        <w:rPr>
          <w:rFonts w:ascii="Arial" w:hAnsi="Arial" w:cs="Arial"/>
          <w:color w:val="000000"/>
        </w:rPr>
      </w:pPr>
      <w:r>
        <w:rPr>
          <w:rFonts w:cs="Arial" w:ascii="Arial" w:hAnsi="Arial"/>
          <w:color w:val="000000"/>
        </w:rPr>
        <w:t>на величину активов, неправомерно отнесенных банком к категории высоколиквидных и(или) ликвидных;</w:t>
      </w:r>
    </w:p>
    <w:p>
      <w:pPr>
        <w:pStyle w:val="MainText"/>
        <w:rPr>
          <w:rFonts w:ascii="Arial" w:hAnsi="Arial" w:cs="Arial"/>
          <w:color w:val="000000"/>
        </w:rPr>
      </w:pPr>
      <w:r>
        <w:rPr>
          <w:rFonts w:cs="Arial" w:ascii="Arial" w:hAnsi="Arial"/>
          <w:color w:val="000000"/>
        </w:rPr>
        <w:t>на величину занижения банком размера обязательств, в том числе не исполненных в срок обязательств, включая обязательства по операциям денежно-кредитной политики Банка России.</w:t>
      </w:r>
    </w:p>
    <w:p>
      <w:pPr>
        <w:pStyle w:val="MainText"/>
        <w:rPr>
          <w:rFonts w:ascii="Arial" w:hAnsi="Arial" w:cs="Arial"/>
          <w:color w:val="000000"/>
        </w:rPr>
      </w:pPr>
      <w:r>
        <w:rPr>
          <w:rFonts w:cs="Arial" w:ascii="Arial" w:hAnsi="Arial"/>
          <w:color w:val="000000"/>
        </w:rPr>
        <w:t>3.8.5. Расчет показателей групп показателей оценки капитала, активов, доходности и ликвидности корректируется территориальным учреждением Банка России и в части учета событий, оказывающих влияние на их оценку, которые произошли в период между датой, на которую осуществляется оценка экономического положения банка, и датой вынесения территориальным учреждением Банка России суждения об оценке экономического положения банка.</w:t>
      </w:r>
    </w:p>
    <w:p>
      <w:pPr>
        <w:pStyle w:val="MainText"/>
        <w:rPr>
          <w:rFonts w:ascii="Arial" w:hAnsi="Arial" w:cs="Arial"/>
          <w:color w:val="000000"/>
        </w:rPr>
      </w:pPr>
      <w:r>
        <w:rPr>
          <w:rFonts w:cs="Arial" w:ascii="Arial" w:hAnsi="Arial"/>
          <w:color w:val="000000"/>
        </w:rPr>
        <w:t>К таким событиям могут быть в том числе отнесены:</w:t>
      </w:r>
    </w:p>
    <w:p>
      <w:pPr>
        <w:pStyle w:val="MainText"/>
        <w:rPr>
          <w:rFonts w:ascii="Arial" w:hAnsi="Arial" w:cs="Arial"/>
          <w:color w:val="000000"/>
        </w:rPr>
      </w:pPr>
      <w:r>
        <w:rPr>
          <w:rFonts w:cs="Arial" w:ascii="Arial" w:hAnsi="Arial"/>
          <w:color w:val="000000"/>
        </w:rPr>
        <w:t>наличие информации о судебном иске к банку и ходе судебного разбирательства, основание для предъявления которого возникло до отчетной даты;</w:t>
      </w:r>
    </w:p>
    <w:p>
      <w:pPr>
        <w:pStyle w:val="MainText"/>
        <w:rPr>
          <w:rFonts w:ascii="Arial" w:hAnsi="Arial" w:cs="Arial"/>
          <w:color w:val="000000"/>
        </w:rPr>
      </w:pPr>
      <w:r>
        <w:rPr>
          <w:rFonts w:cs="Arial" w:ascii="Arial" w:hAnsi="Arial"/>
          <w:color w:val="000000"/>
        </w:rPr>
        <w:t>принятие Банком России (территориальным учреждением Банка России) решения о государственной регистрации изменения величины уставного капитала банка;</w:t>
      </w:r>
    </w:p>
    <w:p>
      <w:pPr>
        <w:pStyle w:val="MainText"/>
        <w:rPr>
          <w:rFonts w:ascii="Arial" w:hAnsi="Arial" w:cs="Arial"/>
          <w:color w:val="000000"/>
        </w:rPr>
      </w:pPr>
      <w:r>
        <w:rPr>
          <w:rFonts w:cs="Arial" w:ascii="Arial" w:hAnsi="Arial"/>
          <w:color w:val="000000"/>
        </w:rPr>
        <w:t>получение достоверной информации, способной повлиять на оценку качества активов банка, например, о финансовом состоянии крупного заемщика;</w:t>
      </w:r>
    </w:p>
    <w:p>
      <w:pPr>
        <w:pStyle w:val="MainText"/>
        <w:rPr>
          <w:rFonts w:ascii="Arial" w:hAnsi="Arial" w:cs="Arial"/>
          <w:color w:val="000000"/>
        </w:rPr>
      </w:pPr>
      <w:r>
        <w:rPr>
          <w:rFonts w:cs="Arial" w:ascii="Arial" w:hAnsi="Arial"/>
          <w:color w:val="000000"/>
        </w:rPr>
        <w:t>получение достоверной информации о том, что погашение (списание) кредитов, ценных бумаг и других требований (обязательств) банка, в том числе по выданным гарантиям, осуществляется с использованием прямо или косвенно средств банка или принятием банком на себя дополнительных рисков;</w:t>
      </w:r>
    </w:p>
    <w:p>
      <w:pPr>
        <w:pStyle w:val="MainText"/>
        <w:rPr>
          <w:rFonts w:ascii="Arial" w:hAnsi="Arial" w:cs="Arial"/>
          <w:color w:val="000000"/>
        </w:rPr>
      </w:pPr>
      <w:r>
        <w:rPr>
          <w:rFonts w:cs="Arial" w:ascii="Arial" w:hAnsi="Arial"/>
          <w:color w:val="000000"/>
        </w:rPr>
        <w:t>иные обстоятельства, способные повлиять на оценку качества активов банка.</w:t>
      </w:r>
    </w:p>
    <w:p>
      <w:pPr>
        <w:pStyle w:val="MainText"/>
        <w:rPr>
          <w:rFonts w:ascii="Arial" w:hAnsi="Arial" w:cs="Arial"/>
          <w:color w:val="000000"/>
        </w:rPr>
      </w:pPr>
      <w:r>
        <w:rPr>
          <w:rFonts w:cs="Arial" w:ascii="Arial" w:hAnsi="Arial"/>
          <w:color w:val="000000"/>
        </w:rPr>
        <w:t>3.9. Для показателей групп показателей оценки капитала и доходности рассчитываются прогнозные значения на 12 месяцев вперед на основе данных за 2 предыдущих года.</w:t>
      </w:r>
    </w:p>
    <w:p>
      <w:pPr>
        <w:pStyle w:val="MainText"/>
        <w:rPr>
          <w:rFonts w:ascii="Arial" w:hAnsi="Arial" w:cs="Arial"/>
          <w:color w:val="000000"/>
        </w:rPr>
      </w:pPr>
      <w:r>
        <w:rPr>
          <w:rFonts w:cs="Arial" w:ascii="Arial" w:hAnsi="Arial"/>
          <w:color w:val="000000"/>
        </w:rPr>
        <w:t>При создании или реорганизации банков (за исключением преобразования) расчет прогнозных значений осуществляется не ранее чем по истечении 12 месяцев после представления в Банк России первой отчетности.</w:t>
      </w:r>
    </w:p>
    <w:p>
      <w:pPr>
        <w:pStyle w:val="MainText"/>
        <w:rPr>
          <w:rFonts w:ascii="Arial" w:hAnsi="Arial" w:cs="Arial"/>
          <w:color w:val="000000"/>
        </w:rPr>
      </w:pPr>
      <w:r>
        <w:rPr>
          <w:rFonts w:cs="Arial" w:ascii="Arial" w:hAnsi="Arial"/>
          <w:color w:val="000000"/>
        </w:rPr>
        <w:t>3.9.1. Расчет прогнозных значений показателей оценки капитала и доходности осуществляется на основе прогнозных значений их составляющих, которые рассчитываются по следующей формуле:</w:t>
      </w:r>
    </w:p>
    <w:p>
      <w:pPr>
        <w:pStyle w:val="MainText-BezOtstupa1"/>
        <w:jc w:val="center"/>
        <w:rPr>
          <w:rFonts w:ascii="Arial" w:hAnsi="Arial" w:cs="Arial"/>
        </w:rPr>
      </w:pPr>
      <w:r>
        <w:rPr>
          <w:rFonts w:cs="Arial" w:ascii="Arial" w:hAnsi="Arial"/>
        </w:rPr>
        <w:t>С</w:t>
      </w:r>
      <w:r>
        <w:rPr>
          <w:rFonts w:cs="Arial" w:ascii="Arial" w:hAnsi="Arial"/>
          <w:vertAlign w:val="subscript"/>
        </w:rPr>
        <w:t>t+12</w:t>
      </w:r>
      <w:r>
        <w:rPr>
          <w:rFonts w:cs="Arial" w:ascii="Arial" w:hAnsi="Arial"/>
        </w:rPr>
        <w:t xml:space="preserve"> = С</w:t>
      </w:r>
      <w:r>
        <w:rPr>
          <w:rFonts w:cs="Arial" w:ascii="Arial" w:hAnsi="Arial"/>
          <w:vertAlign w:val="subscript"/>
        </w:rPr>
        <w:t>t</w:t>
      </w:r>
      <w:r>
        <w:rPr>
          <w:rFonts w:cs="Arial" w:ascii="Arial" w:hAnsi="Arial"/>
        </w:rPr>
        <w:t xml:space="preserve"> + </w:t>
      </w:r>
      <w:r>
        <w:rPr>
          <w:rFonts w:cs="Symbol" w:ascii="Symbol" w:hAnsi="Symbol"/>
        </w:rPr>
        <w:sym w:font="Symbol" w:char="f044"/>
      </w:r>
      <w:r>
        <w:rPr>
          <w:rFonts w:cs="Arial" w:ascii="Arial" w:hAnsi="Arial"/>
        </w:rPr>
        <w:t xml:space="preserve"> х n,</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С</w:t>
      </w:r>
      <w:r>
        <w:rPr>
          <w:rFonts w:cs="Arial" w:ascii="Arial" w:hAnsi="Arial"/>
          <w:color w:val="000000"/>
          <w:vertAlign w:val="subscript"/>
        </w:rPr>
        <w:t>t+12</w:t>
      </w:r>
      <w:r>
        <w:rPr>
          <w:rFonts w:cs="Arial" w:ascii="Arial" w:hAnsi="Arial"/>
          <w:color w:val="000000"/>
        </w:rPr>
        <w:t> — прогнозное значение числителя и знаменателя показателей оценки капитала и доходности (показателей, составляющих числители и знаменатели) через 12 месяцев (4 квартала);</w:t>
      </w:r>
    </w:p>
    <w:p>
      <w:pPr>
        <w:pStyle w:val="MainText"/>
        <w:rPr>
          <w:rFonts w:ascii="Arial" w:hAnsi="Arial" w:cs="Arial"/>
          <w:color w:val="000000"/>
        </w:rPr>
      </w:pPr>
      <w:r>
        <w:rPr>
          <w:rFonts w:cs="Arial" w:ascii="Arial" w:hAnsi="Arial"/>
          <w:color w:val="000000"/>
        </w:rPr>
        <w:t>С</w:t>
      </w:r>
      <w:r>
        <w:rPr>
          <w:rFonts w:cs="Arial" w:ascii="Arial" w:hAnsi="Arial"/>
          <w:color w:val="000000"/>
          <w:vertAlign w:val="subscript"/>
        </w:rPr>
        <w:t>t</w:t>
      </w:r>
      <w:r>
        <w:rPr>
          <w:rFonts w:cs="Arial" w:ascii="Arial" w:hAnsi="Arial"/>
          <w:color w:val="000000"/>
        </w:rPr>
        <w:t> — неокругленное значение составляющей показателей оценки капитала и доходности на отчетную дату;</w:t>
      </w:r>
    </w:p>
    <w:p>
      <w:pPr>
        <w:pStyle w:val="MainText"/>
        <w:rPr>
          <w:rFonts w:ascii="Arial" w:hAnsi="Arial" w:cs="Arial"/>
          <w:color w:val="000000"/>
        </w:rPr>
      </w:pPr>
      <w:r>
        <w:rPr>
          <w:rFonts w:cs="Symbol" w:ascii="Symbol" w:hAnsi="Symbol"/>
          <w:color w:val="000000"/>
        </w:rPr>
        <w:sym w:font="Symbol" w:char="f044"/>
      </w:r>
      <w:r>
        <w:rPr>
          <w:rFonts w:cs="Arial" w:ascii="Arial" w:hAnsi="Arial"/>
          <w:color w:val="000000"/>
        </w:rPr>
        <w:t xml:space="preserve"> — </w:t>
      </w:r>
      <w:r>
        <w:rPr>
          <w:rFonts w:cs="Arial" w:ascii="Arial" w:hAnsi="Arial"/>
          <w:color w:val="000000"/>
        </w:rPr>
        <w:t>средний прирост составляющей показателей оценки капитала (за месяц) и доходности (за квартал);</w:t>
      </w:r>
    </w:p>
    <w:p>
      <w:pPr>
        <w:pStyle w:val="MainText"/>
        <w:rPr>
          <w:rFonts w:ascii="Arial" w:hAnsi="Arial" w:cs="Arial"/>
          <w:color w:val="000000"/>
        </w:rPr>
      </w:pPr>
      <w:r>
        <w:rPr>
          <w:rFonts w:cs="Arial" w:ascii="Arial" w:hAnsi="Arial"/>
          <w:color w:val="000000"/>
        </w:rPr>
        <w:t>n — период прогнозирования (для группы показателей оценки капитала — 12 месяцев, для группы показателей оценки доходности — 4 квартала).</w:t>
      </w:r>
    </w:p>
    <w:p>
      <w:pPr>
        <w:pStyle w:val="MainText"/>
        <w:rPr>
          <w:rFonts w:ascii="Arial" w:hAnsi="Arial" w:cs="Arial"/>
          <w:color w:val="000000"/>
        </w:rPr>
      </w:pPr>
      <w:r>
        <w:rPr>
          <w:rFonts w:cs="Arial" w:ascii="Arial" w:hAnsi="Arial"/>
          <w:color w:val="000000"/>
        </w:rPr>
        <w:t>3.9.2. Расчет среднего прироста составляющей показателя оценки капитала и доходности (</w:t>
      </w:r>
      <w:r>
        <w:rPr>
          <w:rFonts w:cs="Symbol" w:ascii="Symbol" w:hAnsi="Symbol"/>
          <w:color w:val="000000"/>
        </w:rPr>
        <w:sym w:font="Symbol" w:char="f044"/>
      </w:r>
      <w:r>
        <w:rPr>
          <w:rFonts w:cs="Arial" w:ascii="Arial" w:hAnsi="Arial"/>
          <w:color w:val="000000"/>
        </w:rPr>
        <w:t>) осуществляется по следующей формуле:</w:t>
      </w:r>
    </w:p>
    <w:p>
      <w:pPr>
        <w:pStyle w:val="MainText-BezOtstupa1"/>
        <w:tabs>
          <w:tab w:val="clear" w:pos="720"/>
          <w:tab w:val="center" w:pos="4933" w:leader="none"/>
        </w:tabs>
        <w:jc w:val="start"/>
        <w:rPr>
          <w:rFonts w:ascii="Arial" w:hAnsi="Arial" w:cs="Arial"/>
          <w:vertAlign w:val="subscript"/>
        </w:rPr>
      </w:pPr>
      <w:r>
        <w:rPr>
          <w:rFonts w:cs="Arial" w:ascii="Arial" w:hAnsi="Arial"/>
          <w:vertAlign w:val="subscript"/>
        </w:rPr>
        <w:tab/>
        <w:t>n</w:t>
      </w:r>
    </w:p>
    <w:p>
      <w:pPr>
        <w:pStyle w:val="MainText-BezOtstupa1"/>
        <w:tabs>
          <w:tab w:val="clear" w:pos="720"/>
          <w:tab w:val="center" w:pos="1956" w:leader="none"/>
        </w:tabs>
        <w:jc w:val="center"/>
        <w:rPr>
          <w:rFonts w:ascii="Arial" w:hAnsi="Arial" w:cs="Arial"/>
        </w:rPr>
      </w:pPr>
      <w:r>
        <w:rPr>
          <w:rFonts w:cs="Symbol" w:ascii="Symbol" w:hAnsi="Symbol"/>
        </w:rPr>
        <w:sym w:font="Symbol" w:char="f044"/>
      </w:r>
      <w:r>
        <w:rPr>
          <w:rFonts w:cs="Arial" w:ascii="Arial" w:hAnsi="Arial"/>
        </w:rPr>
        <w:t xml:space="preserve"> </w:t>
      </w:r>
      <w:r>
        <w:rPr>
          <w:rFonts w:cs="Arial" w:ascii="Arial" w:hAnsi="Arial"/>
        </w:rPr>
        <w:t xml:space="preserve">= </w:t>
      </w:r>
      <w:r>
        <w:rPr>
          <w:rFonts w:cs="Symbol" w:ascii="Symbol" w:hAnsi="Symbol"/>
        </w:rPr>
        <w:sym w:font="Symbol" w:char="f053"/>
      </w:r>
      <w:r>
        <w:rPr>
          <w:rFonts w:cs="Arial" w:ascii="Arial" w:hAnsi="Arial"/>
        </w:rPr>
        <w:t xml:space="preserve"> </w:t>
      </w:r>
      <w:r>
        <w:rPr>
          <w:rFonts w:cs="Symbol" w:ascii="Symbol" w:hAnsi="Symbol"/>
        </w:rPr>
        <w:sym w:font="Symbol" w:char="f06c"/>
      </w:r>
      <w:r>
        <w:rPr>
          <w:rFonts w:cs="Arial" w:ascii="Arial" w:hAnsi="Arial"/>
        </w:rPr>
        <w:t>С</w:t>
      </w:r>
      <w:r>
        <w:rPr>
          <w:rFonts w:cs="Arial" w:ascii="Arial" w:hAnsi="Arial"/>
          <w:vertAlign w:val="subscript"/>
        </w:rPr>
        <w:t>t—i+1</w:t>
      </w:r>
      <w:r>
        <w:rPr>
          <w:rFonts w:cs="Arial" w:ascii="Arial" w:hAnsi="Arial"/>
        </w:rPr>
        <w:t>,</w:t>
      </w:r>
    </w:p>
    <w:p>
      <w:pPr>
        <w:pStyle w:val="MainText-BezOtstupa1"/>
        <w:tabs>
          <w:tab w:val="clear" w:pos="720"/>
          <w:tab w:val="center" w:pos="4962" w:leader="none"/>
        </w:tabs>
        <w:jc w:val="start"/>
        <w:rPr>
          <w:rFonts w:ascii="Arial" w:hAnsi="Arial" w:cs="Arial"/>
          <w:vertAlign w:val="superscript"/>
        </w:rPr>
      </w:pPr>
      <w:r>
        <w:rPr>
          <w:rFonts w:cs="Arial" w:ascii="Arial" w:hAnsi="Arial"/>
          <w:vertAlign w:val="superscript"/>
        </w:rPr>
        <w:tab/>
        <w:t>i=1</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С</w:t>
      </w:r>
      <w:r>
        <w:rPr>
          <w:rFonts w:cs="Arial" w:ascii="Arial" w:hAnsi="Arial"/>
          <w:color w:val="000000"/>
          <w:vertAlign w:val="subscript"/>
        </w:rPr>
        <w:t>t—i+1</w:t>
      </w:r>
      <w:r>
        <w:rPr>
          <w:rFonts w:cs="Arial" w:ascii="Arial" w:hAnsi="Arial"/>
          <w:color w:val="000000"/>
        </w:rPr>
        <w:t> — неокругленные значения составляющих показателей оценки капитала и доходности на предыдущие даты (месячные — для показателей оценки капитала, квартальные — для показателей оценки доходности);</w:t>
      </w:r>
    </w:p>
    <w:p>
      <w:pPr>
        <w:pStyle w:val="MainText"/>
        <w:rPr>
          <w:rFonts w:ascii="Arial" w:hAnsi="Arial" w:cs="Arial"/>
          <w:color w:val="000000"/>
        </w:rPr>
      </w:pPr>
      <w:r>
        <w:rPr>
          <w:rFonts w:cs="Arial" w:ascii="Arial" w:hAnsi="Arial"/>
          <w:color w:val="000000"/>
        </w:rPr>
        <w:t>n — количество точек ретроспективного ряда (для показателей оценки капитала — 25, для показателей оценки доходности — 9);</w:t>
      </w:r>
    </w:p>
    <w:p>
      <w:pPr>
        <w:pStyle w:val="MainText"/>
        <w:rPr>
          <w:rFonts w:ascii="Arial" w:hAnsi="Arial" w:cs="Arial"/>
          <w:color w:val="000000"/>
        </w:rPr>
      </w:pPr>
      <w:r>
        <w:rPr>
          <w:rFonts w:cs="Symbol" w:ascii="Symbol" w:hAnsi="Symbol"/>
          <w:color w:val="000000"/>
        </w:rPr>
        <w:sym w:font="Symbol" w:char="f06c"/>
      </w:r>
      <w:r>
        <w:rPr>
          <w:rFonts w:cs="Arial" w:ascii="Arial" w:hAnsi="Arial"/>
          <w:color w:val="000000"/>
        </w:rPr>
        <w:t xml:space="preserve"> — </w:t>
      </w:r>
      <w:r>
        <w:rPr>
          <w:rFonts w:cs="Arial" w:ascii="Arial" w:hAnsi="Arial"/>
          <w:color w:val="000000"/>
        </w:rPr>
        <w:t>поправочные коэффициенты, рассчитываемые Банком России с использованием метода наименьших квадратов для показателей оценки доходности и модифицированного метода наименьших квадратов для показателей оценки капитала, при котором ближайшим к отчетной дате значениям присваивается наибольший вес, по мере отдаления от текущей даты вес уменьшается. Поправочные коэффициенты публикуются на официальном сайте Банка России в сети Интернет.</w:t>
      </w:r>
    </w:p>
    <w:p>
      <w:pPr>
        <w:pStyle w:val="MainText"/>
        <w:rPr>
          <w:rFonts w:ascii="Arial" w:hAnsi="Arial" w:cs="Arial"/>
          <w:color w:val="000000"/>
        </w:rPr>
      </w:pPr>
      <w:r>
        <w:rPr>
          <w:rFonts w:cs="Arial" w:ascii="Arial" w:hAnsi="Arial"/>
          <w:color w:val="000000"/>
        </w:rPr>
        <w:t>3.9.3. В случае если дробная часть полученного прогнозного значения показателя оценки капитала и доходности имеет значение, меньшее 0,5, то ему присваивается значение, равное его целой части. В противном случае показатель принимается равным его целой части, увеличенной на 1.</w:t>
      </w:r>
    </w:p>
    <w:p>
      <w:pPr>
        <w:pStyle w:val="MainText"/>
        <w:rPr>
          <w:rFonts w:ascii="Arial" w:hAnsi="Arial" w:cs="Arial"/>
          <w:color w:val="000000"/>
        </w:rPr>
      </w:pPr>
      <w:r>
        <w:rPr>
          <w:rFonts w:cs="Arial" w:ascii="Arial" w:hAnsi="Arial"/>
          <w:color w:val="000000"/>
        </w:rPr>
        <w:t>3.9.4. Прогнозные значения показателей групп показателей оценки капитала и доходности оцениваются в соответствии с балльными и весовыми оценками, установленными приложениями 1 и 3 к настоящему Указанию.</w:t>
      </w:r>
    </w:p>
    <w:p>
      <w:pPr>
        <w:pStyle w:val="MainText"/>
        <w:rPr>
          <w:rFonts w:ascii="Arial" w:hAnsi="Arial" w:cs="Arial"/>
          <w:color w:val="000000"/>
        </w:rPr>
      </w:pPr>
      <w:r>
        <w:rPr>
          <w:rFonts w:cs="Arial" w:ascii="Arial" w:hAnsi="Arial"/>
          <w:color w:val="000000"/>
        </w:rPr>
        <w:t>3.9.5. В случае, когда фактическое значение показателя и его прогнозное значение расходятся на 2 и более балла, территориальное учреждение Банка России производит анализ тенденций изменения показателя и изучает факторы, влияющие на формирование прогнозного значения.</w:t>
      </w:r>
    </w:p>
    <w:p>
      <w:pPr>
        <w:pStyle w:val="MainText"/>
        <w:rPr>
          <w:rFonts w:ascii="Arial" w:hAnsi="Arial" w:cs="Arial"/>
          <w:color w:val="000000"/>
        </w:rPr>
      </w:pPr>
      <w:r>
        <w:rPr>
          <w:rFonts w:cs="Arial" w:ascii="Arial" w:hAnsi="Arial"/>
          <w:color w:val="000000"/>
        </w:rPr>
        <w:t>Если по суждению территориального учреждения Банка России прогнозное значение показателя отражает сложившуюся тенденцию его развития и обусловлено изменениями качества активов банка и объема принимаемых им рисков (и при этом на прогнозное значение показателя не оказывают влияния колебания отдельных показателей деятельности банка вследствие, например, развития (расширения) бизнеса), то территориальное учреждение Банка России принимает решение об использовании результатов прогнозирования при присвоении балльной оценки показателю (показателям) групп показателей оценки капитала и(или) доходности путем ухудшения или улучшения их фактического значения на 1 балл. При принятии территориальным учреждением Банка России такого решения производится расчет обобщающего результата по группе соответствующих показателей на основе их балльной оценки с применением результатов прогнозирования.</w:t>
      </w:r>
    </w:p>
    <w:p>
      <w:pPr>
        <w:pStyle w:val="MainText"/>
        <w:rPr>
          <w:rFonts w:ascii="Arial" w:hAnsi="Arial" w:cs="Arial"/>
          <w:color w:val="000000"/>
        </w:rPr>
      </w:pPr>
      <w:r>
        <w:rPr>
          <w:rFonts w:cs="Arial" w:ascii="Arial" w:hAnsi="Arial"/>
          <w:color w:val="000000"/>
        </w:rPr>
        <w:t>3.9.6. В случае, когда оценки обобщающих результатов по группам показателей оценки капитала и(или) доходности, определенные после использования результатов прогнозирования, расходятся с оценкой обобщающих результатов, рассчитанных без учета результатов прогнозирования (далее — фактическая оценка обобщающих результатов), территориальное учреждение Банка России может принять следующие решения:</w:t>
      </w:r>
    </w:p>
    <w:p>
      <w:pPr>
        <w:pStyle w:val="MainText"/>
        <w:rPr>
          <w:rFonts w:ascii="Arial" w:hAnsi="Arial" w:cs="Arial"/>
          <w:color w:val="000000"/>
        </w:rPr>
      </w:pPr>
      <w:r>
        <w:rPr>
          <w:rFonts w:cs="Arial" w:ascii="Arial" w:hAnsi="Arial"/>
          <w:color w:val="000000"/>
        </w:rPr>
        <w:t>решение об ухудшении фактической оценки может приниматься территориальным учреждением Банка России, если фактическим значениям обобщающих результатов по группам показателей оценки капитала и доходности банка присвоена оценка “хорошо” (1 балл) или “удовлетворительно” (2 балла). При этом обобщающему результату по группам показателей оценки капитала и(или) доходности после использования результатов прогнозирования территориальным учреждением Банка России присваивается оценка “сомнительно” (3 балла), если фактическому значению обобщающего результата присваивалась оценка “удовлетворительно” (2 балла); либо удовлетворительно (2 балла), если фактическому значению обобщающего результата до использования результатов прогнозирования присваивалась оценка “хорошо” (1 балл);</w:t>
      </w:r>
    </w:p>
    <w:p>
      <w:pPr>
        <w:pStyle w:val="MainText"/>
        <w:rPr>
          <w:rFonts w:ascii="Arial" w:hAnsi="Arial" w:cs="Arial"/>
          <w:color w:val="000000"/>
        </w:rPr>
      </w:pPr>
      <w:r>
        <w:rPr>
          <w:rFonts w:cs="Arial" w:ascii="Arial" w:hAnsi="Arial"/>
          <w:color w:val="000000"/>
        </w:rPr>
        <w:t>решение об улучшении фактической оценки может приниматься территориальным учреждением Банка России, если фактическим значениям обобщающих результатов по группам показателей оценки капитала и доходности банка присвоена оценка “сомнительно” (3 балла) или “неудовлетворительно” (4 балла). При этом обобщающему результату по группам показателей оценки капитала и(или) доходности после использования результатов прогнозирования территориальным учреждением Банка России присваивается оценка “удовлетворительно” (2 балла), если фактическому значению обобщающего результата присваивалась оценка “сомнительно” (3 балла); либо “сомнительно” (3 балла), если фактическому значению обобщающего результата до использования результатов прогнозирования присваивалась оценка “неудовлетворительно” (4 балла).</w:t>
      </w:r>
    </w:p>
    <w:p>
      <w:pPr>
        <w:pStyle w:val="MGlavaBulleted"/>
        <w:keepNext w:val="true"/>
        <w:keepLines/>
        <w:spacing w:before="120" w:after="120"/>
        <w:jc w:val="start"/>
        <w:rPr>
          <w:rFonts w:ascii="Arial" w:hAnsi="Arial" w:cs="Arial"/>
        </w:rPr>
      </w:pPr>
      <w:r>
        <w:rPr>
          <w:rFonts w:cs="Arial" w:ascii="Arial" w:hAnsi="Arial"/>
          <w:b w:val="false"/>
        </w:rPr>
        <w:tab/>
        <w:t>Глава 4.</w:t>
        <w:tab/>
      </w:r>
      <w:r>
        <w:rPr>
          <w:rFonts w:cs="Arial" w:ascii="Arial" w:hAnsi="Arial"/>
        </w:rPr>
        <w:t>Оценка качества управления банка</w:t>
      </w:r>
    </w:p>
    <w:p>
      <w:pPr>
        <w:pStyle w:val="MainText"/>
        <w:rPr>
          <w:rFonts w:ascii="Arial" w:hAnsi="Arial" w:cs="Arial"/>
          <w:color w:val="000000"/>
        </w:rPr>
      </w:pPr>
      <w:r>
        <w:rPr>
          <w:rFonts w:cs="Arial" w:ascii="Arial" w:hAnsi="Arial"/>
          <w:color w:val="000000"/>
        </w:rPr>
        <w:t>4.1. Оценка качества управления банка осуществляется по результатам оценок показателей системы управления рисками (ПУ4), состояния внутреннего контроля (ПУ5) и управления стратегическим риском (ПУ6) (далее — показатели качества управления).</w:t>
      </w:r>
    </w:p>
    <w:p>
      <w:pPr>
        <w:pStyle w:val="MainText"/>
        <w:rPr>
          <w:rFonts w:ascii="Arial" w:hAnsi="Arial" w:cs="Arial"/>
          <w:color w:val="000000"/>
        </w:rPr>
      </w:pPr>
      <w:r>
        <w:rPr>
          <w:rFonts w:cs="Arial" w:ascii="Arial" w:hAnsi="Arial"/>
          <w:color w:val="000000"/>
        </w:rPr>
        <w:t>4.2. Показатель системы управления рисками (ПУ4) определяется на основании оценки ответов на вопросы, приведенные в приложении 6 к настоящему Указанию.</w:t>
      </w:r>
    </w:p>
    <w:p>
      <w:pPr>
        <w:pStyle w:val="MainText"/>
        <w:rPr>
          <w:rFonts w:ascii="Arial" w:hAnsi="Arial" w:cs="Arial"/>
          <w:color w:val="000000"/>
        </w:rPr>
      </w:pPr>
      <w:r>
        <w:rPr>
          <w:rFonts w:cs="Arial" w:ascii="Arial" w:hAnsi="Arial"/>
          <w:color w:val="000000"/>
        </w:rPr>
        <w:t>4.2.1. Оценка ответов на вопросы производится путем присвоения им значений по четырехбалльной шкале:</w:t>
      </w:r>
    </w:p>
    <w:p>
      <w:pPr>
        <w:pStyle w:val="MainText"/>
        <w:rPr>
          <w:rFonts w:ascii="Arial" w:hAnsi="Arial" w:cs="Arial"/>
          <w:color w:val="000000"/>
        </w:rPr>
      </w:pPr>
      <w:r>
        <w:rPr>
          <w:rFonts w:cs="Arial" w:ascii="Arial" w:hAnsi="Arial"/>
          <w:color w:val="000000"/>
        </w:rPr>
        <w:t>равное 1 — “да” (“постоянно”, “всегда”, “в полном объеме”);</w:t>
      </w:r>
    </w:p>
    <w:p>
      <w:pPr>
        <w:pStyle w:val="MainText"/>
        <w:rPr>
          <w:rFonts w:ascii="Arial" w:hAnsi="Arial" w:cs="Arial"/>
          <w:color w:val="000000"/>
        </w:rPr>
      </w:pPr>
      <w:r>
        <w:rPr>
          <w:rFonts w:cs="Arial" w:ascii="Arial" w:hAnsi="Arial"/>
          <w:color w:val="000000"/>
        </w:rPr>
        <w:t>равное 2 — “в основном” (“как правило”, “достаточно полно”);</w:t>
      </w:r>
    </w:p>
    <w:p>
      <w:pPr>
        <w:pStyle w:val="MainText"/>
        <w:rPr>
          <w:rFonts w:ascii="Arial" w:hAnsi="Arial" w:cs="Arial"/>
          <w:color w:val="000000"/>
        </w:rPr>
      </w:pPr>
      <w:r>
        <w:rPr>
          <w:rFonts w:cs="Arial" w:ascii="Arial" w:hAnsi="Arial"/>
          <w:color w:val="000000"/>
        </w:rPr>
        <w:t>равное 3 — “частично” (“отчасти да”, “в некоторых случаях”, “недостаточно полно”);</w:t>
      </w:r>
    </w:p>
    <w:p>
      <w:pPr>
        <w:pStyle w:val="MainText"/>
        <w:rPr>
          <w:rFonts w:ascii="Arial" w:hAnsi="Arial" w:cs="Arial"/>
          <w:color w:val="000000"/>
        </w:rPr>
      </w:pPr>
      <w:r>
        <w:rPr>
          <w:rFonts w:cs="Arial" w:ascii="Arial" w:hAnsi="Arial"/>
          <w:color w:val="000000"/>
        </w:rPr>
        <w:t>равное 4 — “нет” (“никогда”, “ни в каких случаях”).</w:t>
      </w:r>
    </w:p>
    <w:p>
      <w:pPr>
        <w:pStyle w:val="MainText"/>
        <w:rPr>
          <w:rFonts w:ascii="Arial" w:hAnsi="Arial" w:cs="Arial"/>
          <w:color w:val="000000"/>
        </w:rPr>
      </w:pPr>
      <w:r>
        <w:rPr>
          <w:rFonts w:cs="Arial" w:ascii="Arial" w:hAnsi="Arial"/>
          <w:color w:val="000000"/>
        </w:rPr>
        <w:t>4.2.2. Показатель системы управления рисками представляет собой среднее взвешенное значение оценок ответов на вопросы, приведенные в приложении 6 к настоящему Указанию, и рассчитывается по следующей формуле:</w:t>
      </w:r>
    </w:p>
    <w:p>
      <w:pPr>
        <w:pStyle w:val="MainText-BezOtstupa1"/>
        <w:keepNext w:val="true"/>
        <w:keepLines/>
        <w:tabs>
          <w:tab w:val="clear" w:pos="720"/>
          <w:tab w:val="center" w:pos="4479" w:leader="none"/>
          <w:tab w:val="center" w:pos="5897" w:leader="none"/>
        </w:tabs>
        <w:jc w:val="start"/>
        <w:rPr>
          <w:rFonts w:ascii="Arial" w:hAnsi="Arial" w:cs="Arial"/>
          <w:vertAlign w:val="subscript"/>
        </w:rPr>
      </w:pPr>
      <w:r>
        <w:rPr>
          <w:rFonts w:cs="Arial" w:ascii="Arial" w:hAnsi="Arial"/>
          <w:vertAlign w:val="subscript"/>
        </w:rPr>
        <w:tab/>
        <w:t>9</w:t>
        <w:tab/>
        <w:t>9</w:t>
      </w:r>
    </w:p>
    <w:p>
      <w:pPr>
        <w:pStyle w:val="MainText-BezOtstupa1"/>
        <w:keepNext w:val="true"/>
        <w:keepLines/>
        <w:tabs>
          <w:tab w:val="clear" w:pos="720"/>
          <w:tab w:val="center" w:pos="4479" w:leader="none"/>
          <w:tab w:val="center" w:pos="5897" w:leader="none"/>
        </w:tabs>
        <w:jc w:val="center"/>
        <w:rPr>
          <w:rFonts w:ascii="Arial" w:hAnsi="Arial" w:cs="Arial"/>
        </w:rPr>
      </w:pPr>
      <w:r>
        <w:rPr>
          <w:rFonts w:cs="Arial" w:ascii="Arial" w:hAnsi="Arial"/>
        </w:rPr>
        <w:t xml:space="preserve">ПУ4 = </w:t>
      </w:r>
      <w:r>
        <w:rPr>
          <w:rFonts w:cs="Symbol" w:ascii="Symbol" w:hAnsi="Symbol"/>
        </w:rPr>
        <w:sym w:font="Symbol" w:char="f053"/>
      </w:r>
      <w:r>
        <w:rPr>
          <w:rFonts w:cs="Arial" w:ascii="Arial" w:hAnsi="Arial"/>
        </w:rPr>
        <w:t xml:space="preserve"> (балл</w:t>
      </w:r>
      <w:r>
        <w:rPr>
          <w:rFonts w:cs="Arial" w:ascii="Arial" w:hAnsi="Arial"/>
          <w:vertAlign w:val="subscript"/>
        </w:rPr>
        <w:t>i</w:t>
      </w:r>
      <w:r>
        <w:rPr>
          <w:rFonts w:cs="Arial" w:ascii="Arial" w:hAnsi="Arial"/>
        </w:rPr>
        <w:t xml:space="preserve"> х вес</w:t>
      </w:r>
      <w:r>
        <w:rPr>
          <w:rFonts w:cs="Arial" w:ascii="Arial" w:hAnsi="Arial"/>
          <w:vertAlign w:val="subscript"/>
        </w:rPr>
        <w:t>i</w:t>
      </w:r>
      <w:r>
        <w:rPr>
          <w:rFonts w:cs="Arial" w:ascii="Arial" w:hAnsi="Arial"/>
        </w:rPr>
        <w:t xml:space="preserve">) : </w:t>
      </w:r>
      <w:r>
        <w:rPr>
          <w:rFonts w:cs="Symbol" w:ascii="Symbol" w:hAnsi="Symbol"/>
        </w:rPr>
        <w:sym w:font="Symbol" w:char="f053"/>
      </w:r>
      <w:r>
        <w:rPr>
          <w:rFonts w:cs="Arial" w:ascii="Arial" w:hAnsi="Arial"/>
        </w:rPr>
        <w:t xml:space="preserve"> вес</w:t>
      </w:r>
      <w:r>
        <w:rPr>
          <w:rFonts w:cs="Arial" w:ascii="Arial" w:hAnsi="Arial"/>
          <w:vertAlign w:val="subscript"/>
        </w:rPr>
        <w:t>i</w:t>
      </w:r>
      <w:r>
        <w:rPr>
          <w:rFonts w:cs="Arial" w:ascii="Arial" w:hAnsi="Arial"/>
        </w:rPr>
        <w:t>,</w:t>
      </w:r>
    </w:p>
    <w:p>
      <w:pPr>
        <w:pStyle w:val="MainText-BezOtstupa1"/>
        <w:tabs>
          <w:tab w:val="clear" w:pos="720"/>
          <w:tab w:val="center" w:pos="4479" w:leader="none"/>
          <w:tab w:val="center" w:pos="5897" w:leader="none"/>
        </w:tabs>
        <w:jc w:val="start"/>
        <w:rPr>
          <w:rFonts w:ascii="Arial" w:hAnsi="Arial" w:cs="Arial"/>
          <w:vertAlign w:val="superscript"/>
        </w:rPr>
      </w:pPr>
      <w:r>
        <w:rPr>
          <w:rFonts w:cs="Arial" w:ascii="Arial" w:hAnsi="Arial"/>
          <w:vertAlign w:val="superscript"/>
        </w:rPr>
        <w:tab/>
        <w:t>i=1</w:t>
        <w:tab/>
        <w:t>i=1</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балл</w:t>
      </w:r>
      <w:r>
        <w:rPr>
          <w:rFonts w:cs="Arial" w:ascii="Arial" w:hAnsi="Arial"/>
          <w:color w:val="000000"/>
          <w:vertAlign w:val="subscript"/>
        </w:rPr>
        <w:t>i</w:t>
      </w:r>
      <w:r>
        <w:rPr>
          <w:rFonts w:cs="Arial" w:ascii="Arial" w:hAnsi="Arial"/>
          <w:color w:val="000000"/>
        </w:rPr>
        <w:t> — оценка от 1 до 4 ответа на соответствующий вопрос, приведенный в приложении 6 к настоящему Указанию (балльная оценка);</w:t>
      </w:r>
    </w:p>
    <w:p>
      <w:pPr>
        <w:pStyle w:val="MainText"/>
        <w:rPr>
          <w:rFonts w:ascii="Arial" w:hAnsi="Arial" w:cs="Arial"/>
          <w:color w:val="000000"/>
        </w:rPr>
      </w:pPr>
      <w:r>
        <w:rPr>
          <w:rFonts w:cs="Arial" w:ascii="Arial" w:hAnsi="Arial"/>
          <w:color w:val="000000"/>
        </w:rPr>
        <w:t>вес</w:t>
      </w:r>
      <w:r>
        <w:rPr>
          <w:rFonts w:cs="Arial" w:ascii="Arial" w:hAnsi="Arial"/>
          <w:color w:val="000000"/>
          <w:vertAlign w:val="subscript"/>
        </w:rPr>
        <w:t>i</w:t>
      </w:r>
      <w:r>
        <w:rPr>
          <w:rFonts w:cs="Arial" w:ascii="Arial" w:hAnsi="Arial"/>
          <w:color w:val="000000"/>
        </w:rPr>
        <w:t> — оценка по шкале относительной значимости от 1 до 3 ответа на соответствующий вопрос, приведенный в приложении 6 к настоящему Указанию (весовая оценка).</w:t>
      </w:r>
    </w:p>
    <w:p>
      <w:pPr>
        <w:pStyle w:val="MainText"/>
        <w:rPr>
          <w:rFonts w:ascii="Arial" w:hAnsi="Arial" w:cs="Arial"/>
          <w:color w:val="000000"/>
        </w:rPr>
      </w:pPr>
      <w:r>
        <w:rPr>
          <w:rFonts w:cs="Arial" w:ascii="Arial" w:hAnsi="Arial"/>
          <w:color w:val="000000"/>
        </w:rPr>
        <w:t>Весовая оценка ответов на вопросы для определения показателя состояния системы управления рисками приведена в приложении 6 к настоящему Указанию.</w:t>
      </w:r>
    </w:p>
    <w:p>
      <w:pPr>
        <w:pStyle w:val="MainText"/>
        <w:rPr>
          <w:rFonts w:ascii="Arial" w:hAnsi="Arial" w:cs="Arial"/>
          <w:color w:val="000000"/>
        </w:rPr>
      </w:pPr>
      <w:r>
        <w:rPr>
          <w:rFonts w:cs="Arial" w:ascii="Arial" w:hAnsi="Arial"/>
          <w:color w:val="000000"/>
        </w:rPr>
        <w:t>4.2.3. Показатель системы управления рисками является целым числом. В случае если дробная часть показателя имеет значение, меньшее 0,35, то ему присваивается значение, равное его целой части. В противном случае показатель принимается равным его целой части, увеличенной на 1.</w:t>
      </w:r>
    </w:p>
    <w:p>
      <w:pPr>
        <w:pStyle w:val="MainText"/>
        <w:rPr>
          <w:rFonts w:ascii="Arial" w:hAnsi="Arial" w:cs="Arial"/>
          <w:color w:val="000000"/>
        </w:rPr>
      </w:pPr>
      <w:r>
        <w:rPr>
          <w:rFonts w:cs="Arial" w:ascii="Arial" w:hAnsi="Arial"/>
          <w:color w:val="000000"/>
        </w:rPr>
        <w:t>4.2.4. Полученный результат характеризует состояние системы управления рисками следующим образом:</w:t>
      </w:r>
    </w:p>
    <w:p>
      <w:pPr>
        <w:pStyle w:val="MainText"/>
        <w:rPr>
          <w:rFonts w:ascii="Arial" w:hAnsi="Arial" w:cs="Arial"/>
          <w:color w:val="000000"/>
        </w:rPr>
      </w:pPr>
      <w:r>
        <w:rPr>
          <w:rFonts w:cs="Arial" w:ascii="Arial" w:hAnsi="Arial"/>
          <w:color w:val="000000"/>
        </w:rPr>
        <w:t>равный 1 — “хорошее”;</w:t>
      </w:r>
    </w:p>
    <w:p>
      <w:pPr>
        <w:pStyle w:val="MainText"/>
        <w:rPr>
          <w:rFonts w:ascii="Arial" w:hAnsi="Arial" w:cs="Arial"/>
          <w:color w:val="000000"/>
        </w:rPr>
      </w:pPr>
      <w:r>
        <w:rPr>
          <w:rFonts w:cs="Arial" w:ascii="Arial" w:hAnsi="Arial"/>
          <w:color w:val="000000"/>
        </w:rPr>
        <w:t>равный 2 — “удовлетворительное”;</w:t>
      </w:r>
    </w:p>
    <w:p>
      <w:pPr>
        <w:pStyle w:val="MainText"/>
        <w:rPr>
          <w:rFonts w:ascii="Arial" w:hAnsi="Arial" w:cs="Arial"/>
          <w:color w:val="000000"/>
        </w:rPr>
      </w:pPr>
      <w:r>
        <w:rPr>
          <w:rFonts w:cs="Arial" w:ascii="Arial" w:hAnsi="Arial"/>
          <w:color w:val="000000"/>
        </w:rPr>
        <w:t>равный 3 — “сомнительное”;</w:t>
      </w:r>
    </w:p>
    <w:p>
      <w:pPr>
        <w:pStyle w:val="MainText"/>
        <w:rPr>
          <w:rFonts w:ascii="Arial" w:hAnsi="Arial" w:cs="Arial"/>
          <w:color w:val="000000"/>
        </w:rPr>
      </w:pPr>
      <w:r>
        <w:rPr>
          <w:rFonts w:cs="Arial" w:ascii="Arial" w:hAnsi="Arial"/>
          <w:color w:val="000000"/>
        </w:rPr>
        <w:t>равный 4 — “неудовлетворительное”.</w:t>
      </w:r>
    </w:p>
    <w:p>
      <w:pPr>
        <w:pStyle w:val="MainText"/>
        <w:rPr>
          <w:rFonts w:ascii="Arial" w:hAnsi="Arial" w:cs="Arial"/>
          <w:color w:val="000000"/>
        </w:rPr>
      </w:pPr>
      <w:r>
        <w:rPr>
          <w:rFonts w:cs="Arial" w:ascii="Arial" w:hAnsi="Arial"/>
          <w:color w:val="000000"/>
        </w:rPr>
        <w:t>4.3. Показатель состояния внутреннего контроля (ПУ5) определяется на основании оценки ответов на вопросы, приведенные в приложении 7 к настоящему Указанию.</w:t>
      </w:r>
    </w:p>
    <w:p>
      <w:pPr>
        <w:pStyle w:val="MainText"/>
        <w:rPr>
          <w:rFonts w:ascii="Arial" w:hAnsi="Arial" w:cs="Arial"/>
          <w:color w:val="000000"/>
        </w:rPr>
      </w:pPr>
      <w:r>
        <w:rPr>
          <w:rFonts w:cs="Arial" w:ascii="Arial" w:hAnsi="Arial"/>
          <w:color w:val="000000"/>
        </w:rPr>
        <w:t>4.3.1. Оценка ответов на вопросы производится путем присвоения им значений по четырехбалльной шкале:</w:t>
      </w:r>
    </w:p>
    <w:p>
      <w:pPr>
        <w:pStyle w:val="MainText"/>
        <w:rPr>
          <w:rFonts w:ascii="Arial" w:hAnsi="Arial" w:cs="Arial"/>
          <w:color w:val="000000"/>
        </w:rPr>
      </w:pPr>
      <w:r>
        <w:rPr>
          <w:rFonts w:cs="Arial" w:ascii="Arial" w:hAnsi="Arial"/>
          <w:color w:val="000000"/>
        </w:rPr>
        <w:t>равное 1 — “да” (“постоянно”, “всегда”, “в полном объеме”);</w:t>
      </w:r>
    </w:p>
    <w:p>
      <w:pPr>
        <w:pStyle w:val="MainText"/>
        <w:rPr>
          <w:rFonts w:ascii="Arial" w:hAnsi="Arial" w:cs="Arial"/>
          <w:color w:val="000000"/>
        </w:rPr>
      </w:pPr>
      <w:r>
        <w:rPr>
          <w:rFonts w:cs="Arial" w:ascii="Arial" w:hAnsi="Arial"/>
          <w:color w:val="000000"/>
        </w:rPr>
        <w:t>равное 2 — “в основном” (“почти постоянно”, “почти всегда”, “почти в полном объеме”);</w:t>
      </w:r>
    </w:p>
    <w:p>
      <w:pPr>
        <w:pStyle w:val="MainText"/>
        <w:rPr>
          <w:rFonts w:ascii="Arial" w:hAnsi="Arial" w:cs="Arial"/>
          <w:color w:val="000000"/>
        </w:rPr>
      </w:pPr>
      <w:r>
        <w:rPr>
          <w:rFonts w:cs="Arial" w:ascii="Arial" w:hAnsi="Arial"/>
          <w:color w:val="000000"/>
        </w:rPr>
        <w:t>равное 3 — “частично” (“отчасти да”, “не всегда”, “в некоторых случаях”);</w:t>
      </w:r>
    </w:p>
    <w:p>
      <w:pPr>
        <w:pStyle w:val="MainText"/>
        <w:rPr>
          <w:rFonts w:ascii="Arial" w:hAnsi="Arial" w:cs="Arial"/>
          <w:color w:val="000000"/>
        </w:rPr>
      </w:pPr>
      <w:r>
        <w:rPr>
          <w:rFonts w:cs="Arial" w:ascii="Arial" w:hAnsi="Arial"/>
          <w:color w:val="000000"/>
        </w:rPr>
        <w:t>равное 4 — “нет” (“никогда”, “ни в каких случаях”).</w:t>
      </w:r>
    </w:p>
    <w:p>
      <w:pPr>
        <w:pStyle w:val="MainText"/>
        <w:rPr>
          <w:rFonts w:ascii="Arial" w:hAnsi="Arial" w:cs="Arial"/>
          <w:color w:val="000000"/>
        </w:rPr>
      </w:pPr>
      <w:r>
        <w:rPr>
          <w:rFonts w:cs="Arial" w:ascii="Arial" w:hAnsi="Arial"/>
          <w:color w:val="000000"/>
        </w:rPr>
        <w:t>4.3.2. Показатель состояния внутреннего контроля представляет собой среднее взвешенное значение оценок ответов на вопросы, приведенные в приложении 7 к настоящему Указанию, и рассчитывается по следующей формуле:</w:t>
      </w:r>
    </w:p>
    <w:p>
      <w:pPr>
        <w:pStyle w:val="MainText-BezOtstupa1"/>
        <w:keepNext w:val="true"/>
        <w:keepLines/>
        <w:tabs>
          <w:tab w:val="clear" w:pos="720"/>
          <w:tab w:val="center" w:pos="4479" w:leader="none"/>
          <w:tab w:val="center" w:pos="5897" w:leader="none"/>
        </w:tabs>
        <w:jc w:val="start"/>
        <w:rPr>
          <w:rFonts w:ascii="Arial" w:hAnsi="Arial" w:cs="Arial"/>
          <w:vertAlign w:val="subscript"/>
        </w:rPr>
      </w:pPr>
      <w:r>
        <w:rPr>
          <w:rFonts w:cs="Arial" w:ascii="Arial" w:hAnsi="Arial"/>
          <w:vertAlign w:val="subscript"/>
        </w:rPr>
        <w:tab/>
        <w:t>14</w:t>
        <w:tab/>
        <w:t>14</w:t>
      </w:r>
    </w:p>
    <w:p>
      <w:pPr>
        <w:pStyle w:val="MainText-BezOtstupa1"/>
        <w:keepNext w:val="true"/>
        <w:keepLines/>
        <w:tabs>
          <w:tab w:val="clear" w:pos="720"/>
          <w:tab w:val="center" w:pos="4479" w:leader="none"/>
          <w:tab w:val="center" w:pos="5897" w:leader="none"/>
        </w:tabs>
        <w:jc w:val="center"/>
        <w:rPr>
          <w:rFonts w:ascii="Arial" w:hAnsi="Arial" w:cs="Arial"/>
        </w:rPr>
      </w:pPr>
      <w:r>
        <w:rPr>
          <w:rFonts w:cs="Arial" w:ascii="Arial" w:hAnsi="Arial"/>
        </w:rPr>
        <w:t xml:space="preserve">ПУ5 = </w:t>
      </w:r>
      <w:r>
        <w:rPr>
          <w:rFonts w:cs="Symbol" w:ascii="Symbol" w:hAnsi="Symbol"/>
        </w:rPr>
        <w:sym w:font="Symbol" w:char="f053"/>
      </w:r>
      <w:r>
        <w:rPr>
          <w:rFonts w:cs="Arial" w:ascii="Arial" w:hAnsi="Arial"/>
        </w:rPr>
        <w:t xml:space="preserve"> (балл</w:t>
      </w:r>
      <w:r>
        <w:rPr>
          <w:rFonts w:cs="Arial" w:ascii="Arial" w:hAnsi="Arial"/>
          <w:vertAlign w:val="subscript"/>
        </w:rPr>
        <w:t>i</w:t>
      </w:r>
      <w:r>
        <w:rPr>
          <w:rFonts w:cs="Arial" w:ascii="Arial" w:hAnsi="Arial"/>
        </w:rPr>
        <w:t xml:space="preserve"> х вес</w:t>
      </w:r>
      <w:r>
        <w:rPr>
          <w:rFonts w:cs="Arial" w:ascii="Arial" w:hAnsi="Arial"/>
          <w:vertAlign w:val="subscript"/>
        </w:rPr>
        <w:t>i</w:t>
      </w:r>
      <w:r>
        <w:rPr>
          <w:rFonts w:cs="Arial" w:ascii="Arial" w:hAnsi="Arial"/>
        </w:rPr>
        <w:t xml:space="preserve">) : </w:t>
      </w:r>
      <w:r>
        <w:rPr>
          <w:rFonts w:cs="Symbol" w:ascii="Symbol" w:hAnsi="Symbol"/>
        </w:rPr>
        <w:sym w:font="Symbol" w:char="f053"/>
      </w:r>
      <w:r>
        <w:rPr>
          <w:rFonts w:cs="Arial" w:ascii="Arial" w:hAnsi="Arial"/>
        </w:rPr>
        <w:t xml:space="preserve"> вес</w:t>
      </w:r>
      <w:r>
        <w:rPr>
          <w:rFonts w:cs="Arial" w:ascii="Arial" w:hAnsi="Arial"/>
          <w:vertAlign w:val="subscript"/>
        </w:rPr>
        <w:t>i</w:t>
      </w:r>
      <w:r>
        <w:rPr>
          <w:rFonts w:cs="Arial" w:ascii="Arial" w:hAnsi="Arial"/>
        </w:rPr>
        <w:t>,</w:t>
      </w:r>
    </w:p>
    <w:p>
      <w:pPr>
        <w:pStyle w:val="MainText-BezOtstupa1"/>
        <w:tabs>
          <w:tab w:val="clear" w:pos="720"/>
          <w:tab w:val="center" w:pos="4479" w:leader="none"/>
          <w:tab w:val="center" w:pos="5897" w:leader="none"/>
        </w:tabs>
        <w:jc w:val="start"/>
        <w:rPr>
          <w:rFonts w:ascii="Arial" w:hAnsi="Arial" w:cs="Arial"/>
          <w:vertAlign w:val="superscript"/>
        </w:rPr>
      </w:pPr>
      <w:r>
        <w:rPr>
          <w:rFonts w:cs="Arial" w:ascii="Arial" w:hAnsi="Arial"/>
          <w:vertAlign w:val="superscript"/>
        </w:rPr>
        <w:tab/>
        <w:t>i=1</w:t>
        <w:tab/>
        <w:t>i=1</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балл</w:t>
      </w:r>
      <w:r>
        <w:rPr>
          <w:rFonts w:cs="Arial" w:ascii="Arial" w:hAnsi="Arial"/>
          <w:color w:val="000000"/>
          <w:vertAlign w:val="subscript"/>
        </w:rPr>
        <w:t>i</w:t>
      </w:r>
      <w:r>
        <w:rPr>
          <w:rFonts w:cs="Arial" w:ascii="Arial" w:hAnsi="Arial"/>
          <w:color w:val="000000"/>
        </w:rPr>
        <w:t> — оценка от 1 до 4 ответа на соответствующий вопрос, приведенный в приложении 7 к настоящему Указанию (балльная оценка);</w:t>
      </w:r>
    </w:p>
    <w:p>
      <w:pPr>
        <w:pStyle w:val="MainText"/>
        <w:rPr>
          <w:rFonts w:ascii="Arial" w:hAnsi="Arial" w:cs="Arial"/>
          <w:color w:val="000000"/>
        </w:rPr>
      </w:pPr>
      <w:r>
        <w:rPr>
          <w:rFonts w:cs="Arial" w:ascii="Arial" w:hAnsi="Arial"/>
          <w:color w:val="000000"/>
        </w:rPr>
        <w:t>вес</w:t>
      </w:r>
      <w:r>
        <w:rPr>
          <w:rFonts w:cs="Arial" w:ascii="Arial" w:hAnsi="Arial"/>
          <w:color w:val="000000"/>
          <w:vertAlign w:val="subscript"/>
        </w:rPr>
        <w:t>i</w:t>
      </w:r>
      <w:r>
        <w:rPr>
          <w:rFonts w:cs="Arial" w:ascii="Arial" w:hAnsi="Arial"/>
          <w:color w:val="000000"/>
        </w:rPr>
        <w:t> — оценка по шкале относительной значимости от 1 до 3 ответа на соответствующий вопрос, приведенный в приложении 7 к настоящему Указанию (весовая оценка).</w:t>
      </w:r>
    </w:p>
    <w:p>
      <w:pPr>
        <w:pStyle w:val="MainText"/>
        <w:rPr>
          <w:rFonts w:ascii="Arial" w:hAnsi="Arial" w:cs="Arial"/>
          <w:color w:val="000000"/>
        </w:rPr>
      </w:pPr>
      <w:r>
        <w:rPr>
          <w:rFonts w:cs="Arial" w:ascii="Arial" w:hAnsi="Arial"/>
          <w:color w:val="000000"/>
        </w:rPr>
        <w:t>Весовая оценка ответов на вопросы для определения показателя состояния внутреннего контроля приведена в приложении 7 к настоящему Указанию.</w:t>
      </w:r>
    </w:p>
    <w:p>
      <w:pPr>
        <w:pStyle w:val="MainText"/>
        <w:rPr>
          <w:rFonts w:ascii="Arial" w:hAnsi="Arial" w:cs="Arial"/>
          <w:color w:val="000000"/>
        </w:rPr>
      </w:pPr>
      <w:r>
        <w:rPr>
          <w:rFonts w:cs="Arial" w:ascii="Arial" w:hAnsi="Arial"/>
          <w:color w:val="000000"/>
        </w:rPr>
        <w:t>4.3.3. Показатель состояния внутреннего контроля является целым числом. В случае если дробная часть полученного показателя имеет значение меньше 0,35, то ему присваивается значение, равное его целой части. В противном случае показатель принимается равным его целой части, увеличенной на 1.</w:t>
      </w:r>
    </w:p>
    <w:p>
      <w:pPr>
        <w:pStyle w:val="MainText"/>
        <w:rPr>
          <w:rFonts w:ascii="Arial" w:hAnsi="Arial" w:cs="Arial"/>
          <w:color w:val="000000"/>
        </w:rPr>
      </w:pPr>
      <w:r>
        <w:rPr>
          <w:rFonts w:cs="Arial" w:ascii="Arial" w:hAnsi="Arial"/>
          <w:color w:val="000000"/>
        </w:rPr>
        <w:t>4.3.4. Полученный результат характеризует состояние внутреннего контроля следующим образом:</w:t>
      </w:r>
    </w:p>
    <w:p>
      <w:pPr>
        <w:pStyle w:val="MainText"/>
        <w:rPr>
          <w:rFonts w:ascii="Arial" w:hAnsi="Arial" w:cs="Arial"/>
          <w:color w:val="000000"/>
        </w:rPr>
      </w:pPr>
      <w:r>
        <w:rPr>
          <w:rFonts w:cs="Arial" w:ascii="Arial" w:hAnsi="Arial"/>
          <w:color w:val="000000"/>
        </w:rPr>
        <w:t>равный 1 — “хорошее”;</w:t>
      </w:r>
    </w:p>
    <w:p>
      <w:pPr>
        <w:pStyle w:val="MainText"/>
        <w:rPr>
          <w:rFonts w:ascii="Arial" w:hAnsi="Arial" w:cs="Arial"/>
          <w:color w:val="000000"/>
        </w:rPr>
      </w:pPr>
      <w:r>
        <w:rPr>
          <w:rFonts w:cs="Arial" w:ascii="Arial" w:hAnsi="Arial"/>
          <w:color w:val="000000"/>
        </w:rPr>
        <w:t>равный 2 — “удовлетворительное”;</w:t>
      </w:r>
    </w:p>
    <w:p>
      <w:pPr>
        <w:pStyle w:val="MainText"/>
        <w:rPr>
          <w:rFonts w:ascii="Arial" w:hAnsi="Arial" w:cs="Arial"/>
          <w:color w:val="000000"/>
        </w:rPr>
      </w:pPr>
      <w:r>
        <w:rPr>
          <w:rFonts w:cs="Arial" w:ascii="Arial" w:hAnsi="Arial"/>
          <w:color w:val="000000"/>
        </w:rPr>
        <w:t>равный 3 — “сомнительное”;</w:t>
      </w:r>
    </w:p>
    <w:p>
      <w:pPr>
        <w:pStyle w:val="MainText"/>
        <w:rPr>
          <w:rFonts w:ascii="Arial" w:hAnsi="Arial" w:cs="Arial"/>
          <w:color w:val="000000"/>
        </w:rPr>
      </w:pPr>
      <w:r>
        <w:rPr>
          <w:rFonts w:cs="Arial" w:ascii="Arial" w:hAnsi="Arial"/>
          <w:color w:val="000000"/>
        </w:rPr>
        <w:t>равный 4 — “неудовлетворительное”.</w:t>
      </w:r>
    </w:p>
    <w:p>
      <w:pPr>
        <w:pStyle w:val="MainText"/>
        <w:rPr>
          <w:rFonts w:ascii="Arial" w:hAnsi="Arial" w:cs="Arial"/>
          <w:color w:val="000000"/>
        </w:rPr>
      </w:pPr>
      <w:r>
        <w:rPr>
          <w:rFonts w:cs="Arial" w:ascii="Arial" w:hAnsi="Arial"/>
          <w:color w:val="000000"/>
        </w:rPr>
        <w:t>4.3.5. В случае признания учета и(или) отчетности банка недостоверными показателю состояния внутреннего контроля присваивается оценка “неудовлетворительно” (4 балла).</w:t>
      </w:r>
    </w:p>
    <w:p>
      <w:pPr>
        <w:pStyle w:val="MainText"/>
        <w:rPr>
          <w:rFonts w:ascii="Arial" w:hAnsi="Arial" w:cs="Arial"/>
          <w:color w:val="000000"/>
        </w:rPr>
      </w:pPr>
      <w:r>
        <w:rPr>
          <w:rFonts w:cs="Arial" w:ascii="Arial" w:hAnsi="Arial"/>
          <w:color w:val="000000"/>
        </w:rPr>
        <w:t>Учет и отчетность банка признаются недостоверными в случае если учет и(или) отчетность банка не соответствуют федеральным законам, нормам и правилам, установленным Банком России, собственной учетной политике банка и выявленные недостатки или ошибки в состоянии учета и(или) отчетности банка влияют существенным образом на оценку его экономического положения, то есть ведут в случае их устранения к такому изменению значения хотя бы одного показателя из групп показателей оценки капитала, активов, доходности и ликвидности, при котором обобщающему результату по группе присваивается оценка “неудовлетворительно”, и(или) несоблюдению хотя бы одного из обязательных нормативов.</w:t>
      </w:r>
    </w:p>
    <w:p>
      <w:pPr>
        <w:pStyle w:val="MainText"/>
        <w:rPr>
          <w:rFonts w:ascii="Arial" w:hAnsi="Arial" w:cs="Arial"/>
          <w:color w:val="000000"/>
        </w:rPr>
      </w:pPr>
      <w:r>
        <w:rPr>
          <w:rFonts w:cs="Arial" w:ascii="Arial" w:hAnsi="Arial"/>
          <w:color w:val="000000"/>
        </w:rPr>
        <w:t>4.4. Показатель управления стратегическим риском (ПУ6) определяется на основании оценки ответов на вопросы, приведенные в приложении 8 к настоящему Указанию.</w:t>
      </w:r>
    </w:p>
    <w:p>
      <w:pPr>
        <w:pStyle w:val="MainText"/>
        <w:rPr>
          <w:rFonts w:ascii="Arial" w:hAnsi="Arial" w:cs="Arial"/>
          <w:color w:val="000000"/>
        </w:rPr>
      </w:pPr>
      <w:r>
        <w:rPr>
          <w:rFonts w:cs="Arial" w:ascii="Arial" w:hAnsi="Arial"/>
          <w:color w:val="000000"/>
        </w:rPr>
        <w:t>4.4.1. Оценка ответов на вопросы производится путем присвоения им значений по четырехбалльной шкале:</w:t>
      </w:r>
    </w:p>
    <w:p>
      <w:pPr>
        <w:pStyle w:val="MainText"/>
        <w:rPr>
          <w:rFonts w:ascii="Arial" w:hAnsi="Arial" w:cs="Arial"/>
          <w:color w:val="000000"/>
        </w:rPr>
      </w:pPr>
      <w:r>
        <w:rPr>
          <w:rFonts w:cs="Arial" w:ascii="Arial" w:hAnsi="Arial"/>
          <w:color w:val="000000"/>
        </w:rPr>
        <w:t>равное 1 — “да” (“постоянно”, “всегда”, “в полном объеме”);</w:t>
      </w:r>
    </w:p>
    <w:p>
      <w:pPr>
        <w:pStyle w:val="MainText"/>
        <w:rPr>
          <w:rFonts w:ascii="Arial" w:hAnsi="Arial" w:cs="Arial"/>
          <w:color w:val="000000"/>
        </w:rPr>
      </w:pPr>
      <w:r>
        <w:rPr>
          <w:rFonts w:cs="Arial" w:ascii="Arial" w:hAnsi="Arial"/>
          <w:color w:val="000000"/>
        </w:rPr>
        <w:t>равное 2 — “в основном” (“почти постоянно”, “почти всегда”, “почти в полном объеме”);</w:t>
      </w:r>
    </w:p>
    <w:p>
      <w:pPr>
        <w:pStyle w:val="MainText"/>
        <w:rPr>
          <w:rFonts w:ascii="Arial" w:hAnsi="Arial" w:cs="Arial"/>
          <w:color w:val="000000"/>
        </w:rPr>
      </w:pPr>
      <w:r>
        <w:rPr>
          <w:rFonts w:cs="Arial" w:ascii="Arial" w:hAnsi="Arial"/>
          <w:color w:val="000000"/>
        </w:rPr>
        <w:t>равное 3 — “частично” (“отчасти да”, “не всегда”, “в некоторых случаях”);</w:t>
      </w:r>
    </w:p>
    <w:p>
      <w:pPr>
        <w:pStyle w:val="MainText"/>
        <w:rPr>
          <w:rFonts w:ascii="Arial" w:hAnsi="Arial" w:cs="Arial"/>
          <w:color w:val="000000"/>
        </w:rPr>
      </w:pPr>
      <w:r>
        <w:rPr>
          <w:rFonts w:cs="Arial" w:ascii="Arial" w:hAnsi="Arial"/>
          <w:color w:val="000000"/>
        </w:rPr>
        <w:t>равное 4 — “нет” (“никогда”, “ни в каких случаях”).</w:t>
      </w:r>
    </w:p>
    <w:p>
      <w:pPr>
        <w:pStyle w:val="MainText"/>
        <w:rPr>
          <w:rFonts w:ascii="Arial" w:hAnsi="Arial" w:cs="Arial"/>
          <w:color w:val="000000"/>
        </w:rPr>
      </w:pPr>
      <w:r>
        <w:rPr>
          <w:rFonts w:cs="Arial" w:ascii="Arial" w:hAnsi="Arial"/>
          <w:color w:val="000000"/>
        </w:rPr>
        <w:t>4.4.2. Показатель управления стратегическим риском представляет собой среднее взвешенное значение оценок ответов на вопросы, приведенные в приложении 8 к настоящему Указанию, и рассчитывается по следующей формуле.</w:t>
      </w:r>
    </w:p>
    <w:p>
      <w:pPr>
        <w:pStyle w:val="MainText-BezOtstupa1"/>
        <w:keepNext w:val="true"/>
        <w:keepLines/>
        <w:tabs>
          <w:tab w:val="clear" w:pos="720"/>
          <w:tab w:val="center" w:pos="4479" w:leader="none"/>
          <w:tab w:val="center" w:pos="5897" w:leader="none"/>
        </w:tabs>
        <w:jc w:val="start"/>
        <w:rPr>
          <w:rFonts w:ascii="Arial" w:hAnsi="Arial" w:cs="Arial"/>
          <w:vertAlign w:val="subscript"/>
        </w:rPr>
      </w:pPr>
      <w:r>
        <w:rPr>
          <w:rFonts w:cs="Arial" w:ascii="Arial" w:hAnsi="Arial"/>
          <w:vertAlign w:val="subscript"/>
        </w:rPr>
        <w:tab/>
        <w:t>7</w:t>
        <w:tab/>
        <w:t>7</w:t>
      </w:r>
    </w:p>
    <w:p>
      <w:pPr>
        <w:pStyle w:val="MainText-BezOtstupa1"/>
        <w:keepNext w:val="true"/>
        <w:keepLines/>
        <w:tabs>
          <w:tab w:val="clear" w:pos="720"/>
          <w:tab w:val="center" w:pos="4479" w:leader="none"/>
          <w:tab w:val="center" w:pos="5897" w:leader="none"/>
        </w:tabs>
        <w:jc w:val="center"/>
        <w:rPr>
          <w:rFonts w:ascii="Arial" w:hAnsi="Arial" w:cs="Arial"/>
        </w:rPr>
      </w:pPr>
      <w:r>
        <w:rPr>
          <w:rFonts w:cs="Arial" w:ascii="Arial" w:hAnsi="Arial"/>
        </w:rPr>
        <w:t xml:space="preserve">ПУ6 = </w:t>
      </w:r>
      <w:r>
        <w:rPr>
          <w:rFonts w:cs="Symbol" w:ascii="Symbol" w:hAnsi="Symbol"/>
        </w:rPr>
        <w:sym w:font="Symbol" w:char="f053"/>
      </w:r>
      <w:r>
        <w:rPr>
          <w:rFonts w:cs="Arial" w:ascii="Arial" w:hAnsi="Arial"/>
        </w:rPr>
        <w:t xml:space="preserve"> (балл</w:t>
      </w:r>
      <w:r>
        <w:rPr>
          <w:rFonts w:cs="Arial" w:ascii="Arial" w:hAnsi="Arial"/>
          <w:vertAlign w:val="subscript"/>
        </w:rPr>
        <w:t>i</w:t>
      </w:r>
      <w:r>
        <w:rPr>
          <w:rFonts w:cs="Arial" w:ascii="Arial" w:hAnsi="Arial"/>
        </w:rPr>
        <w:t xml:space="preserve"> х вес</w:t>
      </w:r>
      <w:r>
        <w:rPr>
          <w:rFonts w:cs="Arial" w:ascii="Arial" w:hAnsi="Arial"/>
          <w:vertAlign w:val="subscript"/>
        </w:rPr>
        <w:t>i</w:t>
      </w:r>
      <w:r>
        <w:rPr>
          <w:rFonts w:cs="Arial" w:ascii="Arial" w:hAnsi="Arial"/>
        </w:rPr>
        <w:t xml:space="preserve">) : </w:t>
      </w:r>
      <w:r>
        <w:rPr>
          <w:rFonts w:cs="Symbol" w:ascii="Symbol" w:hAnsi="Symbol"/>
        </w:rPr>
        <w:sym w:font="Symbol" w:char="f053"/>
      </w:r>
      <w:r>
        <w:rPr>
          <w:rFonts w:cs="Arial" w:ascii="Arial" w:hAnsi="Arial"/>
        </w:rPr>
        <w:t xml:space="preserve"> вес</w:t>
      </w:r>
      <w:r>
        <w:rPr>
          <w:rFonts w:cs="Arial" w:ascii="Arial" w:hAnsi="Arial"/>
          <w:vertAlign w:val="subscript"/>
        </w:rPr>
        <w:t>i</w:t>
      </w:r>
      <w:r>
        <w:rPr>
          <w:rFonts w:cs="Arial" w:ascii="Arial" w:hAnsi="Arial"/>
        </w:rPr>
        <w:t>,</w:t>
      </w:r>
    </w:p>
    <w:p>
      <w:pPr>
        <w:pStyle w:val="MainText-BezOtstupa1"/>
        <w:tabs>
          <w:tab w:val="clear" w:pos="720"/>
          <w:tab w:val="center" w:pos="4479" w:leader="none"/>
          <w:tab w:val="center" w:pos="5897" w:leader="none"/>
        </w:tabs>
        <w:jc w:val="start"/>
        <w:rPr>
          <w:rFonts w:ascii="Arial" w:hAnsi="Arial" w:cs="Arial"/>
          <w:vertAlign w:val="superscript"/>
        </w:rPr>
      </w:pPr>
      <w:r>
        <w:rPr>
          <w:rFonts w:cs="Arial" w:ascii="Arial" w:hAnsi="Arial"/>
          <w:vertAlign w:val="superscript"/>
        </w:rPr>
        <w:tab/>
        <w:t>i=1</w:t>
        <w:tab/>
        <w:t>i=1</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балл</w:t>
      </w:r>
      <w:r>
        <w:rPr>
          <w:rFonts w:cs="Arial" w:ascii="Arial" w:hAnsi="Arial"/>
          <w:color w:val="000000"/>
          <w:vertAlign w:val="subscript"/>
        </w:rPr>
        <w:t>i</w:t>
      </w:r>
      <w:r>
        <w:rPr>
          <w:rFonts w:cs="Arial" w:ascii="Arial" w:hAnsi="Arial"/>
          <w:color w:val="000000"/>
        </w:rPr>
        <w:t> — оценка от 1 до 4 ответа на соответствующий вопрос, приведенный в приложении 8 к настоящему Указанию (балльная оценка);</w:t>
      </w:r>
    </w:p>
    <w:p>
      <w:pPr>
        <w:pStyle w:val="MainText"/>
        <w:rPr>
          <w:rFonts w:ascii="Arial" w:hAnsi="Arial" w:cs="Arial"/>
          <w:color w:val="000000"/>
        </w:rPr>
      </w:pPr>
      <w:r>
        <w:rPr>
          <w:rFonts w:cs="Arial" w:ascii="Arial" w:hAnsi="Arial"/>
          <w:color w:val="000000"/>
        </w:rPr>
        <w:t>вес</w:t>
      </w:r>
      <w:r>
        <w:rPr>
          <w:rFonts w:cs="Arial" w:ascii="Arial" w:hAnsi="Arial"/>
          <w:color w:val="000000"/>
          <w:vertAlign w:val="subscript"/>
        </w:rPr>
        <w:t>i</w:t>
      </w:r>
      <w:r>
        <w:rPr>
          <w:rFonts w:cs="Arial" w:ascii="Arial" w:hAnsi="Arial"/>
          <w:color w:val="000000"/>
        </w:rPr>
        <w:t> — оценка по шкале относительной значимости от 1 до 3 ответа на соответствующий вопрос, приведенный в приложении 8 к настоящему Указанию (весовая оценка).</w:t>
      </w:r>
    </w:p>
    <w:p>
      <w:pPr>
        <w:pStyle w:val="MainText"/>
        <w:rPr>
          <w:rFonts w:ascii="Arial" w:hAnsi="Arial" w:cs="Arial"/>
          <w:color w:val="000000"/>
        </w:rPr>
      </w:pPr>
      <w:r>
        <w:rPr>
          <w:rFonts w:cs="Arial" w:ascii="Arial" w:hAnsi="Arial"/>
          <w:color w:val="000000"/>
        </w:rPr>
        <w:t>Весовая оценка ответов на вопросы для определения показателя организации стратегического планирования приведена в приложении 8 к настоящему Указанию.</w:t>
      </w:r>
    </w:p>
    <w:p>
      <w:pPr>
        <w:pStyle w:val="MainText"/>
        <w:rPr>
          <w:rFonts w:ascii="Arial" w:hAnsi="Arial" w:cs="Arial"/>
          <w:color w:val="000000"/>
        </w:rPr>
      </w:pPr>
      <w:r>
        <w:rPr>
          <w:rFonts w:cs="Arial" w:ascii="Arial" w:hAnsi="Arial"/>
          <w:color w:val="000000"/>
        </w:rPr>
        <w:t>4.4.3. Показатель управления стратегическим риском является целым числом. В случае если дробная часть полученного показателя имеет значение, меньшее 0,35, то ему присваивается значение, равное его целой части. В противном случае показатель принимается равным его целой части, увеличенной на 1.</w:t>
      </w:r>
    </w:p>
    <w:p>
      <w:pPr>
        <w:pStyle w:val="MainText"/>
        <w:rPr>
          <w:rFonts w:ascii="Arial" w:hAnsi="Arial" w:cs="Arial"/>
          <w:color w:val="000000"/>
        </w:rPr>
      </w:pPr>
      <w:r>
        <w:rPr>
          <w:rFonts w:cs="Arial" w:ascii="Arial" w:hAnsi="Arial"/>
          <w:color w:val="000000"/>
        </w:rPr>
        <w:t>4.4.4. Полученный результат характеризует состояние управления стратегическим риском следующим образом:</w:t>
      </w:r>
    </w:p>
    <w:p>
      <w:pPr>
        <w:pStyle w:val="MainText"/>
        <w:rPr>
          <w:rFonts w:ascii="Arial" w:hAnsi="Arial" w:cs="Arial"/>
          <w:color w:val="000000"/>
        </w:rPr>
      </w:pPr>
      <w:r>
        <w:rPr>
          <w:rFonts w:cs="Arial" w:ascii="Arial" w:hAnsi="Arial"/>
          <w:color w:val="000000"/>
        </w:rPr>
        <w:t>равный 1 — “хорошее”;</w:t>
      </w:r>
    </w:p>
    <w:p>
      <w:pPr>
        <w:pStyle w:val="MainText"/>
        <w:rPr>
          <w:rFonts w:ascii="Arial" w:hAnsi="Arial" w:cs="Arial"/>
          <w:color w:val="000000"/>
        </w:rPr>
      </w:pPr>
      <w:r>
        <w:rPr>
          <w:rFonts w:cs="Arial" w:ascii="Arial" w:hAnsi="Arial"/>
          <w:color w:val="000000"/>
        </w:rPr>
        <w:t>равный 2 — “удовлетворительное”;</w:t>
      </w:r>
    </w:p>
    <w:p>
      <w:pPr>
        <w:pStyle w:val="MainText"/>
        <w:rPr>
          <w:rFonts w:ascii="Arial" w:hAnsi="Arial" w:cs="Arial"/>
          <w:color w:val="000000"/>
        </w:rPr>
      </w:pPr>
      <w:r>
        <w:rPr>
          <w:rFonts w:cs="Arial" w:ascii="Arial" w:hAnsi="Arial"/>
          <w:color w:val="000000"/>
        </w:rPr>
        <w:t>равный 3 — “сомнительное”;</w:t>
      </w:r>
    </w:p>
    <w:p>
      <w:pPr>
        <w:pStyle w:val="MainText"/>
        <w:rPr>
          <w:rFonts w:ascii="Arial" w:hAnsi="Arial" w:cs="Arial"/>
          <w:color w:val="000000"/>
        </w:rPr>
      </w:pPr>
      <w:r>
        <w:rPr>
          <w:rFonts w:cs="Arial" w:ascii="Arial" w:hAnsi="Arial"/>
          <w:color w:val="000000"/>
        </w:rPr>
        <w:t>равный 4 — “неудовлетворительное”.</w:t>
      </w:r>
    </w:p>
    <w:p>
      <w:pPr>
        <w:pStyle w:val="MainText"/>
        <w:rPr>
          <w:rFonts w:ascii="Arial" w:hAnsi="Arial" w:cs="Arial"/>
          <w:color w:val="000000"/>
        </w:rPr>
      </w:pPr>
      <w:r>
        <w:rPr>
          <w:rFonts w:cs="Arial" w:ascii="Arial" w:hAnsi="Arial"/>
          <w:color w:val="000000"/>
        </w:rPr>
        <w:t>4.5. Качество управления оценивается как:</w:t>
      </w:r>
    </w:p>
    <w:p>
      <w:pPr>
        <w:pStyle w:val="MainText"/>
        <w:rPr>
          <w:rFonts w:ascii="Arial" w:hAnsi="Arial" w:cs="Arial"/>
          <w:color w:val="000000"/>
        </w:rPr>
      </w:pPr>
      <w:r>
        <w:rPr>
          <w:rFonts w:cs="Arial" w:ascii="Arial" w:hAnsi="Arial"/>
          <w:color w:val="000000"/>
        </w:rPr>
        <w:t>хорошее (1 балл) — в случае, если показателям ПУ4 и ПУ5 присвоена оценка “хорошо” (1 балл), а показателю ПУ6 — не хуже, чем “удовлетворительно” (2 балла);</w:t>
      </w:r>
    </w:p>
    <w:p>
      <w:pPr>
        <w:pStyle w:val="MainText"/>
        <w:rPr>
          <w:rFonts w:ascii="Arial" w:hAnsi="Arial" w:cs="Arial"/>
          <w:color w:val="000000"/>
        </w:rPr>
      </w:pPr>
      <w:r>
        <w:rPr>
          <w:rFonts w:cs="Arial" w:ascii="Arial" w:hAnsi="Arial"/>
          <w:color w:val="000000"/>
        </w:rPr>
        <w:t>удовлетворительное (2 балла) — в случае, если показателям ПУ4 и ПУ5 присвоена оценка не хуже, чем “удовлетворительно” (2 балла), а показателю ПУ6 — не хуже, чем “сомнительно” (3 балла);</w:t>
      </w:r>
    </w:p>
    <w:p>
      <w:pPr>
        <w:pStyle w:val="MainText"/>
        <w:rPr>
          <w:rFonts w:ascii="Arial" w:hAnsi="Arial" w:cs="Arial"/>
          <w:color w:val="000000"/>
        </w:rPr>
      </w:pPr>
      <w:r>
        <w:rPr>
          <w:rFonts w:cs="Arial" w:ascii="Arial" w:hAnsi="Arial"/>
          <w:color w:val="000000"/>
        </w:rPr>
        <w:t>сомнительное (балл 3) — в случае, если одному из показателей ПУ4 или ПУ5 присвоена оценка “сомнительно” (3 балла) либо показателю ПУ6 — “неудовлетворительно” (4 балла);</w:t>
      </w:r>
    </w:p>
    <w:p>
      <w:pPr>
        <w:pStyle w:val="MainText"/>
        <w:rPr>
          <w:rFonts w:ascii="Arial" w:hAnsi="Arial" w:cs="Arial"/>
          <w:color w:val="000000"/>
        </w:rPr>
      </w:pPr>
      <w:r>
        <w:rPr>
          <w:rFonts w:cs="Arial" w:ascii="Arial" w:hAnsi="Arial"/>
          <w:color w:val="000000"/>
        </w:rPr>
        <w:t>неудовлетворительное (балл 4) — в случае, если обоим показателям — ПУ4 и ПУ5 — присвоена оценка “сомнительно” (3 балла) либо если хотя бы одному из показателей ПУ4 или ПУ5 присвоена оценка “неудовлетворительно” (4 балла).</w:t>
      </w:r>
    </w:p>
    <w:p>
      <w:pPr>
        <w:pStyle w:val="MainText"/>
        <w:rPr>
          <w:rFonts w:ascii="Arial" w:hAnsi="Arial" w:cs="Arial"/>
          <w:color w:val="000000"/>
        </w:rPr>
      </w:pPr>
      <w:r>
        <w:rPr>
          <w:rFonts w:cs="Arial" w:ascii="Arial" w:hAnsi="Arial"/>
          <w:color w:val="000000"/>
        </w:rPr>
        <w:t>4.6. Расчет и оценка показателей качества управления производятся по мере поступления (получения) новой информации, как правило, по результатам проведенных проверок.</w:t>
      </w:r>
    </w:p>
    <w:p>
      <w:pPr>
        <w:pStyle w:val="MGlavaBulleted"/>
        <w:keepNext w:val="true"/>
        <w:keepLines/>
        <w:spacing w:before="120" w:after="120"/>
        <w:jc w:val="start"/>
        <w:rPr>
          <w:rFonts w:ascii="Arial" w:hAnsi="Arial" w:cs="Arial"/>
        </w:rPr>
      </w:pPr>
      <w:r>
        <w:rPr>
          <w:rFonts w:cs="Arial" w:ascii="Arial" w:hAnsi="Arial"/>
          <w:b w:val="false"/>
        </w:rPr>
        <w:tab/>
        <w:t>Глава 5.</w:t>
        <w:tab/>
      </w:r>
      <w:r>
        <w:rPr>
          <w:rFonts w:cs="Arial" w:ascii="Arial" w:hAnsi="Arial"/>
        </w:rPr>
        <w:t>Оценка прозрачности структуры собственности банка</w:t>
      </w:r>
    </w:p>
    <w:p>
      <w:pPr>
        <w:pStyle w:val="MainText"/>
        <w:rPr>
          <w:rFonts w:ascii="Arial" w:hAnsi="Arial" w:cs="Arial"/>
          <w:color w:val="000000"/>
        </w:rPr>
      </w:pPr>
      <w:r>
        <w:rPr>
          <w:rFonts w:cs="Arial" w:ascii="Arial" w:hAnsi="Arial"/>
          <w:color w:val="000000"/>
        </w:rPr>
        <w:t>5.1. Прозрачность структуры собственности банка определяется по результатам оценок показателей:</w:t>
      </w:r>
    </w:p>
    <w:p>
      <w:pPr>
        <w:pStyle w:val="MainText"/>
        <w:rPr>
          <w:rFonts w:ascii="Arial" w:hAnsi="Arial" w:cs="Arial"/>
          <w:color w:val="000000"/>
        </w:rPr>
      </w:pPr>
      <w:r>
        <w:rPr>
          <w:rFonts w:cs="Arial" w:ascii="Arial" w:hAnsi="Arial"/>
          <w:color w:val="000000"/>
        </w:rPr>
        <w:t>достаточности объема раскрываемой информации о структуре собственности банка (ПУ1);</w:t>
      </w:r>
    </w:p>
    <w:p>
      <w:pPr>
        <w:pStyle w:val="MainText"/>
        <w:rPr>
          <w:rFonts w:ascii="Arial" w:hAnsi="Arial" w:cs="Arial"/>
          <w:color w:val="000000"/>
        </w:rPr>
      </w:pPr>
      <w:r>
        <w:rPr>
          <w:rFonts w:cs="Arial" w:ascii="Arial" w:hAnsi="Arial"/>
          <w:color w:val="000000"/>
        </w:rPr>
        <w:t>доступности информации о лицах (группах лиц), оказывающих прямо или косвенно (через третьих лиц) существенное влияние на решения, принимаемые органами управления банка (ПУ2);</w:t>
      </w:r>
    </w:p>
    <w:p>
      <w:pPr>
        <w:pStyle w:val="MainText"/>
        <w:rPr>
          <w:rFonts w:ascii="Arial" w:hAnsi="Arial" w:cs="Arial"/>
          <w:color w:val="000000"/>
        </w:rPr>
      </w:pPr>
      <w:r>
        <w:rPr>
          <w:rFonts w:cs="Arial" w:ascii="Arial" w:hAnsi="Arial"/>
          <w:color w:val="000000"/>
        </w:rPr>
        <w:t>значительности влияния на управление банком резидентов офшорных зон (ПУ3) (далее показатели ПУ1, ПУ2, ПУ3 — показатели прозрачности структуры собственности).</w:t>
      </w:r>
    </w:p>
    <w:p>
      <w:pPr>
        <w:pStyle w:val="MainText"/>
        <w:rPr>
          <w:rFonts w:ascii="Arial" w:hAnsi="Arial" w:cs="Arial"/>
          <w:color w:val="000000"/>
        </w:rPr>
      </w:pPr>
      <w:r>
        <w:rPr>
          <w:rFonts w:cs="Arial" w:ascii="Arial" w:hAnsi="Arial"/>
          <w:color w:val="000000"/>
        </w:rPr>
        <w:t>5.2. Оценка показателей прозрачности структуры собственности банка производится на основании методики, приведенной в приложении 9 к настоящему Указанию.</w:t>
      </w:r>
    </w:p>
    <w:p>
      <w:pPr>
        <w:pStyle w:val="MainText"/>
        <w:rPr>
          <w:rFonts w:ascii="Arial" w:hAnsi="Arial" w:cs="Arial"/>
          <w:color w:val="000000"/>
        </w:rPr>
      </w:pPr>
      <w:r>
        <w:rPr>
          <w:rFonts w:cs="Arial" w:ascii="Arial" w:hAnsi="Arial"/>
          <w:color w:val="000000"/>
        </w:rPr>
        <w:t>5.3. Список государств и территорий, предоставляющих льготный налоговый режим и(или) не предусматривающих раскрытие и предоставление информации при проведении финансовых операций (офшорные зоны), установлен в приложении 1 к Указанию Банка России от 7 августа 2003 года № 1317-У “О порядке установления уполномоченными банками корреспондентских отношений с банками-нерезидентами, зарегистрированными в государствах и на территориях, предоставляющих льготный налоговый режим и(или) не предусматривающих раскрытие и предоставление информации при проведении финансовых операций (офшорных зонах)”, зарегистрированному Министерством юстиции Российской Федерации 10 сентября 2003 года № 5058; 26 января 2007 года № 8846 (“Вестник Банка России” от 17 сентября 2003 года № 51; от 14 февраля 2007 года № 7).</w:t>
      </w:r>
    </w:p>
    <w:p>
      <w:pPr>
        <w:pStyle w:val="MainText"/>
        <w:rPr>
          <w:rFonts w:ascii="Arial" w:hAnsi="Arial" w:cs="Arial"/>
          <w:color w:val="000000"/>
        </w:rPr>
      </w:pPr>
      <w:r>
        <w:rPr>
          <w:rFonts w:cs="Arial" w:ascii="Arial" w:hAnsi="Arial"/>
          <w:color w:val="000000"/>
        </w:rPr>
        <w:t>5.4. Структура собственности банка признается:</w:t>
      </w:r>
    </w:p>
    <w:p>
      <w:pPr>
        <w:pStyle w:val="MainText"/>
        <w:rPr>
          <w:rFonts w:ascii="Arial" w:hAnsi="Arial" w:cs="Arial"/>
          <w:color w:val="000000"/>
        </w:rPr>
      </w:pPr>
      <w:r>
        <w:rPr>
          <w:rFonts w:cs="Arial" w:ascii="Arial" w:hAnsi="Arial"/>
          <w:color w:val="000000"/>
        </w:rPr>
        <w:t>прозрачной — если показателям прозрачности структуры собственности присвоен 1 балл;</w:t>
      </w:r>
    </w:p>
    <w:p>
      <w:pPr>
        <w:pStyle w:val="MainText"/>
        <w:rPr>
          <w:rFonts w:ascii="Arial" w:hAnsi="Arial" w:cs="Arial"/>
          <w:color w:val="000000"/>
        </w:rPr>
      </w:pPr>
      <w:r>
        <w:rPr>
          <w:rFonts w:cs="Arial" w:ascii="Arial" w:hAnsi="Arial"/>
          <w:color w:val="000000"/>
        </w:rPr>
        <w:t>достаточно прозрачной — если показателям прозрачности структуры собственности присвоен балл не хуже 2 баллов;</w:t>
      </w:r>
    </w:p>
    <w:p>
      <w:pPr>
        <w:pStyle w:val="MainText"/>
        <w:rPr>
          <w:rFonts w:ascii="Arial" w:hAnsi="Arial" w:cs="Arial"/>
          <w:color w:val="000000"/>
        </w:rPr>
      </w:pPr>
      <w:r>
        <w:rPr>
          <w:rFonts w:cs="Arial" w:ascii="Arial" w:hAnsi="Arial"/>
          <w:color w:val="000000"/>
        </w:rPr>
        <w:t>непрозрачной — если хотя бы одному из показателей прозрачности структуры собственности присвоено 3 балла.</w:t>
      </w:r>
    </w:p>
    <w:p>
      <w:pPr>
        <w:pStyle w:val="MainText"/>
        <w:rPr>
          <w:rFonts w:ascii="Arial" w:hAnsi="Arial" w:cs="Arial"/>
          <w:color w:val="000000"/>
        </w:rPr>
      </w:pPr>
      <w:r>
        <w:rPr>
          <w:rFonts w:cs="Arial" w:ascii="Arial" w:hAnsi="Arial"/>
          <w:color w:val="000000"/>
        </w:rPr>
        <w:t>5.5. Расчет и оценка показателей прозрачности структуры собственности осуществляются по мере поступления (получения) новой информации.</w:t>
      </w:r>
    </w:p>
    <w:p>
      <w:pPr>
        <w:pStyle w:val="MGlavaBulleted"/>
        <w:keepNext w:val="true"/>
        <w:keepLines/>
        <w:spacing w:before="120" w:after="120"/>
        <w:jc w:val="start"/>
        <w:rPr>
          <w:rFonts w:ascii="Arial" w:hAnsi="Arial" w:cs="Arial"/>
        </w:rPr>
      </w:pPr>
      <w:r>
        <w:rPr>
          <w:rFonts w:cs="Arial" w:ascii="Arial" w:hAnsi="Arial"/>
          <w:b w:val="false"/>
        </w:rPr>
        <w:tab/>
        <w:t>Глава 6.</w:t>
        <w:tab/>
      </w:r>
      <w:r>
        <w:rPr>
          <w:rFonts w:cs="Arial" w:ascii="Arial" w:hAnsi="Arial"/>
        </w:rPr>
        <w:t>Оценка экономического положения банков</w:t>
      </w:r>
    </w:p>
    <w:p>
      <w:pPr>
        <w:pStyle w:val="MainText"/>
        <w:rPr>
          <w:rFonts w:ascii="Arial" w:hAnsi="Arial" w:cs="Arial"/>
          <w:color w:val="000000"/>
        </w:rPr>
      </w:pPr>
      <w:r>
        <w:rPr>
          <w:rFonts w:cs="Arial" w:ascii="Arial" w:hAnsi="Arial"/>
          <w:color w:val="000000"/>
        </w:rPr>
        <w:t>6.1. Классификация банков производится территориальными учреждениями Банка России не реже одного раза в квартал по состоянию на первое число месяца, следующего за отчетным кварталом.</w:t>
      </w:r>
    </w:p>
    <w:p>
      <w:pPr>
        <w:pStyle w:val="MainText"/>
        <w:rPr>
          <w:rFonts w:ascii="Arial" w:hAnsi="Arial" w:cs="Arial"/>
          <w:color w:val="000000"/>
        </w:rPr>
      </w:pPr>
      <w:r>
        <w:rPr>
          <w:rFonts w:cs="Arial" w:ascii="Arial" w:hAnsi="Arial"/>
          <w:color w:val="000000"/>
        </w:rPr>
        <w:t>Первая классификация вновь созданных банков (за исключением реорганизованных) производится на первое число месяца, следующего за вторым полным кварталом деятельности банка после представления в Банк России первой отчетности.</w:t>
      </w:r>
    </w:p>
    <w:p>
      <w:pPr>
        <w:pStyle w:val="MainText"/>
        <w:rPr>
          <w:rFonts w:ascii="Arial" w:hAnsi="Arial" w:cs="Arial"/>
          <w:color w:val="000000"/>
        </w:rPr>
      </w:pPr>
      <w:r>
        <w:rPr>
          <w:rFonts w:cs="Arial" w:ascii="Arial" w:hAnsi="Arial"/>
          <w:color w:val="000000"/>
        </w:rPr>
        <w:t>Информация о классификации банков направляется территориальными учреждениями Банка России в Банк России (Департамент банковского регулирования и надзора) по форме, установленной Банком России.</w:t>
      </w:r>
    </w:p>
    <w:p>
      <w:pPr>
        <w:pStyle w:val="MainText"/>
        <w:rPr>
          <w:rFonts w:ascii="Arial" w:hAnsi="Arial" w:cs="Arial"/>
          <w:color w:val="000000"/>
        </w:rPr>
      </w:pPr>
      <w:r>
        <w:rPr>
          <w:rFonts w:cs="Arial" w:ascii="Arial" w:hAnsi="Arial"/>
          <w:color w:val="000000"/>
        </w:rPr>
        <w:t>6.2. Территориальные учреждения Банка России осуществляют постоянный мониторинг экономического положения банка. В случае если оценка групп показателей оценки капитала, активов, ликвидности, рассчитанных на первое число месяца, а также показателей качества управления и прозрачности структуры собственности изменяется по сравнению с ранее произведенной оценкой таким образом, что это может являться основанием для изменения оценки экономического положения банка (отнесения его к иной классификационной группе), то территориальное учреждение Банка России принимает решение об отнесении банка к иной классификационной группе.</w:t>
      </w:r>
    </w:p>
    <w:p>
      <w:pPr>
        <w:pStyle w:val="MainText"/>
        <w:rPr>
          <w:rFonts w:ascii="Arial" w:hAnsi="Arial" w:cs="Arial"/>
          <w:color w:val="000000"/>
        </w:rPr>
      </w:pPr>
      <w:r>
        <w:rPr>
          <w:rFonts w:cs="Arial" w:ascii="Arial" w:hAnsi="Arial"/>
          <w:color w:val="000000"/>
        </w:rPr>
        <w:t>Информация об изменении в течение квартала ранее произведенной оценки экономического положения банка (отнесении его к иной классификационной группе) доводится территориальными учреждениями Банка России до Департамента банковского регулирования и надзора Банка России по форме, установленной Банком России.</w:t>
      </w:r>
    </w:p>
    <w:p>
      <w:pPr>
        <w:pStyle w:val="MGlavaBulleted"/>
        <w:keepNext w:val="true"/>
        <w:keepLines/>
        <w:spacing w:before="120" w:after="120"/>
        <w:jc w:val="start"/>
        <w:rPr>
          <w:rFonts w:ascii="Arial" w:hAnsi="Arial" w:cs="Arial"/>
        </w:rPr>
      </w:pPr>
      <w:r>
        <w:rPr>
          <w:rFonts w:cs="Arial" w:ascii="Arial" w:hAnsi="Arial"/>
          <w:b w:val="false"/>
        </w:rPr>
        <w:tab/>
        <w:t>Глава 7.</w:t>
        <w:tab/>
      </w:r>
      <w:r>
        <w:rPr>
          <w:rFonts w:cs="Arial" w:ascii="Arial" w:hAnsi="Arial"/>
        </w:rPr>
        <w:t>Заключительные положения</w:t>
      </w:r>
    </w:p>
    <w:p>
      <w:pPr>
        <w:pStyle w:val="MainText"/>
        <w:rPr>
          <w:rFonts w:ascii="Arial" w:hAnsi="Arial" w:cs="Arial"/>
          <w:color w:val="000000"/>
        </w:rPr>
      </w:pPr>
      <w:r>
        <w:rPr>
          <w:rFonts w:cs="Arial" w:ascii="Arial" w:hAnsi="Arial"/>
          <w:color w:val="000000"/>
        </w:rPr>
        <w:t>7.1. Информация об отнесении банка к классификационной группе и о недостатках в его деятельности, послужившая основанием для классификации, направляется территориальным учреждением Банка России единоличному исполнительному органу банка в срок не позднее пятого числа второго месяца квартала, следующего за отчетным. Указанная информация не направляется единоличному исполнительному органу в случае, если ранее произведенная территориальным учреждением Банка России оценка экономического положения банка и информация о недостатках в его деятельности, послужившая основанием для классификации, не изменялись по сравнению с предыдущей классификацией.</w:t>
      </w:r>
    </w:p>
    <w:p>
      <w:pPr>
        <w:pStyle w:val="MainText"/>
        <w:rPr>
          <w:rFonts w:ascii="Arial" w:hAnsi="Arial" w:cs="Arial"/>
          <w:color w:val="000000"/>
        </w:rPr>
      </w:pPr>
      <w:r>
        <w:rPr>
          <w:rFonts w:cs="Arial" w:ascii="Arial" w:hAnsi="Arial"/>
          <w:color w:val="000000"/>
        </w:rPr>
        <w:t>Единоличному исполнительному органу банка указанные сведения рекомендуется доводить до членов совета директоров (наблюдательного совета) и коллегиального исполнительного органа банка.</w:t>
      </w:r>
    </w:p>
    <w:p>
      <w:pPr>
        <w:pStyle w:val="MainText"/>
        <w:rPr>
          <w:rFonts w:ascii="Arial" w:hAnsi="Arial" w:cs="Arial"/>
          <w:color w:val="000000"/>
        </w:rPr>
      </w:pPr>
      <w:r>
        <w:rPr>
          <w:rFonts w:cs="Arial" w:ascii="Arial" w:hAnsi="Arial"/>
          <w:color w:val="000000"/>
        </w:rPr>
        <w:t>7.2. Сведения об отнесении банков к соответствующим группам являются сведениями ограниченного доступа и не подлежат разглашению третьим лицам.</w:t>
      </w:r>
    </w:p>
    <w:p>
      <w:pPr>
        <w:pStyle w:val="MainText"/>
        <w:rPr>
          <w:rFonts w:ascii="Arial" w:hAnsi="Arial" w:cs="Arial"/>
          <w:color w:val="000000"/>
        </w:rPr>
      </w:pPr>
      <w:r>
        <w:rPr>
          <w:rFonts w:cs="Arial" w:ascii="Arial" w:hAnsi="Arial"/>
          <w:color w:val="000000"/>
        </w:rPr>
        <w:t>7.3. Настоящее Указание вступает в силу по истечении 10 дней после дня его официального опубликования в “Вестнике Банка России”.</w:t>
      </w:r>
    </w:p>
    <w:p>
      <w:pPr>
        <w:pStyle w:val="Podpis"/>
        <w:keepLines/>
        <w:tabs>
          <w:tab w:val="clear" w:pos="4195"/>
          <w:tab w:val="right" w:pos="9639" w:leader="none"/>
        </w:tabs>
        <w:spacing w:before="120" w:after="0"/>
        <w:rPr>
          <w:rFonts w:ascii="Arial" w:hAnsi="Arial" w:cs="Arial"/>
        </w:rPr>
      </w:pPr>
      <w:r>
        <w:rPr>
          <w:rFonts w:cs="Arial" w:ascii="Arial" w:hAnsi="Arial"/>
        </w:rPr>
        <w:t>ПРЕДСЕДАТЕЛЬ ЦЕНТРАЛЬНОГО БАНКА РОССИЙСКОЙ ФЕДЕРАЦИИ</w:t>
        <w:tab/>
        <w:t>С.М. ИГНАТЬЕВ</w:t>
      </w:r>
    </w:p>
    <w:p>
      <w:pPr>
        <w:pStyle w:val="Style15"/>
        <w:rPr>
          <w:rFonts w:ascii="Arial" w:hAnsi="Arial" w:cs="Arial"/>
          <w:lang w:val="ru-RU"/>
        </w:rPr>
      </w:pPr>
      <w:r>
        <w:rPr>
          <w:rFonts w:cs="Arial" w:ascii="Arial" w:hAnsi="Arial"/>
          <w:lang w:val="ru-RU"/>
        </w:rPr>
      </w:r>
      <w:r>
        <w:br w:type="page"/>
      </w:r>
    </w:p>
    <w:p>
      <w:pPr>
        <w:pStyle w:val="MainText-BezOtstupa1"/>
        <w:keepNext w:val="true"/>
        <w:keepLines/>
        <w:jc w:val="end"/>
        <w:rPr>
          <w:rFonts w:ascii="Arial" w:hAnsi="Arial" w:cs="Arial"/>
          <w:color w:val="000000"/>
        </w:rPr>
      </w:pPr>
      <w:r>
        <w:rPr>
          <w:rFonts w:cs="Arial" w:ascii="Arial" w:hAnsi="Arial"/>
          <w:b/>
          <w:color w:val="000000"/>
        </w:rPr>
        <w:t>Приложение 1</w:t>
      </w:r>
      <w:r>
        <w:rPr>
          <w:rFonts w:cs="Arial" w:ascii="Arial" w:hAnsi="Arial"/>
          <w:color w:val="000000"/>
        </w:rPr>
        <w:br/>
        <w:t xml:space="preserve"> к Указанию Банка России</w:t>
        <w:br/>
        <w:t xml:space="preserve"> от 30 апреля 2008 г. № 2005-У</w:t>
        <w:br/>
        <w:t xml:space="preserve"> “Об оценке экономического положения банков”</w:t>
      </w:r>
    </w:p>
    <w:p>
      <w:pPr>
        <w:pStyle w:val="MZagolvok-Center"/>
        <w:spacing w:before="120" w:after="120"/>
        <w:rPr>
          <w:rFonts w:ascii="Arial" w:hAnsi="Arial" w:cs="Arial"/>
        </w:rPr>
      </w:pPr>
      <w:r>
        <w:rPr/>
        <w:t>Балльная и весовая оценки показателей группы показателей оценки капитала</w:t>
      </w:r>
    </w:p>
    <w:tbl>
      <w:tblPr>
        <w:tblW w:w="10422" w:type="dxa"/>
        <w:jc w:val="center"/>
        <w:tblInd w:w="0" w:type="dxa"/>
        <w:tblLayout w:type="fixed"/>
        <w:tblCellMar>
          <w:top w:w="0" w:type="dxa"/>
          <w:start w:w="108" w:type="dxa"/>
          <w:bottom w:w="0" w:type="dxa"/>
          <w:end w:w="108" w:type="dxa"/>
        </w:tblCellMar>
      </w:tblPr>
      <w:tblGrid>
        <w:gridCol w:w="532"/>
        <w:gridCol w:w="3121"/>
        <w:gridCol w:w="1333"/>
        <w:gridCol w:w="1087"/>
        <w:gridCol w:w="1087"/>
        <w:gridCol w:w="1312"/>
        <w:gridCol w:w="1276"/>
        <w:gridCol w:w="674"/>
      </w:tblGrid>
      <w:tr>
        <w:trPr>
          <w:tblHeader w:val="true"/>
          <w:cantSplit/>
        </w:trPr>
        <w:tc>
          <w:tcPr>
            <w:tcW w:w="532"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w:t>
            </w:r>
          </w:p>
        </w:tc>
        <w:tc>
          <w:tcPr>
            <w:tcW w:w="3121"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Наименование показателя</w:t>
            </w:r>
          </w:p>
        </w:tc>
        <w:tc>
          <w:tcPr>
            <w:tcW w:w="1333"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Условное</w:t>
            </w:r>
          </w:p>
        </w:tc>
        <w:tc>
          <w:tcPr>
            <w:tcW w:w="4762" w:type="dxa"/>
            <w:gridSpan w:val="4"/>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Значения (%)</w:t>
            </w:r>
          </w:p>
        </w:tc>
        <w:tc>
          <w:tcPr>
            <w:tcW w:w="674"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Вес</w:t>
            </w:r>
          </w:p>
        </w:tc>
      </w:tr>
      <w:tr>
        <w:trPr>
          <w:tblHeader w:val="true"/>
          <w:cantSplit/>
        </w:trPr>
        <w:tc>
          <w:tcPr>
            <w:tcW w:w="532" w:type="dxa"/>
            <w:tcBorders>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п/п</w:t>
            </w:r>
          </w:p>
        </w:tc>
        <w:tc>
          <w:tcPr>
            <w:tcW w:w="3121" w:type="dxa"/>
            <w:tcBorders>
              <w:start w:val="single" w:sz="6" w:space="0" w:color="000000"/>
              <w:bottom w:val="single" w:sz="6" w:space="0" w:color="000000"/>
              <w:end w:val="single" w:sz="6" w:space="0" w:color="000000"/>
            </w:tcBorders>
          </w:tcPr>
          <w:p>
            <w:pPr>
              <w:pStyle w:val="Style15"/>
              <w:keepNext w:val="true"/>
              <w:snapToGrid w:val="false"/>
              <w:ind w:hanging="0" w:end="0"/>
              <w:jc w:val="center"/>
              <w:rPr>
                <w:rFonts w:ascii="Arial" w:hAnsi="Arial" w:cs="Arial"/>
                <w:color w:val="000000"/>
                <w:sz w:val="16"/>
                <w:lang w:val="ru-RU"/>
              </w:rPr>
            </w:pPr>
            <w:r>
              <w:rPr>
                <w:rFonts w:cs="Arial" w:ascii="Arial" w:hAnsi="Arial"/>
                <w:color w:val="000000"/>
                <w:sz w:val="16"/>
                <w:lang w:val="ru-RU"/>
              </w:rPr>
            </w:r>
          </w:p>
        </w:tc>
        <w:tc>
          <w:tcPr>
            <w:tcW w:w="1333" w:type="dxa"/>
            <w:tcBorders>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обозначение</w:t>
            </w:r>
          </w:p>
        </w:tc>
        <w:tc>
          <w:tcPr>
            <w:tcW w:w="1087"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1 балл</w:t>
            </w:r>
          </w:p>
        </w:tc>
        <w:tc>
          <w:tcPr>
            <w:tcW w:w="1087"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2 балла</w:t>
            </w:r>
          </w:p>
        </w:tc>
        <w:tc>
          <w:tcPr>
            <w:tcW w:w="1312"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3 балла</w:t>
            </w:r>
          </w:p>
        </w:tc>
        <w:tc>
          <w:tcPr>
            <w:tcW w:w="1276"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4 балла</w:t>
            </w:r>
          </w:p>
        </w:tc>
        <w:tc>
          <w:tcPr>
            <w:tcW w:w="674" w:type="dxa"/>
            <w:tcBorders>
              <w:start w:val="single" w:sz="6" w:space="0" w:color="000000"/>
              <w:bottom w:val="single" w:sz="6" w:space="0" w:color="000000"/>
              <w:end w:val="single" w:sz="6" w:space="0" w:color="000000"/>
            </w:tcBorders>
          </w:tcPr>
          <w:p>
            <w:pPr>
              <w:pStyle w:val="Style15"/>
              <w:keepNext w:val="true"/>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tblHeader w:val="true"/>
          <w:cantSplit/>
        </w:trPr>
        <w:tc>
          <w:tcPr>
            <w:tcW w:w="532"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1</w:t>
            </w:r>
          </w:p>
        </w:tc>
        <w:tc>
          <w:tcPr>
            <w:tcW w:w="3121"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2</w:t>
            </w:r>
          </w:p>
        </w:tc>
        <w:tc>
          <w:tcPr>
            <w:tcW w:w="1333"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3</w:t>
            </w:r>
          </w:p>
        </w:tc>
        <w:tc>
          <w:tcPr>
            <w:tcW w:w="1087"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4</w:t>
            </w:r>
          </w:p>
        </w:tc>
        <w:tc>
          <w:tcPr>
            <w:tcW w:w="1087"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5</w:t>
            </w:r>
          </w:p>
        </w:tc>
        <w:tc>
          <w:tcPr>
            <w:tcW w:w="1312"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6</w:t>
            </w:r>
          </w:p>
        </w:tc>
        <w:tc>
          <w:tcPr>
            <w:tcW w:w="1276"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7</w:t>
            </w:r>
          </w:p>
        </w:tc>
        <w:tc>
          <w:tcPr>
            <w:tcW w:w="674"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8</w:t>
            </w:r>
          </w:p>
        </w:tc>
      </w:tr>
      <w:tr>
        <w:trPr>
          <w:cantSplit/>
        </w:trPr>
        <w:tc>
          <w:tcPr>
            <w:tcW w:w="532" w:type="dxa"/>
            <w:tcBorders>
              <w:top w:val="single" w:sz="6" w:space="0" w:color="000000"/>
              <w:start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c>
          <w:tcPr>
            <w:tcW w:w="3121" w:type="dxa"/>
            <w:tcBorders>
              <w:top w:val="single" w:sz="6" w:space="0" w:color="000000"/>
              <w:start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достаточности</w:t>
            </w:r>
          </w:p>
        </w:tc>
        <w:tc>
          <w:tcPr>
            <w:tcW w:w="1333" w:type="dxa"/>
            <w:tcBorders>
              <w:top w:val="single" w:sz="6" w:space="0" w:color="000000"/>
              <w:start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ПК1</w:t>
            </w:r>
          </w:p>
        </w:tc>
        <w:tc>
          <w:tcPr>
            <w:tcW w:w="1087" w:type="dxa"/>
            <w:tcBorders>
              <w:top w:val="single" w:sz="6" w:space="0" w:color="000000"/>
              <w:start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b3"/>
            </w:r>
            <w:r>
              <w:rPr>
                <w:rFonts w:cs="Arial" w:ascii="Arial" w:hAnsi="Arial"/>
                <w:color w:val="000000"/>
                <w:sz w:val="16"/>
                <w:lang w:val="ru-RU"/>
              </w:rPr>
              <w:t xml:space="preserve"> </w:t>
            </w:r>
            <w:r>
              <w:rPr>
                <w:rFonts w:cs="Arial" w:ascii="Arial" w:hAnsi="Arial"/>
                <w:color w:val="000000"/>
                <w:sz w:val="16"/>
                <w:lang w:val="ru-RU"/>
              </w:rPr>
              <w:t>14</w:t>
            </w:r>
            <w:r>
              <w:rPr>
                <w:rFonts w:cs="Arial" w:ascii="Arial" w:hAnsi="Arial"/>
                <w:color w:val="000000"/>
                <w:sz w:val="16"/>
                <w:vertAlign w:val="superscript"/>
                <w:lang w:val="ru-RU"/>
              </w:rPr>
              <w:t>1</w:t>
            </w:r>
          </w:p>
        </w:tc>
        <w:tc>
          <w:tcPr>
            <w:tcW w:w="1087" w:type="dxa"/>
            <w:tcBorders>
              <w:top w:val="single" w:sz="6" w:space="0" w:color="000000"/>
              <w:start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14 и </w:t>
            </w:r>
            <w:r>
              <w:rPr>
                <w:rFonts w:cs="Symbol" w:ascii="Symbol" w:hAnsi="Symbol"/>
                <w:color w:val="000000"/>
                <w:sz w:val="16"/>
                <w:lang w:val="ru-RU"/>
              </w:rPr>
              <w:sym w:font="Symbol" w:char="f0b3"/>
            </w:r>
            <w:r>
              <w:rPr>
                <w:rFonts w:cs="Arial" w:ascii="Arial" w:hAnsi="Arial"/>
                <w:color w:val="000000"/>
                <w:sz w:val="16"/>
                <w:lang w:val="ru-RU"/>
              </w:rPr>
              <w:t xml:space="preserve"> 12</w:t>
            </w:r>
          </w:p>
        </w:tc>
        <w:tc>
          <w:tcPr>
            <w:tcW w:w="1312" w:type="dxa"/>
            <w:tcBorders>
              <w:top w:val="single" w:sz="6" w:space="0" w:color="000000"/>
              <w:start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12 и </w:t>
            </w:r>
            <w:r>
              <w:rPr>
                <w:rFonts w:cs="Symbol" w:ascii="Symbol" w:hAnsi="Symbol"/>
                <w:color w:val="000000"/>
                <w:sz w:val="16"/>
                <w:lang w:val="ru-RU"/>
              </w:rPr>
              <w:sym w:font="Symbol" w:char="f0b3"/>
            </w:r>
            <w:r>
              <w:rPr>
                <w:rFonts w:cs="Arial" w:ascii="Arial" w:hAnsi="Arial"/>
                <w:color w:val="000000"/>
                <w:sz w:val="16"/>
                <w:lang w:val="ru-RU"/>
              </w:rPr>
              <w:t xml:space="preserve"> 11,1</w:t>
            </w:r>
          </w:p>
        </w:tc>
        <w:tc>
          <w:tcPr>
            <w:tcW w:w="1276" w:type="dxa"/>
            <w:tcBorders>
              <w:top w:val="single" w:sz="6" w:space="0" w:color="000000"/>
              <w:start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&lt; 11,1</w:t>
            </w:r>
          </w:p>
        </w:tc>
        <w:tc>
          <w:tcPr>
            <w:tcW w:w="674" w:type="dxa"/>
            <w:tcBorders>
              <w:top w:val="single" w:sz="6" w:space="0" w:color="000000"/>
              <w:start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r>
      <w:tr>
        <w:trPr>
          <w:cantSplit/>
        </w:trPr>
        <w:tc>
          <w:tcPr>
            <w:tcW w:w="532" w:type="dxa"/>
            <w:tcBorders>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c>
          <w:tcPr>
            <w:tcW w:w="3121" w:type="dxa"/>
            <w:tcBorders>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собственных средств (капитала)</w:t>
            </w:r>
          </w:p>
        </w:tc>
        <w:tc>
          <w:tcPr>
            <w:tcW w:w="1333" w:type="dxa"/>
            <w:tcBorders>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c>
          <w:tcPr>
            <w:tcW w:w="1087" w:type="dxa"/>
            <w:tcBorders>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b3"/>
            </w:r>
            <w:r>
              <w:rPr>
                <w:rFonts w:cs="Arial" w:ascii="Arial" w:hAnsi="Arial"/>
                <w:color w:val="000000"/>
                <w:sz w:val="16"/>
                <w:lang w:val="ru-RU"/>
              </w:rPr>
              <w:t xml:space="preserve"> </w:t>
            </w:r>
            <w:r>
              <w:rPr>
                <w:rFonts w:cs="Arial" w:ascii="Arial" w:hAnsi="Arial"/>
                <w:color w:val="000000"/>
                <w:sz w:val="16"/>
                <w:lang w:val="ru-RU"/>
              </w:rPr>
              <w:t>13</w:t>
            </w:r>
            <w:r>
              <w:rPr>
                <w:rFonts w:cs="Arial" w:ascii="Arial" w:hAnsi="Arial"/>
                <w:color w:val="000000"/>
                <w:sz w:val="16"/>
                <w:vertAlign w:val="superscript"/>
                <w:lang w:val="ru-RU"/>
              </w:rPr>
              <w:t>2</w:t>
            </w:r>
          </w:p>
        </w:tc>
        <w:tc>
          <w:tcPr>
            <w:tcW w:w="1087" w:type="dxa"/>
            <w:tcBorders>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13 и </w:t>
            </w:r>
            <w:r>
              <w:rPr>
                <w:rFonts w:cs="Symbol" w:ascii="Symbol" w:hAnsi="Symbol"/>
                <w:color w:val="000000"/>
                <w:sz w:val="16"/>
                <w:lang w:val="ru-RU"/>
              </w:rPr>
              <w:sym w:font="Symbol" w:char="f0b3"/>
            </w:r>
            <w:r>
              <w:rPr>
                <w:rFonts w:cs="Arial" w:ascii="Arial" w:hAnsi="Arial"/>
                <w:color w:val="000000"/>
                <w:sz w:val="16"/>
                <w:lang w:val="ru-RU"/>
              </w:rPr>
              <w:t xml:space="preserve"> 11</w:t>
            </w:r>
          </w:p>
        </w:tc>
        <w:tc>
          <w:tcPr>
            <w:tcW w:w="1312" w:type="dxa"/>
            <w:tcBorders>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11 и </w:t>
            </w:r>
            <w:r>
              <w:rPr>
                <w:rFonts w:cs="Symbol" w:ascii="Symbol" w:hAnsi="Symbol"/>
                <w:color w:val="000000"/>
                <w:sz w:val="16"/>
                <w:lang w:val="ru-RU"/>
              </w:rPr>
              <w:sym w:font="Symbol" w:char="f0b3"/>
            </w:r>
            <w:r>
              <w:rPr>
                <w:rFonts w:cs="Arial" w:ascii="Arial" w:hAnsi="Arial"/>
                <w:color w:val="000000"/>
                <w:sz w:val="16"/>
                <w:lang w:val="ru-RU"/>
              </w:rPr>
              <w:t xml:space="preserve"> 10,1</w:t>
            </w:r>
          </w:p>
        </w:tc>
        <w:tc>
          <w:tcPr>
            <w:tcW w:w="1276" w:type="dxa"/>
            <w:tcBorders>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&lt; 10,1</w:t>
            </w:r>
          </w:p>
        </w:tc>
        <w:tc>
          <w:tcPr>
            <w:tcW w:w="674" w:type="dxa"/>
            <w:tcBorders>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общей достаточности капитала</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ПК2</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b3"/>
            </w:r>
            <w:r>
              <w:rPr>
                <w:rFonts w:cs="Arial" w:ascii="Arial" w:hAnsi="Arial"/>
                <w:color w:val="000000"/>
                <w:sz w:val="16"/>
                <w:lang w:val="ru-RU"/>
              </w:rPr>
              <w:t xml:space="preserve"> </w:t>
            </w:r>
            <w:r>
              <w:rPr>
                <w:rFonts w:cs="Arial" w:ascii="Arial" w:hAnsi="Arial"/>
                <w:color w:val="000000"/>
                <w:sz w:val="16"/>
                <w:lang w:val="ru-RU"/>
              </w:rPr>
              <w:t>10</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10 и </w:t>
            </w:r>
            <w:r>
              <w:rPr>
                <w:rFonts w:cs="Symbol" w:ascii="Symbol" w:hAnsi="Symbol"/>
                <w:color w:val="000000"/>
                <w:sz w:val="16"/>
                <w:lang w:val="ru-RU"/>
              </w:rPr>
              <w:sym w:font="Symbol" w:char="f0b3"/>
            </w:r>
            <w:r>
              <w:rPr>
                <w:rFonts w:cs="Arial" w:ascii="Arial" w:hAnsi="Arial"/>
                <w:color w:val="000000"/>
                <w:sz w:val="16"/>
                <w:lang w:val="ru-RU"/>
              </w:rPr>
              <w:t xml:space="preserve"> 8</w:t>
            </w:r>
          </w:p>
        </w:tc>
        <w:tc>
          <w:tcPr>
            <w:tcW w:w="131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8 и </w:t>
            </w:r>
            <w:r>
              <w:rPr>
                <w:rFonts w:cs="Symbol" w:ascii="Symbol" w:hAnsi="Symbol"/>
                <w:color w:val="000000"/>
                <w:sz w:val="16"/>
                <w:lang w:val="ru-RU"/>
              </w:rPr>
              <w:sym w:font="Symbol" w:char="f0b3"/>
            </w:r>
            <w:r>
              <w:rPr>
                <w:rFonts w:cs="Arial" w:ascii="Arial" w:hAnsi="Arial"/>
                <w:color w:val="000000"/>
                <w:sz w:val="16"/>
                <w:lang w:val="ru-RU"/>
              </w:rPr>
              <w:t xml:space="preserve"> 6</w:t>
            </w:r>
          </w:p>
        </w:tc>
        <w:tc>
          <w:tcPr>
            <w:tcW w:w="127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&lt; 6</w:t>
            </w:r>
          </w:p>
        </w:tc>
        <w:tc>
          <w:tcPr>
            <w:tcW w:w="67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оценки качества капитала</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ПК3</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a3"/>
            </w:r>
            <w:r>
              <w:rPr>
                <w:rFonts w:cs="Arial" w:ascii="Arial" w:hAnsi="Arial"/>
                <w:color w:val="000000"/>
                <w:sz w:val="16"/>
                <w:lang w:val="ru-RU"/>
              </w:rPr>
              <w:t xml:space="preserve"> </w:t>
            </w:r>
            <w:r>
              <w:rPr>
                <w:rFonts w:cs="Arial" w:ascii="Arial" w:hAnsi="Arial"/>
                <w:color w:val="000000"/>
                <w:sz w:val="16"/>
                <w:lang w:val="ru-RU"/>
              </w:rPr>
              <w:t>30</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30 и </w:t>
            </w:r>
            <w:r>
              <w:rPr>
                <w:rFonts w:cs="Symbol" w:ascii="Symbol" w:hAnsi="Symbol"/>
                <w:color w:val="000000"/>
                <w:sz w:val="16"/>
                <w:lang w:val="ru-RU"/>
              </w:rPr>
              <w:sym w:font="Symbol" w:char="f0a3"/>
            </w:r>
            <w:r>
              <w:rPr>
                <w:rFonts w:cs="Arial" w:ascii="Arial" w:hAnsi="Arial"/>
                <w:color w:val="000000"/>
                <w:sz w:val="16"/>
                <w:lang w:val="ru-RU"/>
              </w:rPr>
              <w:t xml:space="preserve"> 60</w:t>
            </w:r>
          </w:p>
        </w:tc>
        <w:tc>
          <w:tcPr>
            <w:tcW w:w="131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60 и </w:t>
            </w:r>
            <w:r>
              <w:rPr>
                <w:rFonts w:cs="Symbol" w:ascii="Symbol" w:hAnsi="Symbol"/>
                <w:color w:val="000000"/>
                <w:sz w:val="16"/>
                <w:lang w:val="ru-RU"/>
              </w:rPr>
              <w:sym w:font="Symbol" w:char="f0a3"/>
            </w:r>
            <w:r>
              <w:rPr>
                <w:rFonts w:cs="Arial" w:ascii="Arial" w:hAnsi="Arial"/>
                <w:color w:val="000000"/>
                <w:sz w:val="16"/>
                <w:lang w:val="ru-RU"/>
              </w:rPr>
              <w:t xml:space="preserve"> 90</w:t>
            </w:r>
          </w:p>
        </w:tc>
        <w:tc>
          <w:tcPr>
            <w:tcW w:w="127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&gt; 90</w:t>
            </w:r>
          </w:p>
        </w:tc>
        <w:tc>
          <w:tcPr>
            <w:tcW w:w="67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r>
    </w:tbl>
    <w:p>
      <w:pPr>
        <w:pStyle w:val="Snoska"/>
        <w:tabs>
          <w:tab w:val="clear" w:pos="567"/>
        </w:tabs>
        <w:spacing w:before="60" w:after="0"/>
        <w:rPr>
          <w:rFonts w:ascii="Arial" w:hAnsi="Arial" w:cs="Arial"/>
          <w:sz w:val="16"/>
          <w:lang w:val="ru-RU"/>
        </w:rPr>
      </w:pPr>
      <w:r>
        <w:rPr>
          <w:rFonts w:cs="Arial" w:ascii="Arial" w:hAnsi="Arial"/>
          <w:sz w:val="16"/>
          <w:vertAlign w:val="superscript"/>
          <w:lang w:val="ru-RU"/>
        </w:rPr>
        <w:t>1</w:t>
      </w:r>
      <w:r>
        <w:rPr>
          <w:rFonts w:cs="Arial" w:ascii="Arial" w:hAnsi="Arial"/>
          <w:sz w:val="16"/>
          <w:lang w:val="ru-RU"/>
        </w:rPr>
        <w:t> Для банков, имеющих размер собственных средств (капитала), эквивалентный менее 5 млн. евро.</w:t>
      </w:r>
    </w:p>
    <w:p>
      <w:pPr>
        <w:pStyle w:val="Snoska"/>
        <w:tabs>
          <w:tab w:val="clear" w:pos="567"/>
        </w:tabs>
        <w:spacing w:before="60" w:after="0"/>
        <w:rPr>
          <w:rFonts w:ascii="Arial" w:hAnsi="Arial" w:cs="Arial"/>
          <w:sz w:val="16"/>
          <w:lang w:val="ru-RU"/>
        </w:rPr>
      </w:pPr>
      <w:r>
        <w:rPr>
          <w:rFonts w:cs="Arial" w:ascii="Arial" w:hAnsi="Arial"/>
          <w:sz w:val="16"/>
          <w:vertAlign w:val="superscript"/>
          <w:lang w:val="ru-RU"/>
        </w:rPr>
        <w:t>2</w:t>
      </w:r>
      <w:r>
        <w:rPr>
          <w:rFonts w:cs="Arial" w:ascii="Arial" w:hAnsi="Arial"/>
          <w:sz w:val="16"/>
          <w:lang w:val="ru-RU"/>
        </w:rPr>
        <w:t> Для банков, имеющих размер собственных средств (капитала), эквивалентный 5 млн. евро и выше.</w:t>
      </w:r>
    </w:p>
    <w:p>
      <w:pPr>
        <w:pStyle w:val="Style15"/>
        <w:rPr>
          <w:rFonts w:ascii="Arial" w:hAnsi="Arial" w:cs="Arial"/>
          <w:lang w:val="ru-RU"/>
        </w:rPr>
      </w:pPr>
      <w:r>
        <w:rPr>
          <w:rFonts w:cs="Arial" w:ascii="Arial" w:hAnsi="Arial"/>
          <w:sz w:val="16"/>
          <w:lang w:val="ru-RU"/>
        </w:rPr>
      </w:r>
      <w:r>
        <w:br w:type="page"/>
      </w:r>
    </w:p>
    <w:p>
      <w:pPr>
        <w:pStyle w:val="MainText-BezOtstupa1"/>
        <w:keepNext w:val="true"/>
        <w:keepLines/>
        <w:jc w:val="end"/>
        <w:rPr>
          <w:rFonts w:ascii="Arial" w:hAnsi="Arial" w:cs="Arial"/>
          <w:color w:val="000000"/>
        </w:rPr>
      </w:pPr>
      <w:r>
        <w:rPr>
          <w:rFonts w:cs="Arial" w:ascii="Arial" w:hAnsi="Arial"/>
          <w:b/>
          <w:color w:val="000000"/>
        </w:rPr>
        <w:t>Приложение 2</w:t>
      </w:r>
      <w:r>
        <w:rPr>
          <w:rFonts w:cs="Arial" w:ascii="Arial" w:hAnsi="Arial"/>
          <w:color w:val="000000"/>
        </w:rPr>
        <w:br/>
        <w:t xml:space="preserve"> к Указанию Банка России</w:t>
        <w:br/>
        <w:t xml:space="preserve"> от 30 апреля 2008 г. № 2005-У</w:t>
        <w:br/>
        <w:t xml:space="preserve"> “Об оценке экономического положения банков”</w:t>
      </w:r>
    </w:p>
    <w:p>
      <w:pPr>
        <w:pStyle w:val="MZagolvok-Center"/>
        <w:spacing w:before="120" w:after="120"/>
        <w:rPr>
          <w:rFonts w:ascii="Arial" w:hAnsi="Arial" w:cs="Arial"/>
        </w:rPr>
      </w:pPr>
      <w:r>
        <w:rPr/>
        <w:t>Балльная и весовая оценки показателей группы показателей оценки активов</w:t>
      </w:r>
    </w:p>
    <w:tbl>
      <w:tblPr>
        <w:tblW w:w="10422" w:type="dxa"/>
        <w:jc w:val="center"/>
        <w:tblInd w:w="0" w:type="dxa"/>
        <w:tblLayout w:type="fixed"/>
        <w:tblCellMar>
          <w:top w:w="0" w:type="dxa"/>
          <w:start w:w="108" w:type="dxa"/>
          <w:bottom w:w="0" w:type="dxa"/>
          <w:end w:w="108" w:type="dxa"/>
        </w:tblCellMar>
      </w:tblPr>
      <w:tblGrid>
        <w:gridCol w:w="532"/>
        <w:gridCol w:w="3121"/>
        <w:gridCol w:w="1333"/>
        <w:gridCol w:w="1087"/>
        <w:gridCol w:w="1266"/>
        <w:gridCol w:w="1240"/>
        <w:gridCol w:w="1206"/>
        <w:gridCol w:w="637"/>
      </w:tblGrid>
      <w:tr>
        <w:trPr>
          <w:tblHeader w:val="true"/>
          <w:cantSplit/>
        </w:trPr>
        <w:tc>
          <w:tcPr>
            <w:tcW w:w="532"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w:t>
            </w:r>
          </w:p>
        </w:tc>
        <w:tc>
          <w:tcPr>
            <w:tcW w:w="3121"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Наименование показателя</w:t>
            </w:r>
          </w:p>
        </w:tc>
        <w:tc>
          <w:tcPr>
            <w:tcW w:w="1333"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Условное</w:t>
            </w:r>
          </w:p>
        </w:tc>
        <w:tc>
          <w:tcPr>
            <w:tcW w:w="4799" w:type="dxa"/>
            <w:gridSpan w:val="4"/>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Значения (%)</w:t>
            </w:r>
          </w:p>
        </w:tc>
        <w:tc>
          <w:tcPr>
            <w:tcW w:w="637"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Вес</w:t>
            </w:r>
          </w:p>
        </w:tc>
      </w:tr>
      <w:tr>
        <w:trPr>
          <w:tblHeader w:val="true"/>
          <w:cantSplit/>
        </w:trPr>
        <w:tc>
          <w:tcPr>
            <w:tcW w:w="532" w:type="dxa"/>
            <w:tcBorders>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п/п</w:t>
            </w:r>
          </w:p>
        </w:tc>
        <w:tc>
          <w:tcPr>
            <w:tcW w:w="3121" w:type="dxa"/>
            <w:tcBorders>
              <w:start w:val="single" w:sz="6" w:space="0" w:color="000000"/>
              <w:bottom w:val="single" w:sz="6" w:space="0" w:color="000000"/>
              <w:end w:val="single" w:sz="6" w:space="0" w:color="000000"/>
            </w:tcBorders>
          </w:tcPr>
          <w:p>
            <w:pPr>
              <w:pStyle w:val="Style15"/>
              <w:keepNext w:val="true"/>
              <w:snapToGrid w:val="false"/>
              <w:ind w:hanging="0" w:end="0"/>
              <w:jc w:val="center"/>
              <w:rPr>
                <w:rFonts w:ascii="Arial" w:hAnsi="Arial" w:cs="Arial"/>
                <w:color w:val="000000"/>
                <w:sz w:val="16"/>
                <w:lang w:val="ru-RU"/>
              </w:rPr>
            </w:pPr>
            <w:r>
              <w:rPr>
                <w:rFonts w:cs="Arial" w:ascii="Arial" w:hAnsi="Arial"/>
                <w:color w:val="000000"/>
                <w:sz w:val="16"/>
                <w:lang w:val="ru-RU"/>
              </w:rPr>
            </w:r>
          </w:p>
        </w:tc>
        <w:tc>
          <w:tcPr>
            <w:tcW w:w="1333" w:type="dxa"/>
            <w:tcBorders>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обозначение</w:t>
            </w:r>
          </w:p>
        </w:tc>
        <w:tc>
          <w:tcPr>
            <w:tcW w:w="1087"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1 балл</w:t>
            </w:r>
          </w:p>
        </w:tc>
        <w:tc>
          <w:tcPr>
            <w:tcW w:w="1266"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2 балла</w:t>
            </w:r>
          </w:p>
        </w:tc>
        <w:tc>
          <w:tcPr>
            <w:tcW w:w="1240"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3 балла</w:t>
            </w:r>
          </w:p>
        </w:tc>
        <w:tc>
          <w:tcPr>
            <w:tcW w:w="1206"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4 балла</w:t>
            </w:r>
          </w:p>
        </w:tc>
        <w:tc>
          <w:tcPr>
            <w:tcW w:w="637" w:type="dxa"/>
            <w:tcBorders>
              <w:start w:val="single" w:sz="6" w:space="0" w:color="000000"/>
              <w:bottom w:val="single" w:sz="6" w:space="0" w:color="000000"/>
              <w:end w:val="single" w:sz="6" w:space="0" w:color="000000"/>
            </w:tcBorders>
          </w:tcPr>
          <w:p>
            <w:pPr>
              <w:pStyle w:val="Style15"/>
              <w:keepNext w:val="true"/>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tblHeader w:val="true"/>
          <w:cantSplit/>
        </w:trPr>
        <w:tc>
          <w:tcPr>
            <w:tcW w:w="532"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1</w:t>
            </w:r>
          </w:p>
        </w:tc>
        <w:tc>
          <w:tcPr>
            <w:tcW w:w="3121"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2</w:t>
            </w:r>
          </w:p>
        </w:tc>
        <w:tc>
          <w:tcPr>
            <w:tcW w:w="1333"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3</w:t>
            </w:r>
          </w:p>
        </w:tc>
        <w:tc>
          <w:tcPr>
            <w:tcW w:w="1087"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4</w:t>
            </w:r>
          </w:p>
        </w:tc>
        <w:tc>
          <w:tcPr>
            <w:tcW w:w="1266"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5</w:t>
            </w:r>
          </w:p>
        </w:tc>
        <w:tc>
          <w:tcPr>
            <w:tcW w:w="1240"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6</w:t>
            </w:r>
          </w:p>
        </w:tc>
        <w:tc>
          <w:tcPr>
            <w:tcW w:w="1206"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7</w:t>
            </w:r>
          </w:p>
        </w:tc>
        <w:tc>
          <w:tcPr>
            <w:tcW w:w="637"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8</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качества ссуд</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ПА1</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a3"/>
            </w:r>
            <w:r>
              <w:rPr>
                <w:rFonts w:cs="Arial" w:ascii="Arial" w:hAnsi="Arial"/>
                <w:color w:val="000000"/>
                <w:sz w:val="16"/>
                <w:lang w:val="ru-RU"/>
              </w:rPr>
              <w:t xml:space="preserve"> </w:t>
            </w:r>
            <w:r>
              <w:rPr>
                <w:rFonts w:cs="Arial" w:ascii="Arial" w:hAnsi="Arial"/>
                <w:color w:val="000000"/>
                <w:sz w:val="16"/>
                <w:lang w:val="ru-RU"/>
              </w:rPr>
              <w:t>4</w:t>
            </w:r>
          </w:p>
        </w:tc>
        <w:tc>
          <w:tcPr>
            <w:tcW w:w="126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4 и </w:t>
            </w:r>
            <w:r>
              <w:rPr>
                <w:rFonts w:cs="Symbol" w:ascii="Symbol" w:hAnsi="Symbol"/>
                <w:color w:val="000000"/>
                <w:sz w:val="16"/>
                <w:lang w:val="ru-RU"/>
              </w:rPr>
              <w:sym w:font="Symbol" w:char="f0a3"/>
            </w:r>
            <w:r>
              <w:rPr>
                <w:rFonts w:cs="Arial" w:ascii="Arial" w:hAnsi="Arial"/>
                <w:color w:val="000000"/>
                <w:sz w:val="16"/>
                <w:lang w:val="ru-RU"/>
              </w:rPr>
              <w:t xml:space="preserve"> 12</w:t>
            </w:r>
          </w:p>
        </w:tc>
        <w:tc>
          <w:tcPr>
            <w:tcW w:w="124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12 и </w:t>
            </w:r>
            <w:r>
              <w:rPr>
                <w:rFonts w:cs="Symbol" w:ascii="Symbol" w:hAnsi="Symbol"/>
                <w:color w:val="000000"/>
                <w:sz w:val="16"/>
                <w:lang w:val="ru-RU"/>
              </w:rPr>
              <w:sym w:font="Symbol" w:char="f0a3"/>
            </w:r>
            <w:r>
              <w:rPr>
                <w:rFonts w:cs="Arial" w:ascii="Arial" w:hAnsi="Arial"/>
                <w:color w:val="000000"/>
                <w:sz w:val="16"/>
                <w:lang w:val="ru-RU"/>
              </w:rPr>
              <w:t xml:space="preserve"> 20</w:t>
            </w:r>
          </w:p>
        </w:tc>
        <w:tc>
          <w:tcPr>
            <w:tcW w:w="120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&gt; 20</w:t>
            </w:r>
          </w:p>
        </w:tc>
        <w:tc>
          <w:tcPr>
            <w:tcW w:w="6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риска потерь</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ПА2</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a3"/>
            </w:r>
            <w:r>
              <w:rPr>
                <w:rFonts w:cs="Arial" w:ascii="Arial" w:hAnsi="Arial"/>
                <w:color w:val="000000"/>
                <w:sz w:val="16"/>
                <w:lang w:val="ru-RU"/>
              </w:rPr>
              <w:t xml:space="preserve"> </w:t>
            </w:r>
            <w:r>
              <w:rPr>
                <w:rFonts w:cs="Arial" w:ascii="Arial" w:hAnsi="Arial"/>
                <w:color w:val="000000"/>
                <w:sz w:val="16"/>
                <w:lang w:val="ru-RU"/>
              </w:rPr>
              <w:t>4</w:t>
            </w:r>
          </w:p>
        </w:tc>
        <w:tc>
          <w:tcPr>
            <w:tcW w:w="126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4 и </w:t>
            </w:r>
            <w:r>
              <w:rPr>
                <w:rFonts w:cs="Symbol" w:ascii="Symbol" w:hAnsi="Symbol"/>
                <w:color w:val="000000"/>
                <w:sz w:val="16"/>
                <w:lang w:val="ru-RU"/>
              </w:rPr>
              <w:sym w:font="Symbol" w:char="f0a3"/>
            </w:r>
            <w:r>
              <w:rPr>
                <w:rFonts w:cs="Arial" w:ascii="Arial" w:hAnsi="Arial"/>
                <w:color w:val="000000"/>
                <w:sz w:val="16"/>
                <w:lang w:val="ru-RU"/>
              </w:rPr>
              <w:t xml:space="preserve"> 8</w:t>
            </w:r>
          </w:p>
        </w:tc>
        <w:tc>
          <w:tcPr>
            <w:tcW w:w="124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8 и </w:t>
            </w:r>
            <w:r>
              <w:rPr>
                <w:rFonts w:cs="Symbol" w:ascii="Symbol" w:hAnsi="Symbol"/>
                <w:color w:val="000000"/>
                <w:sz w:val="16"/>
                <w:lang w:val="ru-RU"/>
              </w:rPr>
              <w:sym w:font="Symbol" w:char="f0a3"/>
            </w:r>
            <w:r>
              <w:rPr>
                <w:rFonts w:cs="Arial" w:ascii="Arial" w:hAnsi="Arial"/>
                <w:color w:val="000000"/>
                <w:sz w:val="16"/>
                <w:lang w:val="ru-RU"/>
              </w:rPr>
              <w:t xml:space="preserve"> 15</w:t>
            </w:r>
          </w:p>
        </w:tc>
        <w:tc>
          <w:tcPr>
            <w:tcW w:w="120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&gt; 15</w:t>
            </w:r>
          </w:p>
        </w:tc>
        <w:tc>
          <w:tcPr>
            <w:tcW w:w="6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доли просроченных ссуд</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ПА3</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a3"/>
            </w:r>
            <w:r>
              <w:rPr>
                <w:rFonts w:cs="Arial" w:ascii="Arial" w:hAnsi="Arial"/>
                <w:color w:val="000000"/>
                <w:sz w:val="16"/>
                <w:lang w:val="ru-RU"/>
              </w:rPr>
              <w:t xml:space="preserve"> </w:t>
            </w:r>
            <w:r>
              <w:rPr>
                <w:rFonts w:cs="Arial" w:ascii="Arial" w:hAnsi="Arial"/>
                <w:color w:val="000000"/>
                <w:sz w:val="16"/>
                <w:lang w:val="ru-RU"/>
              </w:rPr>
              <w:t>4</w:t>
            </w:r>
          </w:p>
        </w:tc>
        <w:tc>
          <w:tcPr>
            <w:tcW w:w="126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4 и </w:t>
            </w:r>
            <w:r>
              <w:rPr>
                <w:rFonts w:cs="Symbol" w:ascii="Symbol" w:hAnsi="Symbol"/>
                <w:color w:val="000000"/>
                <w:sz w:val="16"/>
                <w:lang w:val="ru-RU"/>
              </w:rPr>
              <w:sym w:font="Symbol" w:char="f0a3"/>
            </w:r>
            <w:r>
              <w:rPr>
                <w:rFonts w:cs="Arial" w:ascii="Arial" w:hAnsi="Arial"/>
                <w:color w:val="000000"/>
                <w:sz w:val="16"/>
                <w:lang w:val="ru-RU"/>
              </w:rPr>
              <w:t xml:space="preserve"> 8</w:t>
            </w:r>
          </w:p>
        </w:tc>
        <w:tc>
          <w:tcPr>
            <w:tcW w:w="124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8 и </w:t>
            </w:r>
            <w:r>
              <w:rPr>
                <w:rFonts w:cs="Symbol" w:ascii="Symbol" w:hAnsi="Symbol"/>
                <w:color w:val="000000"/>
                <w:sz w:val="16"/>
                <w:lang w:val="ru-RU"/>
              </w:rPr>
              <w:sym w:font="Symbol" w:char="f0a3"/>
            </w:r>
            <w:r>
              <w:rPr>
                <w:rFonts w:cs="Arial" w:ascii="Arial" w:hAnsi="Arial"/>
                <w:color w:val="000000"/>
                <w:sz w:val="16"/>
                <w:lang w:val="ru-RU"/>
              </w:rPr>
              <w:t xml:space="preserve"> 18</w:t>
            </w:r>
          </w:p>
        </w:tc>
        <w:tc>
          <w:tcPr>
            <w:tcW w:w="120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&gt; 18</w:t>
            </w:r>
          </w:p>
        </w:tc>
        <w:tc>
          <w:tcPr>
            <w:tcW w:w="6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4</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размера резервов на потери по ссудам и иным активам</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ПА4</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a3"/>
            </w:r>
            <w:r>
              <w:rPr>
                <w:rFonts w:cs="Arial" w:ascii="Arial" w:hAnsi="Arial"/>
                <w:color w:val="000000"/>
                <w:sz w:val="16"/>
                <w:lang w:val="ru-RU"/>
              </w:rPr>
              <w:t xml:space="preserve"> </w:t>
            </w:r>
            <w:r>
              <w:rPr>
                <w:rFonts w:cs="Arial" w:ascii="Arial" w:hAnsi="Arial"/>
                <w:color w:val="000000"/>
                <w:sz w:val="16"/>
                <w:lang w:val="ru-RU"/>
              </w:rPr>
              <w:t>10</w:t>
            </w:r>
          </w:p>
        </w:tc>
        <w:tc>
          <w:tcPr>
            <w:tcW w:w="126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10 и </w:t>
            </w:r>
            <w:r>
              <w:rPr>
                <w:rFonts w:cs="Symbol" w:ascii="Symbol" w:hAnsi="Symbol"/>
                <w:color w:val="000000"/>
                <w:sz w:val="16"/>
                <w:lang w:val="ru-RU"/>
              </w:rPr>
              <w:sym w:font="Symbol" w:char="f0a3"/>
            </w:r>
            <w:r>
              <w:rPr>
                <w:rFonts w:cs="Arial" w:ascii="Arial" w:hAnsi="Arial"/>
                <w:color w:val="000000"/>
                <w:sz w:val="16"/>
                <w:lang w:val="ru-RU"/>
              </w:rPr>
              <w:t xml:space="preserve"> 15</w:t>
            </w:r>
          </w:p>
        </w:tc>
        <w:tc>
          <w:tcPr>
            <w:tcW w:w="124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15 и </w:t>
            </w:r>
            <w:r>
              <w:rPr>
                <w:rFonts w:cs="Symbol" w:ascii="Symbol" w:hAnsi="Symbol"/>
                <w:color w:val="000000"/>
                <w:sz w:val="16"/>
                <w:lang w:val="ru-RU"/>
              </w:rPr>
              <w:sym w:font="Symbol" w:char="f0a3"/>
            </w:r>
            <w:r>
              <w:rPr>
                <w:rFonts w:cs="Arial" w:ascii="Arial" w:hAnsi="Arial"/>
                <w:color w:val="000000"/>
                <w:sz w:val="16"/>
                <w:lang w:val="ru-RU"/>
              </w:rPr>
              <w:t xml:space="preserve"> 25</w:t>
            </w:r>
          </w:p>
        </w:tc>
        <w:tc>
          <w:tcPr>
            <w:tcW w:w="120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&gt; 25</w:t>
            </w:r>
          </w:p>
        </w:tc>
        <w:tc>
          <w:tcPr>
            <w:tcW w:w="6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5</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концентрации крупных кредитных рисков</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ПА5</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a3"/>
            </w:r>
            <w:r>
              <w:rPr>
                <w:rFonts w:cs="Arial" w:ascii="Arial" w:hAnsi="Arial"/>
                <w:color w:val="000000"/>
                <w:sz w:val="16"/>
                <w:lang w:val="ru-RU"/>
              </w:rPr>
              <w:t xml:space="preserve"> </w:t>
            </w:r>
            <w:r>
              <w:rPr>
                <w:rFonts w:cs="Arial" w:ascii="Arial" w:hAnsi="Arial"/>
                <w:color w:val="000000"/>
                <w:sz w:val="16"/>
                <w:lang w:val="ru-RU"/>
              </w:rPr>
              <w:t>200</w:t>
            </w:r>
          </w:p>
        </w:tc>
        <w:tc>
          <w:tcPr>
            <w:tcW w:w="126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200 и </w:t>
            </w:r>
            <w:r>
              <w:rPr>
                <w:rFonts w:cs="Symbol" w:ascii="Symbol" w:hAnsi="Symbol"/>
                <w:color w:val="000000"/>
                <w:sz w:val="16"/>
                <w:lang w:val="ru-RU"/>
              </w:rPr>
              <w:sym w:font="Symbol" w:char="f0a3"/>
            </w:r>
            <w:r>
              <w:rPr>
                <w:rFonts w:cs="Arial" w:ascii="Arial" w:hAnsi="Arial"/>
                <w:color w:val="000000"/>
                <w:sz w:val="16"/>
                <w:lang w:val="ru-RU"/>
              </w:rPr>
              <w:t xml:space="preserve"> 500</w:t>
            </w:r>
          </w:p>
        </w:tc>
        <w:tc>
          <w:tcPr>
            <w:tcW w:w="124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500 и </w:t>
            </w:r>
            <w:r>
              <w:rPr>
                <w:rFonts w:cs="Symbol" w:ascii="Symbol" w:hAnsi="Symbol"/>
                <w:color w:val="000000"/>
                <w:sz w:val="16"/>
                <w:lang w:val="ru-RU"/>
              </w:rPr>
              <w:sym w:font="Symbol" w:char="f0a3"/>
            </w:r>
            <w:r>
              <w:rPr>
                <w:rFonts w:cs="Arial" w:ascii="Arial" w:hAnsi="Arial"/>
                <w:color w:val="000000"/>
                <w:sz w:val="16"/>
                <w:lang w:val="ru-RU"/>
              </w:rPr>
              <w:t xml:space="preserve"> 750</w:t>
            </w:r>
          </w:p>
        </w:tc>
        <w:tc>
          <w:tcPr>
            <w:tcW w:w="120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&gt; 750</w:t>
            </w:r>
          </w:p>
        </w:tc>
        <w:tc>
          <w:tcPr>
            <w:tcW w:w="6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6</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концентрации кредитных рисков на акционеров (участников)</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ПА6</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a3"/>
            </w:r>
            <w:r>
              <w:rPr>
                <w:rFonts w:cs="Arial" w:ascii="Arial" w:hAnsi="Arial"/>
                <w:color w:val="000000"/>
                <w:sz w:val="16"/>
                <w:lang w:val="ru-RU"/>
              </w:rPr>
              <w:t xml:space="preserve"> </w:t>
            </w:r>
            <w:r>
              <w:rPr>
                <w:rFonts w:cs="Arial" w:ascii="Arial" w:hAnsi="Arial"/>
                <w:color w:val="000000"/>
                <w:sz w:val="16"/>
                <w:lang w:val="ru-RU"/>
              </w:rPr>
              <w:t>20</w:t>
            </w:r>
          </w:p>
        </w:tc>
        <w:tc>
          <w:tcPr>
            <w:tcW w:w="126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20 и </w:t>
            </w:r>
            <w:r>
              <w:rPr>
                <w:rFonts w:cs="Symbol" w:ascii="Symbol" w:hAnsi="Symbol"/>
                <w:color w:val="000000"/>
                <w:sz w:val="16"/>
                <w:lang w:val="ru-RU"/>
              </w:rPr>
              <w:sym w:font="Symbol" w:char="f0a3"/>
            </w:r>
            <w:r>
              <w:rPr>
                <w:rFonts w:cs="Arial" w:ascii="Arial" w:hAnsi="Arial"/>
                <w:color w:val="000000"/>
                <w:sz w:val="16"/>
                <w:lang w:val="ru-RU"/>
              </w:rPr>
              <w:t xml:space="preserve"> 35</w:t>
            </w:r>
          </w:p>
        </w:tc>
        <w:tc>
          <w:tcPr>
            <w:tcW w:w="124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35 и </w:t>
            </w:r>
            <w:r>
              <w:rPr>
                <w:rFonts w:cs="Symbol" w:ascii="Symbol" w:hAnsi="Symbol"/>
                <w:color w:val="000000"/>
                <w:sz w:val="16"/>
                <w:lang w:val="ru-RU"/>
              </w:rPr>
              <w:sym w:font="Symbol" w:char="f0a3"/>
            </w:r>
            <w:r>
              <w:rPr>
                <w:rFonts w:cs="Arial" w:ascii="Arial" w:hAnsi="Arial"/>
                <w:color w:val="000000"/>
                <w:sz w:val="16"/>
                <w:lang w:val="ru-RU"/>
              </w:rPr>
              <w:t xml:space="preserve"> 45</w:t>
            </w:r>
          </w:p>
        </w:tc>
        <w:tc>
          <w:tcPr>
            <w:tcW w:w="120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&gt; 45</w:t>
            </w:r>
          </w:p>
        </w:tc>
        <w:tc>
          <w:tcPr>
            <w:tcW w:w="6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7</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концентрации кредитных рисков на инсайдеров</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ПА7</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a3"/>
            </w:r>
            <w:r>
              <w:rPr>
                <w:rFonts w:cs="Arial" w:ascii="Arial" w:hAnsi="Arial"/>
                <w:color w:val="000000"/>
                <w:sz w:val="16"/>
                <w:lang w:val="ru-RU"/>
              </w:rPr>
              <w:t xml:space="preserve"> </w:t>
            </w:r>
            <w:r>
              <w:rPr>
                <w:rFonts w:cs="Arial" w:ascii="Arial" w:hAnsi="Arial"/>
                <w:color w:val="000000"/>
                <w:sz w:val="16"/>
                <w:lang w:val="ru-RU"/>
              </w:rPr>
              <w:t>0,9</w:t>
            </w:r>
          </w:p>
        </w:tc>
        <w:tc>
          <w:tcPr>
            <w:tcW w:w="126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0,9 и </w:t>
            </w:r>
            <w:r>
              <w:rPr>
                <w:rFonts w:cs="Symbol" w:ascii="Symbol" w:hAnsi="Symbol"/>
                <w:color w:val="000000"/>
                <w:sz w:val="16"/>
                <w:lang w:val="ru-RU"/>
              </w:rPr>
              <w:sym w:font="Symbol" w:char="f0a3"/>
            </w:r>
            <w:r>
              <w:rPr>
                <w:rFonts w:cs="Arial" w:ascii="Arial" w:hAnsi="Arial"/>
                <w:color w:val="000000"/>
                <w:sz w:val="16"/>
                <w:lang w:val="ru-RU"/>
              </w:rPr>
              <w:t xml:space="preserve"> 1,8</w:t>
            </w:r>
          </w:p>
        </w:tc>
        <w:tc>
          <w:tcPr>
            <w:tcW w:w="124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1,8 и </w:t>
            </w:r>
            <w:r>
              <w:rPr>
                <w:rFonts w:cs="Symbol" w:ascii="Symbol" w:hAnsi="Symbol"/>
                <w:color w:val="000000"/>
                <w:sz w:val="16"/>
                <w:lang w:val="ru-RU"/>
              </w:rPr>
              <w:sym w:font="Symbol" w:char="f0a3"/>
            </w:r>
            <w:r>
              <w:rPr>
                <w:rFonts w:cs="Arial" w:ascii="Arial" w:hAnsi="Arial"/>
                <w:color w:val="000000"/>
                <w:sz w:val="16"/>
                <w:lang w:val="ru-RU"/>
              </w:rPr>
              <w:t xml:space="preserve"> 2,7</w:t>
            </w:r>
          </w:p>
        </w:tc>
        <w:tc>
          <w:tcPr>
            <w:tcW w:w="120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&gt; 2,7</w:t>
            </w:r>
          </w:p>
        </w:tc>
        <w:tc>
          <w:tcPr>
            <w:tcW w:w="6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r>
    </w:tbl>
    <w:p>
      <w:pPr>
        <w:pStyle w:val="Style15"/>
        <w:rPr>
          <w:rFonts w:ascii="Arial" w:hAnsi="Arial" w:cs="Arial"/>
          <w:lang w:val="ru-RU"/>
        </w:rPr>
      </w:pPr>
      <w:r>
        <w:rPr>
          <w:rFonts w:cs="Arial" w:ascii="Arial" w:hAnsi="Arial"/>
          <w:lang w:val="ru-RU"/>
        </w:rPr>
      </w:r>
      <w:r>
        <w:br w:type="page"/>
      </w:r>
    </w:p>
    <w:p>
      <w:pPr>
        <w:pStyle w:val="MainText-BezOtstupa1"/>
        <w:keepNext w:val="true"/>
        <w:keepLines/>
        <w:jc w:val="end"/>
        <w:rPr>
          <w:rFonts w:ascii="Arial" w:hAnsi="Arial" w:cs="Arial"/>
          <w:color w:val="000000"/>
        </w:rPr>
      </w:pPr>
      <w:r>
        <w:rPr>
          <w:rFonts w:cs="Arial" w:ascii="Arial" w:hAnsi="Arial"/>
          <w:b/>
          <w:color w:val="000000"/>
        </w:rPr>
        <w:t>Приложение 3</w:t>
      </w:r>
      <w:r>
        <w:rPr>
          <w:rFonts w:cs="Arial" w:ascii="Arial" w:hAnsi="Arial"/>
          <w:color w:val="000000"/>
        </w:rPr>
        <w:br/>
        <w:t xml:space="preserve"> к Указанию Банка России</w:t>
        <w:br/>
        <w:t xml:space="preserve"> от 30 апреля 2008 г. № 2005-У</w:t>
        <w:br/>
        <w:t xml:space="preserve"> “Об оценке экономического положения банков”</w:t>
      </w:r>
    </w:p>
    <w:p>
      <w:pPr>
        <w:pStyle w:val="MZagolvok-Center"/>
        <w:spacing w:before="120" w:after="120"/>
        <w:rPr>
          <w:rFonts w:ascii="Arial" w:hAnsi="Arial" w:cs="Arial"/>
        </w:rPr>
      </w:pPr>
      <w:r>
        <w:rPr/>
        <w:t>Балльная и весовая оценки показателей группы показателей оценки доходности</w:t>
      </w:r>
    </w:p>
    <w:tbl>
      <w:tblPr>
        <w:tblW w:w="10422" w:type="dxa"/>
        <w:jc w:val="center"/>
        <w:tblInd w:w="0" w:type="dxa"/>
        <w:tblLayout w:type="fixed"/>
        <w:tblCellMar>
          <w:top w:w="0" w:type="dxa"/>
          <w:start w:w="108" w:type="dxa"/>
          <w:bottom w:w="0" w:type="dxa"/>
          <w:end w:w="108" w:type="dxa"/>
        </w:tblCellMar>
      </w:tblPr>
      <w:tblGrid>
        <w:gridCol w:w="532"/>
        <w:gridCol w:w="3121"/>
        <w:gridCol w:w="1333"/>
        <w:gridCol w:w="1087"/>
        <w:gridCol w:w="1266"/>
        <w:gridCol w:w="1240"/>
        <w:gridCol w:w="1206"/>
        <w:gridCol w:w="637"/>
      </w:tblGrid>
      <w:tr>
        <w:trPr>
          <w:tblHeader w:val="true"/>
          <w:cantSplit/>
        </w:trPr>
        <w:tc>
          <w:tcPr>
            <w:tcW w:w="532"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w:t>
            </w:r>
          </w:p>
        </w:tc>
        <w:tc>
          <w:tcPr>
            <w:tcW w:w="3121"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Наименование показателя</w:t>
            </w:r>
          </w:p>
        </w:tc>
        <w:tc>
          <w:tcPr>
            <w:tcW w:w="1333"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Условное</w:t>
            </w:r>
          </w:p>
        </w:tc>
        <w:tc>
          <w:tcPr>
            <w:tcW w:w="4799" w:type="dxa"/>
            <w:gridSpan w:val="4"/>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Значения (%)</w:t>
            </w:r>
          </w:p>
        </w:tc>
        <w:tc>
          <w:tcPr>
            <w:tcW w:w="637"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Вес</w:t>
            </w:r>
          </w:p>
        </w:tc>
      </w:tr>
      <w:tr>
        <w:trPr>
          <w:tblHeader w:val="true"/>
          <w:cantSplit/>
        </w:trPr>
        <w:tc>
          <w:tcPr>
            <w:tcW w:w="532" w:type="dxa"/>
            <w:tcBorders>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п/п</w:t>
            </w:r>
          </w:p>
        </w:tc>
        <w:tc>
          <w:tcPr>
            <w:tcW w:w="3121" w:type="dxa"/>
            <w:tcBorders>
              <w:start w:val="single" w:sz="6" w:space="0" w:color="000000"/>
              <w:bottom w:val="single" w:sz="6" w:space="0" w:color="000000"/>
              <w:end w:val="single" w:sz="6" w:space="0" w:color="000000"/>
            </w:tcBorders>
          </w:tcPr>
          <w:p>
            <w:pPr>
              <w:pStyle w:val="Style15"/>
              <w:keepNext w:val="true"/>
              <w:snapToGrid w:val="false"/>
              <w:ind w:hanging="0" w:end="0"/>
              <w:jc w:val="center"/>
              <w:rPr>
                <w:rFonts w:ascii="Arial" w:hAnsi="Arial" w:cs="Arial"/>
                <w:color w:val="000000"/>
                <w:sz w:val="16"/>
                <w:lang w:val="ru-RU"/>
              </w:rPr>
            </w:pPr>
            <w:r>
              <w:rPr>
                <w:rFonts w:cs="Arial" w:ascii="Arial" w:hAnsi="Arial"/>
                <w:color w:val="000000"/>
                <w:sz w:val="16"/>
                <w:lang w:val="ru-RU"/>
              </w:rPr>
            </w:r>
          </w:p>
        </w:tc>
        <w:tc>
          <w:tcPr>
            <w:tcW w:w="1333" w:type="dxa"/>
            <w:tcBorders>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обозначение</w:t>
            </w:r>
          </w:p>
        </w:tc>
        <w:tc>
          <w:tcPr>
            <w:tcW w:w="1087"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1 балл</w:t>
            </w:r>
          </w:p>
        </w:tc>
        <w:tc>
          <w:tcPr>
            <w:tcW w:w="1266"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2 балла</w:t>
            </w:r>
          </w:p>
        </w:tc>
        <w:tc>
          <w:tcPr>
            <w:tcW w:w="1240"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3 балла</w:t>
            </w:r>
          </w:p>
        </w:tc>
        <w:tc>
          <w:tcPr>
            <w:tcW w:w="1206"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4 балла</w:t>
            </w:r>
          </w:p>
        </w:tc>
        <w:tc>
          <w:tcPr>
            <w:tcW w:w="637" w:type="dxa"/>
            <w:tcBorders>
              <w:start w:val="single" w:sz="6" w:space="0" w:color="000000"/>
              <w:bottom w:val="single" w:sz="6" w:space="0" w:color="000000"/>
              <w:end w:val="single" w:sz="6" w:space="0" w:color="000000"/>
            </w:tcBorders>
          </w:tcPr>
          <w:p>
            <w:pPr>
              <w:pStyle w:val="Style15"/>
              <w:keepNext w:val="true"/>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tblHeader w:val="true"/>
          <w:cantSplit/>
        </w:trPr>
        <w:tc>
          <w:tcPr>
            <w:tcW w:w="532"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1</w:t>
            </w:r>
          </w:p>
        </w:tc>
        <w:tc>
          <w:tcPr>
            <w:tcW w:w="3121"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2</w:t>
            </w:r>
          </w:p>
        </w:tc>
        <w:tc>
          <w:tcPr>
            <w:tcW w:w="1333"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3</w:t>
            </w:r>
          </w:p>
        </w:tc>
        <w:tc>
          <w:tcPr>
            <w:tcW w:w="1087"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4</w:t>
            </w:r>
          </w:p>
        </w:tc>
        <w:tc>
          <w:tcPr>
            <w:tcW w:w="1266"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5</w:t>
            </w:r>
          </w:p>
        </w:tc>
        <w:tc>
          <w:tcPr>
            <w:tcW w:w="1240"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6</w:t>
            </w:r>
          </w:p>
        </w:tc>
        <w:tc>
          <w:tcPr>
            <w:tcW w:w="1206"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7</w:t>
            </w:r>
          </w:p>
        </w:tc>
        <w:tc>
          <w:tcPr>
            <w:tcW w:w="637"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8</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прибыльности активов</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ПД1</w:t>
            </w:r>
            <w:r>
              <w:rPr>
                <w:rFonts w:cs="Arial" w:ascii="Arial" w:hAnsi="Arial"/>
                <w:color w:val="000000"/>
                <w:sz w:val="16"/>
                <w:vertAlign w:val="subscript"/>
                <w:lang w:val="ru-RU"/>
              </w:rPr>
              <w:t>0</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b3"/>
            </w:r>
            <w:r>
              <w:rPr>
                <w:rFonts w:cs="Arial" w:ascii="Arial" w:hAnsi="Arial"/>
                <w:color w:val="000000"/>
                <w:sz w:val="16"/>
                <w:lang w:val="ru-RU"/>
              </w:rPr>
              <w:t xml:space="preserve"> </w:t>
            </w:r>
            <w:r>
              <w:rPr>
                <w:rFonts w:cs="Arial" w:ascii="Arial" w:hAnsi="Arial"/>
                <w:color w:val="000000"/>
                <w:sz w:val="16"/>
                <w:lang w:val="ru-RU"/>
              </w:rPr>
              <w:t>1,4</w:t>
            </w:r>
          </w:p>
        </w:tc>
        <w:tc>
          <w:tcPr>
            <w:tcW w:w="126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1,4 и </w:t>
            </w:r>
            <w:r>
              <w:rPr>
                <w:rFonts w:cs="Symbol" w:ascii="Symbol" w:hAnsi="Symbol"/>
                <w:color w:val="000000"/>
                <w:sz w:val="16"/>
                <w:lang w:val="ru-RU"/>
              </w:rPr>
              <w:sym w:font="Symbol" w:char="f0b3"/>
            </w:r>
            <w:r>
              <w:rPr>
                <w:rFonts w:cs="Arial" w:ascii="Arial" w:hAnsi="Arial"/>
                <w:color w:val="000000"/>
                <w:sz w:val="16"/>
                <w:lang w:val="ru-RU"/>
              </w:rPr>
              <w:t xml:space="preserve"> 0,7</w:t>
            </w:r>
          </w:p>
        </w:tc>
        <w:tc>
          <w:tcPr>
            <w:tcW w:w="124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0,7 и </w:t>
            </w:r>
            <w:r>
              <w:rPr>
                <w:rFonts w:cs="Symbol" w:ascii="Symbol" w:hAnsi="Symbol"/>
                <w:color w:val="000000"/>
                <w:sz w:val="16"/>
                <w:lang w:val="ru-RU"/>
              </w:rPr>
              <w:sym w:font="Symbol" w:char="f0b3"/>
            </w:r>
            <w:r>
              <w:rPr>
                <w:rFonts w:cs="Arial" w:ascii="Arial" w:hAnsi="Arial"/>
                <w:color w:val="000000"/>
                <w:sz w:val="16"/>
                <w:lang w:val="ru-RU"/>
              </w:rPr>
              <w:t xml:space="preserve"> 0</w:t>
            </w:r>
          </w:p>
        </w:tc>
        <w:tc>
          <w:tcPr>
            <w:tcW w:w="120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&lt; 0</w:t>
            </w:r>
          </w:p>
        </w:tc>
        <w:tc>
          <w:tcPr>
            <w:tcW w:w="6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прибыльности капитала</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ПД2</w:t>
            </w:r>
            <w:r>
              <w:rPr>
                <w:rFonts w:cs="Arial" w:ascii="Arial" w:hAnsi="Arial"/>
                <w:color w:val="000000"/>
                <w:sz w:val="16"/>
                <w:vertAlign w:val="subscript"/>
                <w:lang w:val="ru-RU"/>
              </w:rPr>
              <w:t>0</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b3"/>
            </w:r>
            <w:r>
              <w:rPr>
                <w:rFonts w:cs="Arial" w:ascii="Arial" w:hAnsi="Arial"/>
                <w:color w:val="000000"/>
                <w:sz w:val="16"/>
                <w:lang w:val="ru-RU"/>
              </w:rPr>
              <w:t xml:space="preserve"> </w:t>
            </w:r>
            <w:r>
              <w:rPr>
                <w:rFonts w:cs="Arial" w:ascii="Arial" w:hAnsi="Arial"/>
                <w:color w:val="000000"/>
                <w:sz w:val="16"/>
                <w:lang w:val="ru-RU"/>
              </w:rPr>
              <w:t>4</w:t>
            </w:r>
          </w:p>
        </w:tc>
        <w:tc>
          <w:tcPr>
            <w:tcW w:w="126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4 и </w:t>
            </w:r>
            <w:r>
              <w:rPr>
                <w:rFonts w:cs="Symbol" w:ascii="Symbol" w:hAnsi="Symbol"/>
                <w:color w:val="000000"/>
                <w:sz w:val="16"/>
                <w:lang w:val="ru-RU"/>
              </w:rPr>
              <w:sym w:font="Symbol" w:char="f0b3"/>
            </w:r>
            <w:r>
              <w:rPr>
                <w:rFonts w:cs="Arial" w:ascii="Arial" w:hAnsi="Arial"/>
                <w:color w:val="000000"/>
                <w:sz w:val="16"/>
                <w:lang w:val="ru-RU"/>
              </w:rPr>
              <w:t xml:space="preserve"> 1</w:t>
            </w:r>
          </w:p>
        </w:tc>
        <w:tc>
          <w:tcPr>
            <w:tcW w:w="124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1 и </w:t>
            </w:r>
            <w:r>
              <w:rPr>
                <w:rFonts w:cs="Symbol" w:ascii="Symbol" w:hAnsi="Symbol"/>
                <w:color w:val="000000"/>
                <w:sz w:val="16"/>
                <w:lang w:val="ru-RU"/>
              </w:rPr>
              <w:sym w:font="Symbol" w:char="f0b3"/>
            </w:r>
            <w:r>
              <w:rPr>
                <w:rFonts w:cs="Arial" w:ascii="Arial" w:hAnsi="Arial"/>
                <w:color w:val="000000"/>
                <w:sz w:val="16"/>
                <w:lang w:val="ru-RU"/>
              </w:rPr>
              <w:t xml:space="preserve"> 0</w:t>
            </w:r>
          </w:p>
        </w:tc>
        <w:tc>
          <w:tcPr>
            <w:tcW w:w="120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&lt; 0</w:t>
            </w:r>
          </w:p>
        </w:tc>
        <w:tc>
          <w:tcPr>
            <w:tcW w:w="6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структуры расходов</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ПД4</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a3"/>
            </w:r>
            <w:r>
              <w:rPr>
                <w:rFonts w:cs="Arial" w:ascii="Arial" w:hAnsi="Arial"/>
                <w:color w:val="000000"/>
                <w:sz w:val="16"/>
                <w:lang w:val="ru-RU"/>
              </w:rPr>
              <w:t xml:space="preserve"> </w:t>
            </w:r>
            <w:r>
              <w:rPr>
                <w:rFonts w:cs="Arial" w:ascii="Arial" w:hAnsi="Arial"/>
                <w:color w:val="000000"/>
                <w:sz w:val="16"/>
                <w:lang w:val="ru-RU"/>
              </w:rPr>
              <w:t>60</w:t>
            </w:r>
          </w:p>
        </w:tc>
        <w:tc>
          <w:tcPr>
            <w:tcW w:w="126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60 и </w:t>
            </w:r>
            <w:r>
              <w:rPr>
                <w:rFonts w:cs="Symbol" w:ascii="Symbol" w:hAnsi="Symbol"/>
                <w:color w:val="000000"/>
                <w:sz w:val="16"/>
                <w:lang w:val="ru-RU"/>
              </w:rPr>
              <w:sym w:font="Symbol" w:char="f0a3"/>
            </w:r>
            <w:r>
              <w:rPr>
                <w:rFonts w:cs="Arial" w:ascii="Arial" w:hAnsi="Arial"/>
                <w:color w:val="000000"/>
                <w:sz w:val="16"/>
                <w:lang w:val="ru-RU"/>
              </w:rPr>
              <w:t xml:space="preserve"> 85</w:t>
            </w:r>
          </w:p>
        </w:tc>
        <w:tc>
          <w:tcPr>
            <w:tcW w:w="124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85 и </w:t>
            </w:r>
            <w:r>
              <w:rPr>
                <w:rFonts w:cs="Symbol" w:ascii="Symbol" w:hAnsi="Symbol"/>
                <w:color w:val="000000"/>
                <w:sz w:val="16"/>
                <w:lang w:val="ru-RU"/>
              </w:rPr>
              <w:sym w:font="Symbol" w:char="f0a3"/>
            </w:r>
            <w:r>
              <w:rPr>
                <w:rFonts w:cs="Arial" w:ascii="Arial" w:hAnsi="Arial"/>
                <w:color w:val="000000"/>
                <w:sz w:val="16"/>
                <w:lang w:val="ru-RU"/>
              </w:rPr>
              <w:t xml:space="preserve"> 100</w:t>
            </w:r>
          </w:p>
        </w:tc>
        <w:tc>
          <w:tcPr>
            <w:tcW w:w="120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&gt; 100</w:t>
            </w:r>
          </w:p>
        </w:tc>
        <w:tc>
          <w:tcPr>
            <w:tcW w:w="6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4</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чистой процентной маржи</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ПД5</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b3"/>
            </w:r>
            <w:r>
              <w:rPr>
                <w:rFonts w:cs="Arial" w:ascii="Arial" w:hAnsi="Arial"/>
                <w:color w:val="000000"/>
                <w:sz w:val="16"/>
                <w:lang w:val="ru-RU"/>
              </w:rPr>
              <w:t xml:space="preserve"> </w:t>
            </w:r>
            <w:r>
              <w:rPr>
                <w:rFonts w:cs="Arial" w:ascii="Arial" w:hAnsi="Arial"/>
                <w:color w:val="000000"/>
                <w:sz w:val="16"/>
                <w:lang w:val="ru-RU"/>
              </w:rPr>
              <w:t>5</w:t>
            </w:r>
          </w:p>
        </w:tc>
        <w:tc>
          <w:tcPr>
            <w:tcW w:w="126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5 и </w:t>
            </w:r>
            <w:r>
              <w:rPr>
                <w:rFonts w:cs="Symbol" w:ascii="Symbol" w:hAnsi="Symbol"/>
                <w:color w:val="000000"/>
                <w:sz w:val="16"/>
                <w:lang w:val="ru-RU"/>
              </w:rPr>
              <w:sym w:font="Symbol" w:char="f0b3"/>
            </w:r>
            <w:r>
              <w:rPr>
                <w:rFonts w:cs="Arial" w:ascii="Arial" w:hAnsi="Arial"/>
                <w:color w:val="000000"/>
                <w:sz w:val="16"/>
                <w:lang w:val="ru-RU"/>
              </w:rPr>
              <w:t xml:space="preserve"> 3</w:t>
            </w:r>
          </w:p>
        </w:tc>
        <w:tc>
          <w:tcPr>
            <w:tcW w:w="124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3 и </w:t>
            </w:r>
            <w:r>
              <w:rPr>
                <w:rFonts w:cs="Symbol" w:ascii="Symbol" w:hAnsi="Symbol"/>
                <w:color w:val="000000"/>
                <w:sz w:val="16"/>
                <w:lang w:val="ru-RU"/>
              </w:rPr>
              <w:sym w:font="Symbol" w:char="f0b3"/>
            </w:r>
            <w:r>
              <w:rPr>
                <w:rFonts w:cs="Arial" w:ascii="Arial" w:hAnsi="Arial"/>
                <w:color w:val="000000"/>
                <w:sz w:val="16"/>
                <w:lang w:val="ru-RU"/>
              </w:rPr>
              <w:t xml:space="preserve"> 1</w:t>
            </w:r>
          </w:p>
        </w:tc>
        <w:tc>
          <w:tcPr>
            <w:tcW w:w="120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&lt; 1</w:t>
            </w:r>
          </w:p>
        </w:tc>
        <w:tc>
          <w:tcPr>
            <w:tcW w:w="6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5</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чистого спреда от кредитных операций</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ПД6</w:t>
            </w:r>
          </w:p>
        </w:tc>
        <w:tc>
          <w:tcPr>
            <w:tcW w:w="108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b3"/>
            </w:r>
            <w:r>
              <w:rPr>
                <w:rFonts w:cs="Arial" w:ascii="Arial" w:hAnsi="Arial"/>
                <w:color w:val="000000"/>
                <w:sz w:val="16"/>
                <w:lang w:val="ru-RU"/>
              </w:rPr>
              <w:t xml:space="preserve"> </w:t>
            </w:r>
            <w:r>
              <w:rPr>
                <w:rFonts w:cs="Arial" w:ascii="Arial" w:hAnsi="Arial"/>
                <w:color w:val="000000"/>
                <w:sz w:val="16"/>
                <w:lang w:val="ru-RU"/>
              </w:rPr>
              <w:t>12</w:t>
            </w:r>
          </w:p>
        </w:tc>
        <w:tc>
          <w:tcPr>
            <w:tcW w:w="126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12 и </w:t>
            </w:r>
            <w:r>
              <w:rPr>
                <w:rFonts w:cs="Symbol" w:ascii="Symbol" w:hAnsi="Symbol"/>
                <w:color w:val="000000"/>
                <w:sz w:val="16"/>
                <w:lang w:val="ru-RU"/>
              </w:rPr>
              <w:sym w:font="Symbol" w:char="f0b3"/>
            </w:r>
            <w:r>
              <w:rPr>
                <w:rFonts w:cs="Arial" w:ascii="Arial" w:hAnsi="Arial"/>
                <w:color w:val="000000"/>
                <w:sz w:val="16"/>
                <w:lang w:val="ru-RU"/>
              </w:rPr>
              <w:t xml:space="preserve"> 8</w:t>
            </w:r>
          </w:p>
        </w:tc>
        <w:tc>
          <w:tcPr>
            <w:tcW w:w="124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8 и </w:t>
            </w:r>
            <w:r>
              <w:rPr>
                <w:rFonts w:cs="Symbol" w:ascii="Symbol" w:hAnsi="Symbol"/>
                <w:color w:val="000000"/>
                <w:sz w:val="16"/>
                <w:lang w:val="ru-RU"/>
              </w:rPr>
              <w:sym w:font="Symbol" w:char="f0b3"/>
            </w:r>
            <w:r>
              <w:rPr>
                <w:rFonts w:cs="Arial" w:ascii="Arial" w:hAnsi="Arial"/>
                <w:color w:val="000000"/>
                <w:sz w:val="16"/>
                <w:lang w:val="ru-RU"/>
              </w:rPr>
              <w:t xml:space="preserve"> 4</w:t>
            </w:r>
          </w:p>
        </w:tc>
        <w:tc>
          <w:tcPr>
            <w:tcW w:w="120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&lt; 4</w:t>
            </w:r>
          </w:p>
        </w:tc>
        <w:tc>
          <w:tcPr>
            <w:tcW w:w="6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r>
    </w:tbl>
    <w:p>
      <w:pPr>
        <w:pStyle w:val="Style15"/>
        <w:rPr>
          <w:rFonts w:ascii="Arial" w:hAnsi="Arial" w:cs="Arial"/>
          <w:lang w:val="ru-RU"/>
        </w:rPr>
      </w:pPr>
      <w:r>
        <w:rPr>
          <w:rFonts w:cs="Arial" w:ascii="Arial" w:hAnsi="Arial"/>
          <w:lang w:val="ru-RU"/>
        </w:rPr>
      </w:r>
      <w:r>
        <w:br w:type="page"/>
      </w:r>
    </w:p>
    <w:p>
      <w:pPr>
        <w:pStyle w:val="MainText-BezOtstupa1"/>
        <w:keepNext w:val="true"/>
        <w:keepLines/>
        <w:jc w:val="end"/>
        <w:rPr>
          <w:rFonts w:ascii="Arial" w:hAnsi="Arial" w:cs="Arial"/>
          <w:color w:val="000000"/>
        </w:rPr>
      </w:pPr>
      <w:r>
        <w:rPr>
          <w:rFonts w:cs="Arial" w:ascii="Arial" w:hAnsi="Arial"/>
          <w:b/>
          <w:color w:val="000000"/>
        </w:rPr>
        <w:t>Приложение 4</w:t>
      </w:r>
      <w:r>
        <w:rPr>
          <w:rFonts w:cs="Arial" w:ascii="Arial" w:hAnsi="Arial"/>
          <w:color w:val="000000"/>
        </w:rPr>
        <w:br/>
        <w:t xml:space="preserve"> к Указанию Банка России</w:t>
        <w:br/>
        <w:t xml:space="preserve"> от 30 апреля 2008 г. № 2005-У</w:t>
        <w:br/>
        <w:t xml:space="preserve"> “Об оценке экономического положения банков”</w:t>
      </w:r>
    </w:p>
    <w:p>
      <w:pPr>
        <w:pStyle w:val="MZagolvok-Center"/>
        <w:spacing w:before="120" w:after="120"/>
        <w:rPr>
          <w:rFonts w:ascii="Arial" w:hAnsi="Arial" w:cs="Arial"/>
        </w:rPr>
      </w:pPr>
      <w:r>
        <w:rPr/>
        <w:t>Балльная и весовая оценки показателей группы показателей оценки ликвидности</w:t>
      </w:r>
    </w:p>
    <w:tbl>
      <w:tblPr>
        <w:tblW w:w="10423" w:type="dxa"/>
        <w:jc w:val="center"/>
        <w:tblInd w:w="0" w:type="dxa"/>
        <w:tblLayout w:type="fixed"/>
        <w:tblCellMar>
          <w:top w:w="0" w:type="dxa"/>
          <w:start w:w="108" w:type="dxa"/>
          <w:bottom w:w="0" w:type="dxa"/>
          <w:end w:w="108" w:type="dxa"/>
        </w:tblCellMar>
      </w:tblPr>
      <w:tblGrid>
        <w:gridCol w:w="532"/>
        <w:gridCol w:w="3121"/>
        <w:gridCol w:w="1333"/>
        <w:gridCol w:w="935"/>
        <w:gridCol w:w="1125"/>
        <w:gridCol w:w="1358"/>
        <w:gridCol w:w="1321"/>
        <w:gridCol w:w="698"/>
      </w:tblGrid>
      <w:tr>
        <w:trPr>
          <w:tblHeader w:val="true"/>
          <w:cantSplit/>
        </w:trPr>
        <w:tc>
          <w:tcPr>
            <w:tcW w:w="532"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w:t>
            </w:r>
          </w:p>
        </w:tc>
        <w:tc>
          <w:tcPr>
            <w:tcW w:w="3121"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Наименование показателя</w:t>
            </w:r>
          </w:p>
        </w:tc>
        <w:tc>
          <w:tcPr>
            <w:tcW w:w="1333"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Условное</w:t>
            </w:r>
          </w:p>
        </w:tc>
        <w:tc>
          <w:tcPr>
            <w:tcW w:w="4739" w:type="dxa"/>
            <w:gridSpan w:val="4"/>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Значения (%)</w:t>
            </w:r>
          </w:p>
        </w:tc>
        <w:tc>
          <w:tcPr>
            <w:tcW w:w="698" w:type="dxa"/>
            <w:tcBorders>
              <w:top w:val="single" w:sz="6" w:space="0" w:color="000000"/>
              <w:start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Вес</w:t>
            </w:r>
          </w:p>
        </w:tc>
      </w:tr>
      <w:tr>
        <w:trPr>
          <w:tblHeader w:val="true"/>
          <w:cantSplit/>
        </w:trPr>
        <w:tc>
          <w:tcPr>
            <w:tcW w:w="532" w:type="dxa"/>
            <w:tcBorders>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п/п</w:t>
            </w:r>
          </w:p>
        </w:tc>
        <w:tc>
          <w:tcPr>
            <w:tcW w:w="3121" w:type="dxa"/>
            <w:tcBorders>
              <w:start w:val="single" w:sz="6" w:space="0" w:color="000000"/>
              <w:bottom w:val="single" w:sz="6" w:space="0" w:color="000000"/>
              <w:end w:val="single" w:sz="6" w:space="0" w:color="000000"/>
            </w:tcBorders>
          </w:tcPr>
          <w:p>
            <w:pPr>
              <w:pStyle w:val="Style15"/>
              <w:keepNext w:val="true"/>
              <w:snapToGrid w:val="false"/>
              <w:ind w:hanging="0" w:end="0"/>
              <w:jc w:val="center"/>
              <w:rPr>
                <w:rFonts w:ascii="Arial" w:hAnsi="Arial" w:cs="Arial"/>
                <w:color w:val="000000"/>
                <w:sz w:val="16"/>
                <w:lang w:val="ru-RU"/>
              </w:rPr>
            </w:pPr>
            <w:r>
              <w:rPr>
                <w:rFonts w:cs="Arial" w:ascii="Arial" w:hAnsi="Arial"/>
                <w:color w:val="000000"/>
                <w:sz w:val="16"/>
                <w:lang w:val="ru-RU"/>
              </w:rPr>
            </w:r>
          </w:p>
        </w:tc>
        <w:tc>
          <w:tcPr>
            <w:tcW w:w="1333" w:type="dxa"/>
            <w:tcBorders>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обозначение</w:t>
            </w:r>
          </w:p>
        </w:tc>
        <w:tc>
          <w:tcPr>
            <w:tcW w:w="93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1 балл</w:t>
            </w:r>
          </w:p>
        </w:tc>
        <w:tc>
          <w:tcPr>
            <w:tcW w:w="112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2 балла</w:t>
            </w:r>
          </w:p>
        </w:tc>
        <w:tc>
          <w:tcPr>
            <w:tcW w:w="1358"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3 балла</w:t>
            </w:r>
          </w:p>
        </w:tc>
        <w:tc>
          <w:tcPr>
            <w:tcW w:w="1321"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4 балла</w:t>
            </w:r>
          </w:p>
        </w:tc>
        <w:tc>
          <w:tcPr>
            <w:tcW w:w="698" w:type="dxa"/>
            <w:tcBorders>
              <w:start w:val="single" w:sz="6" w:space="0" w:color="000000"/>
              <w:bottom w:val="single" w:sz="6" w:space="0" w:color="000000"/>
              <w:end w:val="single" w:sz="6" w:space="0" w:color="000000"/>
            </w:tcBorders>
          </w:tcPr>
          <w:p>
            <w:pPr>
              <w:pStyle w:val="Style15"/>
              <w:keepNext w:val="true"/>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tblHeader w:val="true"/>
          <w:cantSplit/>
        </w:trPr>
        <w:tc>
          <w:tcPr>
            <w:tcW w:w="532"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1</w:t>
            </w:r>
          </w:p>
        </w:tc>
        <w:tc>
          <w:tcPr>
            <w:tcW w:w="3121"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2</w:t>
            </w:r>
          </w:p>
        </w:tc>
        <w:tc>
          <w:tcPr>
            <w:tcW w:w="1333"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3</w:t>
            </w:r>
          </w:p>
        </w:tc>
        <w:tc>
          <w:tcPr>
            <w:tcW w:w="93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4</w:t>
            </w:r>
          </w:p>
        </w:tc>
        <w:tc>
          <w:tcPr>
            <w:tcW w:w="112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5</w:t>
            </w:r>
          </w:p>
        </w:tc>
        <w:tc>
          <w:tcPr>
            <w:tcW w:w="1358"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6</w:t>
            </w:r>
          </w:p>
        </w:tc>
        <w:tc>
          <w:tcPr>
            <w:tcW w:w="1321"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7</w:t>
            </w:r>
          </w:p>
        </w:tc>
        <w:tc>
          <w:tcPr>
            <w:tcW w:w="698"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8</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общей краткосрочной ликвидности</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ПЛ1</w:t>
            </w:r>
          </w:p>
        </w:tc>
        <w:tc>
          <w:tcPr>
            <w:tcW w:w="9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b3"/>
            </w:r>
            <w:r>
              <w:rPr>
                <w:rFonts w:cs="Arial" w:ascii="Arial" w:hAnsi="Arial"/>
                <w:color w:val="000000"/>
                <w:sz w:val="16"/>
                <w:lang w:val="ru-RU"/>
              </w:rPr>
              <w:t xml:space="preserve"> </w:t>
            </w:r>
            <w:r>
              <w:rPr>
                <w:rFonts w:cs="Arial" w:ascii="Arial" w:hAnsi="Arial"/>
                <w:color w:val="000000"/>
                <w:sz w:val="16"/>
                <w:lang w:val="ru-RU"/>
              </w:rPr>
              <w:t>30</w:t>
            </w:r>
          </w:p>
        </w:tc>
        <w:tc>
          <w:tcPr>
            <w:tcW w:w="112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30 и </w:t>
            </w:r>
            <w:r>
              <w:rPr>
                <w:rFonts w:cs="Symbol" w:ascii="Symbol" w:hAnsi="Symbol"/>
                <w:color w:val="000000"/>
                <w:sz w:val="16"/>
                <w:lang w:val="ru-RU"/>
              </w:rPr>
              <w:sym w:font="Symbol" w:char="f0b3"/>
            </w:r>
            <w:r>
              <w:rPr>
                <w:rFonts w:cs="Arial" w:ascii="Arial" w:hAnsi="Arial"/>
                <w:color w:val="000000"/>
                <w:sz w:val="16"/>
                <w:lang w:val="ru-RU"/>
              </w:rPr>
              <w:t xml:space="preserve"> 20</w:t>
            </w:r>
          </w:p>
        </w:tc>
        <w:tc>
          <w:tcPr>
            <w:tcW w:w="135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20 и </w:t>
            </w:r>
            <w:r>
              <w:rPr>
                <w:rFonts w:cs="Symbol" w:ascii="Symbol" w:hAnsi="Symbol"/>
                <w:color w:val="000000"/>
                <w:sz w:val="16"/>
                <w:lang w:val="ru-RU"/>
              </w:rPr>
              <w:sym w:font="Symbol" w:char="f0b3"/>
            </w:r>
            <w:r>
              <w:rPr>
                <w:rFonts w:cs="Arial" w:ascii="Arial" w:hAnsi="Arial"/>
                <w:color w:val="000000"/>
                <w:sz w:val="16"/>
                <w:lang w:val="ru-RU"/>
              </w:rPr>
              <w:t xml:space="preserve"> 10</w:t>
            </w:r>
          </w:p>
        </w:tc>
        <w:tc>
          <w:tcPr>
            <w:tcW w:w="132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&lt; 10</w:t>
            </w:r>
          </w:p>
        </w:tc>
        <w:tc>
          <w:tcPr>
            <w:tcW w:w="69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мгновенной ликвидности</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ПЛ2</w:t>
            </w:r>
          </w:p>
        </w:tc>
        <w:tc>
          <w:tcPr>
            <w:tcW w:w="9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b3"/>
            </w:r>
            <w:r>
              <w:rPr>
                <w:rFonts w:cs="Arial" w:ascii="Arial" w:hAnsi="Arial"/>
                <w:color w:val="000000"/>
                <w:sz w:val="16"/>
                <w:lang w:val="ru-RU"/>
              </w:rPr>
              <w:t xml:space="preserve"> </w:t>
            </w:r>
            <w:r>
              <w:rPr>
                <w:rFonts w:cs="Arial" w:ascii="Arial" w:hAnsi="Arial"/>
                <w:color w:val="000000"/>
                <w:sz w:val="16"/>
                <w:lang w:val="ru-RU"/>
              </w:rPr>
              <w:t>17</w:t>
            </w:r>
          </w:p>
        </w:tc>
        <w:tc>
          <w:tcPr>
            <w:tcW w:w="112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17 и </w:t>
            </w:r>
            <w:r>
              <w:rPr>
                <w:rFonts w:cs="Symbol" w:ascii="Symbol" w:hAnsi="Symbol"/>
                <w:color w:val="000000"/>
                <w:sz w:val="16"/>
                <w:lang w:val="ru-RU"/>
              </w:rPr>
              <w:sym w:font="Symbol" w:char="f0b3"/>
            </w:r>
            <w:r>
              <w:rPr>
                <w:rFonts w:cs="Arial" w:ascii="Arial" w:hAnsi="Arial"/>
                <w:color w:val="000000"/>
                <w:sz w:val="16"/>
                <w:lang w:val="ru-RU"/>
              </w:rPr>
              <w:t xml:space="preserve"> 16</w:t>
            </w:r>
          </w:p>
        </w:tc>
        <w:tc>
          <w:tcPr>
            <w:tcW w:w="135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16 и </w:t>
            </w:r>
            <w:r>
              <w:rPr>
                <w:rFonts w:cs="Symbol" w:ascii="Symbol" w:hAnsi="Symbol"/>
                <w:color w:val="000000"/>
                <w:sz w:val="16"/>
                <w:lang w:val="ru-RU"/>
              </w:rPr>
              <w:sym w:font="Symbol" w:char="f0b3"/>
            </w:r>
            <w:r>
              <w:rPr>
                <w:rFonts w:cs="Arial" w:ascii="Arial" w:hAnsi="Arial"/>
                <w:color w:val="000000"/>
                <w:sz w:val="16"/>
                <w:lang w:val="ru-RU"/>
              </w:rPr>
              <w:t xml:space="preserve"> 15</w:t>
            </w:r>
          </w:p>
        </w:tc>
        <w:tc>
          <w:tcPr>
            <w:tcW w:w="132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&lt; 15</w:t>
            </w:r>
          </w:p>
        </w:tc>
        <w:tc>
          <w:tcPr>
            <w:tcW w:w="69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текущей ликвидности</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ПЛ3</w:t>
            </w:r>
          </w:p>
        </w:tc>
        <w:tc>
          <w:tcPr>
            <w:tcW w:w="9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b3"/>
            </w:r>
            <w:r>
              <w:rPr>
                <w:rFonts w:cs="Arial" w:ascii="Arial" w:hAnsi="Arial"/>
                <w:color w:val="000000"/>
                <w:sz w:val="16"/>
                <w:lang w:val="ru-RU"/>
              </w:rPr>
              <w:t xml:space="preserve"> </w:t>
            </w:r>
            <w:r>
              <w:rPr>
                <w:rFonts w:cs="Arial" w:ascii="Arial" w:hAnsi="Arial"/>
                <w:color w:val="000000"/>
                <w:sz w:val="16"/>
                <w:lang w:val="ru-RU"/>
              </w:rPr>
              <w:t>55</w:t>
            </w:r>
          </w:p>
        </w:tc>
        <w:tc>
          <w:tcPr>
            <w:tcW w:w="112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55 и </w:t>
            </w:r>
            <w:r>
              <w:rPr>
                <w:rFonts w:cs="Symbol" w:ascii="Symbol" w:hAnsi="Symbol"/>
                <w:color w:val="000000"/>
                <w:sz w:val="16"/>
                <w:lang w:val="ru-RU"/>
              </w:rPr>
              <w:sym w:font="Symbol" w:char="f0b3"/>
            </w:r>
            <w:r>
              <w:rPr>
                <w:rFonts w:cs="Arial" w:ascii="Arial" w:hAnsi="Arial"/>
                <w:color w:val="000000"/>
                <w:sz w:val="16"/>
                <w:lang w:val="ru-RU"/>
              </w:rPr>
              <w:t xml:space="preserve"> 52</w:t>
            </w:r>
          </w:p>
        </w:tc>
        <w:tc>
          <w:tcPr>
            <w:tcW w:w="135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&lt; 52 и </w:t>
            </w:r>
            <w:r>
              <w:rPr>
                <w:rFonts w:cs="Symbol" w:ascii="Symbol" w:hAnsi="Symbol"/>
                <w:color w:val="000000"/>
                <w:sz w:val="16"/>
                <w:lang w:val="ru-RU"/>
              </w:rPr>
              <w:sym w:font="Symbol" w:char="f0b3"/>
            </w:r>
            <w:r>
              <w:rPr>
                <w:rFonts w:cs="Arial" w:ascii="Arial" w:hAnsi="Arial"/>
                <w:color w:val="000000"/>
                <w:sz w:val="16"/>
                <w:lang w:val="ru-RU"/>
              </w:rPr>
              <w:t xml:space="preserve"> 50</w:t>
            </w:r>
          </w:p>
        </w:tc>
        <w:tc>
          <w:tcPr>
            <w:tcW w:w="132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&lt; 50</w:t>
            </w:r>
          </w:p>
        </w:tc>
        <w:tc>
          <w:tcPr>
            <w:tcW w:w="69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4</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структуры привлеченных средств</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ПЛ4</w:t>
            </w:r>
          </w:p>
        </w:tc>
        <w:tc>
          <w:tcPr>
            <w:tcW w:w="9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a3"/>
            </w:r>
            <w:r>
              <w:rPr>
                <w:rFonts w:cs="Arial" w:ascii="Arial" w:hAnsi="Arial"/>
                <w:color w:val="000000"/>
                <w:sz w:val="16"/>
                <w:lang w:val="ru-RU"/>
              </w:rPr>
              <w:t xml:space="preserve"> </w:t>
            </w:r>
            <w:r>
              <w:rPr>
                <w:rFonts w:cs="Arial" w:ascii="Arial" w:hAnsi="Arial"/>
                <w:color w:val="000000"/>
                <w:sz w:val="16"/>
                <w:lang w:val="ru-RU"/>
              </w:rPr>
              <w:t>25</w:t>
            </w:r>
          </w:p>
        </w:tc>
        <w:tc>
          <w:tcPr>
            <w:tcW w:w="112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25 и </w:t>
            </w:r>
            <w:r>
              <w:rPr>
                <w:rFonts w:cs="Symbol" w:ascii="Symbol" w:hAnsi="Symbol"/>
                <w:color w:val="000000"/>
                <w:sz w:val="16"/>
                <w:lang w:val="ru-RU"/>
              </w:rPr>
              <w:sym w:font="Symbol" w:char="f0a3"/>
            </w:r>
            <w:r>
              <w:rPr>
                <w:rFonts w:cs="Arial" w:ascii="Arial" w:hAnsi="Arial"/>
                <w:color w:val="000000"/>
                <w:sz w:val="16"/>
                <w:lang w:val="ru-RU"/>
              </w:rPr>
              <w:t xml:space="preserve"> 40</w:t>
            </w:r>
          </w:p>
        </w:tc>
        <w:tc>
          <w:tcPr>
            <w:tcW w:w="135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40 и </w:t>
            </w:r>
            <w:r>
              <w:rPr>
                <w:rFonts w:cs="Symbol" w:ascii="Symbol" w:hAnsi="Symbol"/>
                <w:color w:val="000000"/>
                <w:sz w:val="16"/>
                <w:lang w:val="ru-RU"/>
              </w:rPr>
              <w:sym w:font="Symbol" w:char="f0a3"/>
            </w:r>
            <w:r>
              <w:rPr>
                <w:rFonts w:cs="Arial" w:ascii="Arial" w:hAnsi="Arial"/>
                <w:color w:val="000000"/>
                <w:sz w:val="16"/>
                <w:lang w:val="ru-RU"/>
              </w:rPr>
              <w:t xml:space="preserve"> 50</w:t>
            </w:r>
          </w:p>
        </w:tc>
        <w:tc>
          <w:tcPr>
            <w:tcW w:w="132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&gt; 50</w:t>
            </w:r>
          </w:p>
        </w:tc>
        <w:tc>
          <w:tcPr>
            <w:tcW w:w="69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5</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зависимости от межбанковского рынка</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ПЛ5</w:t>
            </w:r>
          </w:p>
        </w:tc>
        <w:tc>
          <w:tcPr>
            <w:tcW w:w="9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a3"/>
            </w:r>
            <w:r>
              <w:rPr>
                <w:rFonts w:cs="Arial" w:ascii="Arial" w:hAnsi="Arial"/>
                <w:color w:val="000000"/>
                <w:sz w:val="16"/>
                <w:lang w:val="ru-RU"/>
              </w:rPr>
              <w:t xml:space="preserve"> </w:t>
            </w:r>
            <w:r>
              <w:rPr>
                <w:rFonts w:cs="Arial" w:ascii="Arial" w:hAnsi="Arial"/>
                <w:color w:val="000000"/>
                <w:sz w:val="16"/>
                <w:lang w:val="ru-RU"/>
              </w:rPr>
              <w:t>8</w:t>
            </w:r>
          </w:p>
        </w:tc>
        <w:tc>
          <w:tcPr>
            <w:tcW w:w="112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8 и </w:t>
            </w:r>
            <w:r>
              <w:rPr>
                <w:rFonts w:cs="Symbol" w:ascii="Symbol" w:hAnsi="Symbol"/>
                <w:color w:val="000000"/>
                <w:sz w:val="16"/>
                <w:lang w:val="ru-RU"/>
              </w:rPr>
              <w:sym w:font="Symbol" w:char="f0a3"/>
            </w:r>
            <w:r>
              <w:rPr>
                <w:rFonts w:cs="Arial" w:ascii="Arial" w:hAnsi="Arial"/>
                <w:color w:val="000000"/>
                <w:sz w:val="16"/>
                <w:lang w:val="ru-RU"/>
              </w:rPr>
              <w:t xml:space="preserve"> 18</w:t>
            </w:r>
          </w:p>
        </w:tc>
        <w:tc>
          <w:tcPr>
            <w:tcW w:w="135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18 и </w:t>
            </w:r>
            <w:r>
              <w:rPr>
                <w:rFonts w:cs="Symbol" w:ascii="Symbol" w:hAnsi="Symbol"/>
                <w:color w:val="000000"/>
                <w:sz w:val="16"/>
                <w:lang w:val="ru-RU"/>
              </w:rPr>
              <w:sym w:font="Symbol" w:char="f0a3"/>
            </w:r>
            <w:r>
              <w:rPr>
                <w:rFonts w:cs="Arial" w:ascii="Arial" w:hAnsi="Arial"/>
                <w:color w:val="000000"/>
                <w:sz w:val="16"/>
                <w:lang w:val="ru-RU"/>
              </w:rPr>
              <w:t xml:space="preserve"> 27</w:t>
            </w:r>
          </w:p>
        </w:tc>
        <w:tc>
          <w:tcPr>
            <w:tcW w:w="132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&gt; 27</w:t>
            </w:r>
          </w:p>
        </w:tc>
        <w:tc>
          <w:tcPr>
            <w:tcW w:w="69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6</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риска собственных вексельных обязательств</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ПЛ6</w:t>
            </w:r>
          </w:p>
        </w:tc>
        <w:tc>
          <w:tcPr>
            <w:tcW w:w="9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a3"/>
            </w:r>
            <w:r>
              <w:rPr>
                <w:rFonts w:cs="Arial" w:ascii="Arial" w:hAnsi="Arial"/>
                <w:color w:val="000000"/>
                <w:sz w:val="16"/>
                <w:lang w:val="ru-RU"/>
              </w:rPr>
              <w:t xml:space="preserve"> </w:t>
            </w:r>
            <w:r>
              <w:rPr>
                <w:rFonts w:cs="Arial" w:ascii="Arial" w:hAnsi="Arial"/>
                <w:color w:val="000000"/>
                <w:sz w:val="16"/>
                <w:lang w:val="ru-RU"/>
              </w:rPr>
              <w:t>45</w:t>
            </w:r>
          </w:p>
        </w:tc>
        <w:tc>
          <w:tcPr>
            <w:tcW w:w="112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45 и </w:t>
            </w:r>
            <w:r>
              <w:rPr>
                <w:rFonts w:cs="Symbol" w:ascii="Symbol" w:hAnsi="Symbol"/>
                <w:color w:val="000000"/>
                <w:sz w:val="16"/>
                <w:lang w:val="ru-RU"/>
              </w:rPr>
              <w:sym w:font="Symbol" w:char="f0a3"/>
            </w:r>
            <w:r>
              <w:rPr>
                <w:rFonts w:cs="Arial" w:ascii="Arial" w:hAnsi="Arial"/>
                <w:color w:val="000000"/>
                <w:sz w:val="16"/>
                <w:lang w:val="ru-RU"/>
              </w:rPr>
              <w:t xml:space="preserve"> 75</w:t>
            </w:r>
          </w:p>
        </w:tc>
        <w:tc>
          <w:tcPr>
            <w:tcW w:w="135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75 и </w:t>
            </w:r>
            <w:r>
              <w:rPr>
                <w:rFonts w:cs="Symbol" w:ascii="Symbol" w:hAnsi="Symbol"/>
                <w:color w:val="000000"/>
                <w:sz w:val="16"/>
                <w:lang w:val="ru-RU"/>
              </w:rPr>
              <w:sym w:font="Symbol" w:char="f0a3"/>
            </w:r>
            <w:r>
              <w:rPr>
                <w:rFonts w:cs="Arial" w:ascii="Arial" w:hAnsi="Arial"/>
                <w:color w:val="000000"/>
                <w:sz w:val="16"/>
                <w:lang w:val="ru-RU"/>
              </w:rPr>
              <w:t xml:space="preserve"> 90</w:t>
            </w:r>
          </w:p>
        </w:tc>
        <w:tc>
          <w:tcPr>
            <w:tcW w:w="132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&gt; 90</w:t>
            </w:r>
          </w:p>
        </w:tc>
        <w:tc>
          <w:tcPr>
            <w:tcW w:w="69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7</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небанковских ссуд</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ПЛ7</w:t>
            </w:r>
          </w:p>
        </w:tc>
        <w:tc>
          <w:tcPr>
            <w:tcW w:w="9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a3"/>
            </w:r>
            <w:r>
              <w:rPr>
                <w:rFonts w:cs="Arial" w:ascii="Arial" w:hAnsi="Arial"/>
                <w:color w:val="000000"/>
                <w:sz w:val="16"/>
                <w:lang w:val="ru-RU"/>
              </w:rPr>
              <w:t xml:space="preserve"> </w:t>
            </w:r>
            <w:r>
              <w:rPr>
                <w:rFonts w:cs="Arial" w:ascii="Arial" w:hAnsi="Arial"/>
                <w:color w:val="000000"/>
                <w:sz w:val="16"/>
                <w:lang w:val="ru-RU"/>
              </w:rPr>
              <w:t>85</w:t>
            </w:r>
          </w:p>
        </w:tc>
        <w:tc>
          <w:tcPr>
            <w:tcW w:w="112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85 и </w:t>
            </w:r>
            <w:r>
              <w:rPr>
                <w:rFonts w:cs="Symbol" w:ascii="Symbol" w:hAnsi="Symbol"/>
                <w:color w:val="000000"/>
                <w:sz w:val="16"/>
                <w:lang w:val="ru-RU"/>
              </w:rPr>
              <w:sym w:font="Symbol" w:char="f0a3"/>
            </w:r>
            <w:r>
              <w:rPr>
                <w:rFonts w:cs="Arial" w:ascii="Arial" w:hAnsi="Arial"/>
                <w:color w:val="000000"/>
                <w:sz w:val="16"/>
                <w:lang w:val="ru-RU"/>
              </w:rPr>
              <w:t xml:space="preserve"> 120</w:t>
            </w:r>
          </w:p>
        </w:tc>
        <w:tc>
          <w:tcPr>
            <w:tcW w:w="135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120 и </w:t>
            </w:r>
            <w:r>
              <w:rPr>
                <w:rFonts w:cs="Symbol" w:ascii="Symbol" w:hAnsi="Symbol"/>
                <w:color w:val="000000"/>
                <w:sz w:val="16"/>
                <w:lang w:val="ru-RU"/>
              </w:rPr>
              <w:sym w:font="Symbol" w:char="f0a3"/>
            </w:r>
            <w:r>
              <w:rPr>
                <w:rFonts w:cs="Arial" w:ascii="Arial" w:hAnsi="Arial"/>
                <w:color w:val="000000"/>
                <w:sz w:val="16"/>
                <w:lang w:val="ru-RU"/>
              </w:rPr>
              <w:t xml:space="preserve"> 140</w:t>
            </w:r>
          </w:p>
        </w:tc>
        <w:tc>
          <w:tcPr>
            <w:tcW w:w="132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&gt; 140</w:t>
            </w:r>
          </w:p>
        </w:tc>
        <w:tc>
          <w:tcPr>
            <w:tcW w:w="69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8</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усреднения обязательных резервов</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ПЛ8</w:t>
            </w:r>
          </w:p>
        </w:tc>
        <w:tc>
          <w:tcPr>
            <w:tcW w:w="93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c>
          <w:tcPr>
            <w:tcW w:w="112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c>
          <w:tcPr>
            <w:tcW w:w="1358"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c>
          <w:tcPr>
            <w:tcW w:w="132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наличие факта</w:t>
            </w:r>
            <w:r>
              <w:rPr>
                <w:rFonts w:cs="Arial" w:ascii="Arial" w:hAnsi="Arial"/>
                <w:color w:val="000000"/>
                <w:sz w:val="16"/>
                <w:vertAlign w:val="superscript"/>
                <w:lang w:val="ru-RU"/>
              </w:rPr>
              <w:t>1</w:t>
            </w:r>
          </w:p>
        </w:tc>
        <w:tc>
          <w:tcPr>
            <w:tcW w:w="69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9</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обязательных резервов</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ПЛ9</w:t>
            </w:r>
          </w:p>
        </w:tc>
        <w:tc>
          <w:tcPr>
            <w:tcW w:w="93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c>
          <w:tcPr>
            <w:tcW w:w="112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1—2 дня</w:t>
            </w:r>
          </w:p>
        </w:tc>
        <w:tc>
          <w:tcPr>
            <w:tcW w:w="135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3—7 дней</w:t>
            </w:r>
          </w:p>
        </w:tc>
        <w:tc>
          <w:tcPr>
            <w:tcW w:w="132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b3"/>
            </w:r>
            <w:r>
              <w:rPr>
                <w:rFonts w:cs="Arial" w:ascii="Arial" w:hAnsi="Arial"/>
                <w:color w:val="000000"/>
                <w:sz w:val="16"/>
                <w:lang w:val="ru-RU"/>
              </w:rPr>
              <w:t xml:space="preserve"> </w:t>
            </w:r>
            <w:r>
              <w:rPr>
                <w:rFonts w:cs="Arial" w:ascii="Arial" w:hAnsi="Arial"/>
                <w:color w:val="000000"/>
                <w:sz w:val="16"/>
                <w:lang w:val="ru-RU"/>
              </w:rPr>
              <w:t>7 дней</w:t>
            </w:r>
          </w:p>
        </w:tc>
        <w:tc>
          <w:tcPr>
            <w:tcW w:w="69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10</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риска на крупных кредиторов и вкладчиков</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ПЛ10</w:t>
            </w:r>
          </w:p>
        </w:tc>
        <w:tc>
          <w:tcPr>
            <w:tcW w:w="9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Symbol" w:ascii="Symbol" w:hAnsi="Symbol"/>
                <w:color w:val="000000"/>
                <w:sz w:val="16"/>
                <w:lang w:val="ru-RU"/>
              </w:rPr>
              <w:sym w:font="Symbol" w:char="f0a3"/>
            </w:r>
            <w:r>
              <w:rPr>
                <w:rFonts w:cs="Arial" w:ascii="Arial" w:hAnsi="Arial"/>
                <w:color w:val="000000"/>
                <w:sz w:val="16"/>
                <w:lang w:val="ru-RU"/>
              </w:rPr>
              <w:t xml:space="preserve"> </w:t>
            </w:r>
            <w:r>
              <w:rPr>
                <w:rFonts w:cs="Arial" w:ascii="Arial" w:hAnsi="Arial"/>
                <w:color w:val="000000"/>
                <w:sz w:val="16"/>
                <w:lang w:val="ru-RU"/>
              </w:rPr>
              <w:t>80</w:t>
            </w:r>
          </w:p>
        </w:tc>
        <w:tc>
          <w:tcPr>
            <w:tcW w:w="112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80 и </w:t>
            </w:r>
            <w:r>
              <w:rPr>
                <w:rFonts w:cs="Symbol" w:ascii="Symbol" w:hAnsi="Symbol"/>
                <w:color w:val="000000"/>
                <w:sz w:val="16"/>
                <w:lang w:val="ru-RU"/>
              </w:rPr>
              <w:sym w:font="Symbol" w:char="f0a3"/>
            </w:r>
            <w:r>
              <w:rPr>
                <w:rFonts w:cs="Arial" w:ascii="Arial" w:hAnsi="Arial"/>
                <w:color w:val="000000"/>
                <w:sz w:val="16"/>
                <w:lang w:val="ru-RU"/>
              </w:rPr>
              <w:t xml:space="preserve"> 180</w:t>
            </w:r>
          </w:p>
        </w:tc>
        <w:tc>
          <w:tcPr>
            <w:tcW w:w="135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&gt; 180 и </w:t>
            </w:r>
            <w:r>
              <w:rPr>
                <w:rFonts w:cs="Symbol" w:ascii="Symbol" w:hAnsi="Symbol"/>
                <w:color w:val="000000"/>
                <w:sz w:val="16"/>
                <w:lang w:val="ru-RU"/>
              </w:rPr>
              <w:sym w:font="Symbol" w:char="f0a3"/>
            </w:r>
            <w:r>
              <w:rPr>
                <w:rFonts w:cs="Arial" w:ascii="Arial" w:hAnsi="Arial"/>
                <w:color w:val="000000"/>
                <w:sz w:val="16"/>
                <w:lang w:val="ru-RU"/>
              </w:rPr>
              <w:t xml:space="preserve"> 270</w:t>
            </w:r>
          </w:p>
        </w:tc>
        <w:tc>
          <w:tcPr>
            <w:tcW w:w="132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&gt; 270</w:t>
            </w:r>
          </w:p>
        </w:tc>
        <w:tc>
          <w:tcPr>
            <w:tcW w:w="69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r>
      <w:tr>
        <w:trPr>
          <w:cantSplit/>
        </w:trPr>
        <w:tc>
          <w:tcPr>
            <w:tcW w:w="532"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11</w:t>
            </w:r>
          </w:p>
        </w:tc>
        <w:tc>
          <w:tcPr>
            <w:tcW w:w="3121"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Показатель не исполненных банком требований перед кредиторами</w:t>
            </w:r>
          </w:p>
        </w:tc>
        <w:tc>
          <w:tcPr>
            <w:tcW w:w="133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ПЛ11</w:t>
            </w:r>
          </w:p>
        </w:tc>
        <w:tc>
          <w:tcPr>
            <w:tcW w:w="93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c>
          <w:tcPr>
            <w:tcW w:w="112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 раз в течение 1 дня</w:t>
            </w:r>
          </w:p>
        </w:tc>
        <w:tc>
          <w:tcPr>
            <w:tcW w:w="1358" w:type="dxa"/>
            <w:tcBorders>
              <w:top w:val="single" w:sz="6" w:space="0" w:color="000000"/>
              <w:start w:val="single" w:sz="6" w:space="0" w:color="000000"/>
              <w:bottom w:val="single" w:sz="6" w:space="0" w:color="000000"/>
              <w:end w:val="single" w:sz="6" w:space="0" w:color="000000"/>
            </w:tcBorders>
          </w:tcPr>
          <w:p>
            <w:pPr>
              <w:pStyle w:val="Style15"/>
              <w:ind w:hanging="0" w:start="170" w:end="170"/>
              <w:jc w:val="center"/>
              <w:rPr>
                <w:rFonts w:ascii="Arial" w:hAnsi="Arial" w:cs="Arial"/>
                <w:color w:val="000000"/>
                <w:sz w:val="16"/>
                <w:lang w:val="ru-RU"/>
              </w:rPr>
            </w:pPr>
            <w:r>
              <w:rPr>
                <w:rFonts w:cs="Arial" w:ascii="Arial" w:hAnsi="Arial"/>
                <w:color w:val="000000"/>
                <w:sz w:val="16"/>
                <w:lang w:val="ru-RU"/>
              </w:rPr>
              <w:t>1 раз в течение 2—3 дней</w:t>
            </w:r>
          </w:p>
        </w:tc>
        <w:tc>
          <w:tcPr>
            <w:tcW w:w="132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более 3 дней либо </w:t>
            </w:r>
            <w:r>
              <w:rPr>
                <w:rFonts w:cs="Symbol" w:ascii="Symbol" w:hAnsi="Symbol"/>
                <w:color w:val="000000"/>
                <w:sz w:val="16"/>
                <w:lang w:val="ru-RU"/>
              </w:rPr>
              <w:sym w:font="Symbol" w:char="f0a3"/>
            </w:r>
            <w:r>
              <w:rPr>
                <w:rFonts w:cs="Arial" w:ascii="Arial" w:hAnsi="Arial"/>
                <w:color w:val="000000"/>
                <w:sz w:val="16"/>
                <w:lang w:val="ru-RU"/>
              </w:rPr>
              <w:t xml:space="preserve"> 3 дней 2 и более раза</w:t>
            </w:r>
          </w:p>
        </w:tc>
        <w:tc>
          <w:tcPr>
            <w:tcW w:w="69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r>
    </w:tbl>
    <w:p>
      <w:pPr>
        <w:pStyle w:val="Snoska"/>
        <w:tabs>
          <w:tab w:val="clear" w:pos="567"/>
        </w:tabs>
        <w:spacing w:before="60" w:after="0"/>
        <w:rPr>
          <w:rFonts w:ascii="Arial" w:hAnsi="Arial" w:cs="Arial"/>
          <w:sz w:val="16"/>
          <w:lang w:val="ru-RU"/>
        </w:rPr>
      </w:pPr>
      <w:r>
        <w:rPr>
          <w:rFonts w:cs="Arial" w:ascii="Arial" w:hAnsi="Arial"/>
          <w:sz w:val="16"/>
          <w:vertAlign w:val="superscript"/>
          <w:lang w:val="ru-RU"/>
        </w:rPr>
        <w:t>1</w:t>
      </w:r>
      <w:r>
        <w:rPr>
          <w:rFonts w:cs="Arial" w:ascii="Arial" w:hAnsi="Arial"/>
          <w:sz w:val="16"/>
          <w:lang w:val="ru-RU"/>
        </w:rPr>
        <w:t> 4 балла присваиваются показателю ПЛ8 в случае наличия факта невыполнения обязанности по усреднению обязательных резервов.</w:t>
      </w:r>
    </w:p>
    <w:p>
      <w:pPr>
        <w:pStyle w:val="Style15"/>
        <w:rPr>
          <w:rFonts w:ascii="Arial" w:hAnsi="Arial" w:cs="Arial"/>
          <w:lang w:val="ru-RU"/>
        </w:rPr>
      </w:pPr>
      <w:r>
        <w:rPr>
          <w:rFonts w:cs="Arial" w:ascii="Arial" w:hAnsi="Arial"/>
          <w:sz w:val="16"/>
          <w:lang w:val="ru-RU"/>
        </w:rPr>
      </w:r>
      <w:r>
        <w:br w:type="page"/>
      </w:r>
    </w:p>
    <w:p>
      <w:pPr>
        <w:pStyle w:val="MainText-BezOtstupa1"/>
        <w:keepNext w:val="true"/>
        <w:keepLines/>
        <w:jc w:val="end"/>
        <w:rPr>
          <w:rFonts w:ascii="Arial" w:hAnsi="Arial" w:cs="Arial"/>
          <w:color w:val="000000"/>
        </w:rPr>
      </w:pPr>
      <w:r>
        <w:rPr>
          <w:rFonts w:cs="Arial" w:ascii="Arial" w:hAnsi="Arial"/>
          <w:b/>
          <w:color w:val="000000"/>
        </w:rPr>
        <w:t>Приложение 5</w:t>
      </w:r>
      <w:r>
        <w:rPr>
          <w:rFonts w:cs="Arial" w:ascii="Arial" w:hAnsi="Arial"/>
          <w:color w:val="000000"/>
        </w:rPr>
        <w:br/>
        <w:t xml:space="preserve"> к Указанию Банка России</w:t>
        <w:br/>
        <w:t xml:space="preserve"> от 30 апреля 2008 г. № 2005-У</w:t>
        <w:br/>
        <w:t xml:space="preserve"> “Об оценке экономического положения банков”</w:t>
      </w:r>
    </w:p>
    <w:p>
      <w:pPr>
        <w:pStyle w:val="MZagolvok-Center"/>
        <w:spacing w:before="120" w:after="120"/>
        <w:rPr>
          <w:rFonts w:ascii="Arial" w:hAnsi="Arial" w:cs="Arial"/>
        </w:rPr>
      </w:pPr>
      <w:r>
        <w:rPr/>
        <w:t>Оценка отдельных показателей групп показателей оценки капитала, активов, доходности и ликвидности при нулевом или отрицательном значении знаменателя</w:t>
      </w:r>
    </w:p>
    <w:tbl>
      <w:tblPr>
        <w:tblW w:w="10412" w:type="dxa"/>
        <w:jc w:val="center"/>
        <w:tblInd w:w="0" w:type="dxa"/>
        <w:tblLayout w:type="fixed"/>
        <w:tblCellMar>
          <w:top w:w="0" w:type="dxa"/>
          <w:start w:w="28" w:type="dxa"/>
          <w:bottom w:w="0" w:type="dxa"/>
          <w:end w:w="28" w:type="dxa"/>
        </w:tblCellMar>
      </w:tblPr>
      <w:tblGrid>
        <w:gridCol w:w="530"/>
        <w:gridCol w:w="3826"/>
        <w:gridCol w:w="1135"/>
        <w:gridCol w:w="991"/>
        <w:gridCol w:w="993"/>
        <w:gridCol w:w="2937"/>
      </w:tblGrid>
      <w:tr>
        <w:trPr>
          <w:tblHeader w:val="true"/>
          <w:cantSplit/>
        </w:trPr>
        <w:tc>
          <w:tcPr>
            <w:tcW w:w="530" w:type="dxa"/>
            <w:tcBorders>
              <w:top w:val="single" w:sz="6" w:space="0" w:color="000000"/>
              <w:start w:val="single" w:sz="6" w:space="0" w:color="000000"/>
              <w:bottom w:val="single" w:sz="6" w:space="0" w:color="000000"/>
              <w:end w:val="single" w:sz="6" w:space="0" w:color="000000"/>
            </w:tcBorders>
          </w:tcPr>
          <w:p>
            <w:pPr>
              <w:pStyle w:val="Style15"/>
              <w:ind w:hanging="0" w:start="57" w:end="57"/>
              <w:jc w:val="center"/>
              <w:rPr>
                <w:rFonts w:ascii="Arial" w:hAnsi="Arial" w:cs="Arial"/>
                <w:color w:val="000000"/>
                <w:sz w:val="16"/>
                <w:lang w:val="ru-RU"/>
              </w:rPr>
            </w:pPr>
            <w:r>
              <w:rPr>
                <w:rFonts w:cs="Arial" w:ascii="Arial" w:hAnsi="Arial"/>
                <w:color w:val="000000"/>
                <w:sz w:val="16"/>
                <w:lang w:val="ru-RU"/>
              </w:rPr>
              <w:t xml:space="preserve">№ </w:t>
            </w:r>
            <w:r>
              <w:rPr>
                <w:rFonts w:cs="Arial" w:ascii="Arial" w:hAnsi="Arial"/>
                <w:color w:val="000000"/>
                <w:sz w:val="16"/>
                <w:lang w:val="ru-RU"/>
              </w:rPr>
              <w:t>п/п</w:t>
            </w:r>
          </w:p>
        </w:tc>
        <w:tc>
          <w:tcPr>
            <w:tcW w:w="382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Наименование составляющей показателя, имеющей нулевое или отрицательное значение</w:t>
            </w:r>
          </w:p>
        </w:tc>
        <w:tc>
          <w:tcPr>
            <w:tcW w:w="11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Условное обозначение</w:t>
            </w:r>
          </w:p>
        </w:tc>
        <w:tc>
          <w:tcPr>
            <w:tcW w:w="99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Присвоение 1 балла</w:t>
            </w:r>
          </w:p>
        </w:tc>
        <w:tc>
          <w:tcPr>
            <w:tcW w:w="99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Присвоение 4 баллов</w:t>
            </w:r>
          </w:p>
        </w:tc>
        <w:tc>
          <w:tcPr>
            <w:tcW w:w="29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Особенности порядка расчета показателя</w:t>
            </w:r>
          </w:p>
        </w:tc>
      </w:tr>
      <w:tr>
        <w:trPr>
          <w:tblHeader w:val="true"/>
          <w:cantSplit/>
        </w:trPr>
        <w:tc>
          <w:tcPr>
            <w:tcW w:w="53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c>
          <w:tcPr>
            <w:tcW w:w="3826"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11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99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4</w:t>
            </w:r>
          </w:p>
        </w:tc>
        <w:tc>
          <w:tcPr>
            <w:tcW w:w="99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5</w:t>
            </w:r>
          </w:p>
        </w:tc>
        <w:tc>
          <w:tcPr>
            <w:tcW w:w="29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6</w:t>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c>
          <w:tcPr>
            <w:tcW w:w="3826"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Собственные средства (капитал)</w:t>
            </w:r>
          </w:p>
        </w:tc>
        <w:tc>
          <w:tcPr>
            <w:tcW w:w="11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К </w:t>
            </w:r>
            <w:r>
              <w:rPr>
                <w:rFonts w:cs="Symbol" w:ascii="Symbol" w:hAnsi="Symbol"/>
                <w:color w:val="000000"/>
                <w:sz w:val="16"/>
                <w:lang w:val="ru-RU"/>
              </w:rPr>
              <w:sym w:font="Symbol" w:char="f0a3"/>
            </w:r>
            <w:r>
              <w:rPr>
                <w:rFonts w:cs="Arial" w:ascii="Arial" w:hAnsi="Arial"/>
                <w:color w:val="000000"/>
                <w:sz w:val="16"/>
                <w:lang w:val="ru-RU"/>
              </w:rPr>
              <w:t xml:space="preserve"> 0</w:t>
            </w:r>
          </w:p>
        </w:tc>
        <w:tc>
          <w:tcPr>
            <w:tcW w:w="99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х</w:t>
            </w:r>
          </w:p>
        </w:tc>
        <w:tc>
          <w:tcPr>
            <w:tcW w:w="99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ПА2 </w:t>
              <w:br/>
              <w:t xml:space="preserve">ПА5 </w:t>
              <w:br/>
              <w:t xml:space="preserve">ПА6 </w:t>
              <w:br/>
              <w:t xml:space="preserve">ПА7 </w:t>
              <w:br/>
              <w:t xml:space="preserve">ПД2 </w:t>
              <w:br/>
              <w:t>ПЛ6</w:t>
            </w:r>
          </w:p>
        </w:tc>
        <w:tc>
          <w:tcPr>
            <w:tcW w:w="29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При значении К </w:t>
            </w:r>
            <w:r>
              <w:rPr>
                <w:rFonts w:cs="Symbol" w:ascii="Symbol" w:hAnsi="Symbol"/>
                <w:color w:val="000000"/>
                <w:sz w:val="16"/>
                <w:lang w:val="ru-RU"/>
              </w:rPr>
              <w:sym w:font="Symbol" w:char="f0a3"/>
            </w:r>
            <w:r>
              <w:rPr>
                <w:rFonts w:cs="Arial" w:ascii="Arial" w:hAnsi="Arial"/>
                <w:color w:val="000000"/>
                <w:sz w:val="16"/>
                <w:lang w:val="ru-RU"/>
              </w:rPr>
              <w:t xml:space="preserve"> 0 не рассчитывается</w:t>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3826"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Ссуды, ссудная и приравненная к ней задолженность</w:t>
            </w:r>
          </w:p>
        </w:tc>
        <w:tc>
          <w:tcPr>
            <w:tcW w:w="11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СЗ = 0</w:t>
            </w:r>
          </w:p>
        </w:tc>
        <w:tc>
          <w:tcPr>
            <w:tcW w:w="99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ПА1 </w:t>
              <w:br/>
              <w:t xml:space="preserve">ПА3 </w:t>
              <w:br/>
              <w:t>ПА4</w:t>
            </w:r>
          </w:p>
        </w:tc>
        <w:tc>
          <w:tcPr>
            <w:tcW w:w="993"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c>
          <w:tcPr>
            <w:tcW w:w="29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При значении СЗ = 0 не рассчитывается</w:t>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c>
          <w:tcPr>
            <w:tcW w:w="3826"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Среднехронологическая величина ссуд, ссудной и приравненной к ней задолженности</w:t>
            </w:r>
          </w:p>
        </w:tc>
        <w:tc>
          <w:tcPr>
            <w:tcW w:w="11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СЗср = 0</w:t>
            </w:r>
          </w:p>
        </w:tc>
        <w:tc>
          <w:tcPr>
            <w:tcW w:w="991"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c>
          <w:tcPr>
            <w:tcW w:w="99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ПД6</w:t>
            </w:r>
          </w:p>
        </w:tc>
        <w:tc>
          <w:tcPr>
            <w:tcW w:w="2937"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3826"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Среднехронологическая величина обязательств, генерирующих процентные выплаты</w:t>
            </w:r>
          </w:p>
        </w:tc>
        <w:tc>
          <w:tcPr>
            <w:tcW w:w="11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ОБср = 0</w:t>
            </w:r>
          </w:p>
        </w:tc>
        <w:tc>
          <w:tcPr>
            <w:tcW w:w="99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х</w:t>
            </w:r>
          </w:p>
        </w:tc>
        <w:tc>
          <w:tcPr>
            <w:tcW w:w="99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х</w:t>
            </w:r>
          </w:p>
        </w:tc>
        <w:tc>
          <w:tcPr>
            <w:tcW w:w="29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Дп</w:t>
            </w:r>
          </w:p>
          <w:p>
            <w:pPr>
              <w:pStyle w:val="Style15"/>
              <w:ind w:hanging="0" w:end="0"/>
              <w:jc w:val="center"/>
              <w:rPr>
                <w:rFonts w:ascii="Arial" w:hAnsi="Arial" w:cs="Arial"/>
                <w:color w:val="000000"/>
                <w:sz w:val="16"/>
                <w:lang w:val="ru-RU"/>
              </w:rPr>
            </w:pPr>
            <w:r>
              <w:rPr>
                <w:rFonts w:cs="Arial" w:ascii="Arial" w:hAnsi="Arial"/>
                <w:color w:val="000000"/>
                <w:sz w:val="16"/>
                <w:lang w:val="ru-RU"/>
              </w:rPr>
              <w:t>ПД6 = —————— х 100%</w:t>
            </w:r>
          </w:p>
          <w:p>
            <w:pPr>
              <w:pStyle w:val="Style15"/>
              <w:ind w:hanging="0" w:end="0"/>
              <w:jc w:val="center"/>
              <w:rPr>
                <w:rFonts w:ascii="Arial" w:hAnsi="Arial" w:cs="Arial"/>
                <w:color w:val="000000"/>
                <w:sz w:val="16"/>
                <w:lang w:val="ru-RU"/>
              </w:rPr>
            </w:pPr>
            <w:r>
              <w:rPr>
                <w:rFonts w:cs="Arial" w:ascii="Arial" w:hAnsi="Arial"/>
                <w:color w:val="000000"/>
                <w:sz w:val="16"/>
                <w:lang w:val="ru-RU"/>
              </w:rPr>
              <w:t>СЗср</w:t>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4</w:t>
            </w:r>
          </w:p>
        </w:tc>
        <w:tc>
          <w:tcPr>
            <w:tcW w:w="3826"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Привлеченные средства</w:t>
            </w:r>
          </w:p>
        </w:tc>
        <w:tc>
          <w:tcPr>
            <w:tcW w:w="11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ПС = 0</w:t>
            </w:r>
          </w:p>
        </w:tc>
        <w:tc>
          <w:tcPr>
            <w:tcW w:w="99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ПЛ4 </w:t>
              <w:br/>
              <w:t>ПЛ5</w:t>
            </w:r>
          </w:p>
        </w:tc>
        <w:tc>
          <w:tcPr>
            <w:tcW w:w="99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х</w:t>
            </w:r>
          </w:p>
        </w:tc>
        <w:tc>
          <w:tcPr>
            <w:tcW w:w="29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При значении ПС = 0 не рассчитывается</w:t>
            </w:r>
          </w:p>
        </w:tc>
      </w:tr>
      <w:tr>
        <w:trPr>
          <w:cantSplit/>
        </w:trPr>
        <w:tc>
          <w:tcPr>
            <w:tcW w:w="530"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5</w:t>
            </w:r>
          </w:p>
        </w:tc>
        <w:tc>
          <w:tcPr>
            <w:tcW w:w="3826"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Чистые доходы (расходы)</w:t>
            </w:r>
          </w:p>
        </w:tc>
        <w:tc>
          <w:tcPr>
            <w:tcW w:w="1135"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ЧД </w:t>
            </w:r>
            <w:r>
              <w:rPr>
                <w:rFonts w:cs="Symbol" w:ascii="Symbol" w:hAnsi="Symbol"/>
                <w:color w:val="000000"/>
                <w:sz w:val="16"/>
                <w:lang w:val="ru-RU"/>
              </w:rPr>
              <w:sym w:font="Symbol" w:char="f0a3"/>
            </w:r>
            <w:r>
              <w:rPr>
                <w:rFonts w:cs="Arial" w:ascii="Arial" w:hAnsi="Arial"/>
                <w:color w:val="000000"/>
                <w:sz w:val="16"/>
                <w:lang w:val="ru-RU"/>
              </w:rPr>
              <w:t xml:space="preserve"> 0</w:t>
            </w:r>
          </w:p>
        </w:tc>
        <w:tc>
          <w:tcPr>
            <w:tcW w:w="991"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х</w:t>
            </w:r>
          </w:p>
        </w:tc>
        <w:tc>
          <w:tcPr>
            <w:tcW w:w="993"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ПД4</w:t>
            </w:r>
          </w:p>
        </w:tc>
        <w:tc>
          <w:tcPr>
            <w:tcW w:w="293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 xml:space="preserve">При значении ЧД </w:t>
            </w:r>
            <w:r>
              <w:rPr>
                <w:rFonts w:cs="Symbol" w:ascii="Symbol" w:hAnsi="Symbol"/>
                <w:color w:val="000000"/>
                <w:sz w:val="16"/>
                <w:lang w:val="ru-RU"/>
              </w:rPr>
              <w:sym w:font="Symbol" w:char="f0a3"/>
            </w:r>
            <w:r>
              <w:rPr>
                <w:rFonts w:cs="Arial" w:ascii="Arial" w:hAnsi="Arial"/>
                <w:color w:val="000000"/>
                <w:sz w:val="16"/>
                <w:lang w:val="ru-RU"/>
              </w:rPr>
              <w:t xml:space="preserve"> 0 не рассчитывается</w:t>
            </w:r>
          </w:p>
        </w:tc>
      </w:tr>
    </w:tbl>
    <w:p>
      <w:pPr>
        <w:pStyle w:val="Style15"/>
        <w:rPr>
          <w:rFonts w:ascii="Arial" w:hAnsi="Arial" w:cs="Arial"/>
          <w:lang w:val="ru-RU"/>
        </w:rPr>
      </w:pPr>
      <w:r>
        <w:rPr>
          <w:rFonts w:cs="Arial" w:ascii="Arial" w:hAnsi="Arial"/>
          <w:lang w:val="ru-RU"/>
        </w:rPr>
      </w:r>
      <w:r>
        <w:br w:type="page"/>
      </w:r>
    </w:p>
    <w:p>
      <w:pPr>
        <w:pStyle w:val="MainText-BezOtstupa1"/>
        <w:keepNext w:val="true"/>
        <w:keepLines/>
        <w:jc w:val="end"/>
        <w:rPr>
          <w:rFonts w:ascii="Arial" w:hAnsi="Arial" w:cs="Arial"/>
          <w:color w:val="000000"/>
        </w:rPr>
      </w:pPr>
      <w:r>
        <w:rPr>
          <w:rFonts w:cs="Arial" w:ascii="Arial" w:hAnsi="Arial"/>
          <w:b/>
          <w:color w:val="000000"/>
        </w:rPr>
        <w:t>Приложение 6</w:t>
      </w:r>
      <w:r>
        <w:rPr>
          <w:rFonts w:cs="Arial" w:ascii="Arial" w:hAnsi="Arial"/>
          <w:color w:val="000000"/>
        </w:rPr>
        <w:br/>
        <w:t xml:space="preserve"> к Указанию Банка России</w:t>
        <w:br/>
        <w:t xml:space="preserve"> от 30 апреля 2008 г. № 2005-У</w:t>
        <w:br/>
        <w:t xml:space="preserve"> “Об оценке экономического положения банков”</w:t>
      </w:r>
    </w:p>
    <w:p>
      <w:pPr>
        <w:pStyle w:val="MZagolvok-Center"/>
        <w:spacing w:before="120" w:after="120"/>
        <w:rPr>
          <w:rFonts w:ascii="Arial" w:hAnsi="Arial" w:cs="Arial"/>
        </w:rPr>
      </w:pPr>
      <w:r>
        <w:rPr/>
        <w:t>Показатель системы управления рисками</w:t>
      </w:r>
    </w:p>
    <w:tbl>
      <w:tblPr>
        <w:tblW w:w="10421" w:type="dxa"/>
        <w:jc w:val="center"/>
        <w:tblInd w:w="0" w:type="dxa"/>
        <w:tblLayout w:type="fixed"/>
        <w:tblCellMar>
          <w:top w:w="0" w:type="dxa"/>
          <w:start w:w="108" w:type="dxa"/>
          <w:bottom w:w="0" w:type="dxa"/>
          <w:end w:w="108" w:type="dxa"/>
        </w:tblCellMar>
      </w:tblPr>
      <w:tblGrid>
        <w:gridCol w:w="534"/>
        <w:gridCol w:w="8505"/>
        <w:gridCol w:w="567"/>
        <w:gridCol w:w="815"/>
      </w:tblGrid>
      <w:tr>
        <w:trPr>
          <w:tblHeader w:val="true"/>
          <w:cantSplit/>
        </w:trPr>
        <w:tc>
          <w:tcPr>
            <w:tcW w:w="534"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 xml:space="preserve">№ </w:t>
            </w:r>
            <w:r>
              <w:rPr>
                <w:rFonts w:cs="Arial" w:ascii="Arial" w:hAnsi="Arial"/>
                <w:color w:val="000000"/>
                <w:sz w:val="16"/>
                <w:lang w:val="ru-RU"/>
              </w:rPr>
              <w:t>п/п</w:t>
            </w:r>
          </w:p>
        </w:tc>
        <w:tc>
          <w:tcPr>
            <w:tcW w:w="850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Вопросы</w:t>
            </w:r>
          </w:p>
        </w:tc>
        <w:tc>
          <w:tcPr>
            <w:tcW w:w="567"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Вес</w:t>
            </w:r>
          </w:p>
        </w:tc>
        <w:tc>
          <w:tcPr>
            <w:tcW w:w="81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Баллы</w:t>
            </w:r>
          </w:p>
        </w:tc>
      </w:tr>
      <w:tr>
        <w:trPr>
          <w:tblHeader w:val="true"/>
          <w:cantSplit/>
        </w:trPr>
        <w:tc>
          <w:tcPr>
            <w:tcW w:w="534"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1</w:t>
            </w:r>
          </w:p>
        </w:tc>
        <w:tc>
          <w:tcPr>
            <w:tcW w:w="850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2</w:t>
            </w:r>
          </w:p>
        </w:tc>
        <w:tc>
          <w:tcPr>
            <w:tcW w:w="567"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3</w:t>
            </w:r>
          </w:p>
        </w:tc>
        <w:tc>
          <w:tcPr>
            <w:tcW w:w="81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4</w:t>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Имеются ли в банке подразделения (сотрудник, сотрудники), ответственные за оценку уровня принимаемых рисков?</w:t>
            </w:r>
          </w:p>
        </w:tc>
        <w:tc>
          <w:tcPr>
            <w:tcW w:w="56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Обладают ли члены совета директоров (наблюдательного совета) банка опытом работы на руководящих должностях в области управления финансами?</w:t>
            </w:r>
          </w:p>
        </w:tc>
        <w:tc>
          <w:tcPr>
            <w:tcW w:w="56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Осуществляет ли совет директоров (наблюдательный совет) банка постоянный контроль за деятельностью банка в части соблюдения им законодательства Российской Федерации, в том числе нормативных актов Банка России, внутренних процедур и политик, принятых в банке в области управления рисками?</w:t>
            </w:r>
          </w:p>
        </w:tc>
        <w:tc>
          <w:tcPr>
            <w:tcW w:w="56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4</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Обеспечивается ли в банке своевременное информирование членов совета директоров (наблюдательного совета), исполнительных органов управления, руководителей соответствующих структурных подразделений банка о текущем состоянии банка, в том числе принимаемых банком рисках, включая операции, совершаемые филиалами банка?</w:t>
            </w:r>
          </w:p>
        </w:tc>
        <w:tc>
          <w:tcPr>
            <w:tcW w:w="56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5</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Имеются ли у банка внутренние документы по управлению основными рисками, присущими деятельности банка (кредитным, рыночным, процентным, риском потери ликвидности, операционным и иным рискам, существенным для деятельности банка), в том числе по операциям филиалов банка?</w:t>
            </w:r>
          </w:p>
        </w:tc>
        <w:tc>
          <w:tcPr>
            <w:tcW w:w="56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6</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Соблюдаются ли банком указанные в вопросе 5 внутренние документы?</w:t>
            </w:r>
          </w:p>
        </w:tc>
        <w:tc>
          <w:tcPr>
            <w:tcW w:w="56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7</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Существуют ли в банке формализованные процедуры оценки потенциального воздействия на финансовое состояние банка ряда заданных изменений в факторах риска, которые соответствуют исключительным, но вероятным событиям (стресс-тест)?</w:t>
            </w:r>
          </w:p>
        </w:tc>
        <w:tc>
          <w:tcPr>
            <w:tcW w:w="56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8</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Позволяет ли система управления рисками банка ограничивать риски банка уровнем, соответствующим удовлетворительной оценке групп показателей оценки капитала, активов, доходности и ликвидности, предусмотренных настоящим Указанием, а также обеспечивать соблюдение на ежедневной основе обязательных нормативов, включая лимиты открытых валютных позиций?</w:t>
            </w:r>
          </w:p>
        </w:tc>
        <w:tc>
          <w:tcPr>
            <w:tcW w:w="56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9</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Разработаны ли в банке планы мероприятий на случай возникновения непредвиденных обстоятельств, способных подорвать его финансовое положение, спровоцировать потерю платежеспособности, оказать существенное негативное влияние на капитал и(или) финансовые результаты деятельности банка?</w:t>
            </w:r>
          </w:p>
        </w:tc>
        <w:tc>
          <w:tcPr>
            <w:tcW w:w="567"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bl>
    <w:p>
      <w:pPr>
        <w:pStyle w:val="MainText-BezOtstupa1"/>
        <w:keepNext w:val="true"/>
        <w:keepLines/>
        <w:spacing w:before="120" w:after="0"/>
        <w:rPr>
          <w:rFonts w:ascii="Arial" w:hAnsi="Arial" w:cs="Arial"/>
          <w:b/>
        </w:rPr>
      </w:pPr>
      <w:r>
        <w:rPr>
          <w:rFonts w:cs="Arial" w:ascii="Arial" w:hAnsi="Arial"/>
          <w:b/>
        </w:rPr>
        <w:t>Примечания к заполнению таблицы.</w:t>
      </w:r>
    </w:p>
    <w:p>
      <w:pPr>
        <w:pStyle w:val="MainText"/>
        <w:rPr>
          <w:rFonts w:ascii="Arial" w:hAnsi="Arial" w:cs="Arial"/>
          <w:color w:val="000000"/>
        </w:rPr>
      </w:pPr>
      <w:r>
        <w:rPr>
          <w:rFonts w:cs="Arial" w:ascii="Arial" w:hAnsi="Arial"/>
          <w:color w:val="000000"/>
        </w:rPr>
        <w:t>1. К вопросу 1.</w:t>
      </w:r>
    </w:p>
    <w:p>
      <w:pPr>
        <w:pStyle w:val="MainText"/>
        <w:rPr>
          <w:rFonts w:ascii="Arial" w:hAnsi="Arial" w:cs="Arial"/>
          <w:color w:val="000000"/>
        </w:rPr>
      </w:pPr>
      <w:r>
        <w:rPr>
          <w:rFonts w:cs="Arial" w:ascii="Arial" w:hAnsi="Arial"/>
          <w:color w:val="000000"/>
        </w:rPr>
        <w:t>В зависимости от масштабов деятельности банка достаточным может быть признано наличие сотрудника (сотрудников), осуществляющих соответствующие функции.</w:t>
      </w:r>
    </w:p>
    <w:p>
      <w:pPr>
        <w:pStyle w:val="MainText"/>
        <w:rPr>
          <w:rFonts w:ascii="Arial" w:hAnsi="Arial" w:cs="Arial"/>
          <w:color w:val="000000"/>
        </w:rPr>
      </w:pPr>
      <w:r>
        <w:rPr>
          <w:rFonts w:cs="Arial" w:ascii="Arial" w:hAnsi="Arial"/>
          <w:color w:val="000000"/>
        </w:rPr>
        <w:t>При оценке данного вопроса необходимо учитывать:</w:t>
      </w:r>
    </w:p>
    <w:p>
      <w:pPr>
        <w:pStyle w:val="MainText"/>
        <w:rPr>
          <w:rFonts w:ascii="Arial" w:hAnsi="Arial" w:cs="Arial"/>
          <w:color w:val="000000"/>
        </w:rPr>
      </w:pPr>
      <w:r>
        <w:rPr>
          <w:rFonts w:cs="Arial" w:ascii="Arial" w:hAnsi="Arial"/>
          <w:color w:val="000000"/>
        </w:rPr>
        <w:t>насколько деятельность подразделения (сотрудника, сотрудников), ответственного за оценку уровня принимаемых рисков (далее — подразделение), соответствует требованиям законодательства Российской Федерации, в том числе нормативных актов Банка России, внутренним документам банка;</w:t>
      </w:r>
    </w:p>
    <w:p>
      <w:pPr>
        <w:pStyle w:val="MainText"/>
        <w:rPr>
          <w:rFonts w:ascii="Arial" w:hAnsi="Arial" w:cs="Arial"/>
          <w:color w:val="000000"/>
        </w:rPr>
      </w:pPr>
      <w:r>
        <w:rPr>
          <w:rFonts w:cs="Arial" w:ascii="Arial" w:hAnsi="Arial"/>
          <w:color w:val="000000"/>
        </w:rPr>
        <w:t>охватывает ли деятельность подразделения основные риски, присущие деятельности банка;</w:t>
      </w:r>
    </w:p>
    <w:p>
      <w:pPr>
        <w:pStyle w:val="MainText"/>
        <w:rPr>
          <w:rFonts w:ascii="Arial" w:hAnsi="Arial" w:cs="Arial"/>
          <w:color w:val="000000"/>
        </w:rPr>
      </w:pPr>
      <w:r>
        <w:rPr>
          <w:rFonts w:cs="Arial" w:ascii="Arial" w:hAnsi="Arial"/>
          <w:color w:val="000000"/>
        </w:rPr>
        <w:t>обеспечена ли независимость подразделения от подразделений банка, осуществляющих операции (сделки), несущие риски потерь.</w:t>
      </w:r>
    </w:p>
    <w:p>
      <w:pPr>
        <w:pStyle w:val="MainText"/>
        <w:rPr>
          <w:rFonts w:ascii="Arial" w:hAnsi="Arial" w:cs="Arial"/>
          <w:color w:val="000000"/>
        </w:rPr>
      </w:pPr>
      <w:r>
        <w:rPr>
          <w:rFonts w:cs="Arial" w:ascii="Arial" w:hAnsi="Arial"/>
          <w:color w:val="000000"/>
        </w:rPr>
        <w:t>2. К вопросу 2.</w:t>
      </w:r>
    </w:p>
    <w:p>
      <w:pPr>
        <w:pStyle w:val="MainText"/>
        <w:rPr>
          <w:rFonts w:ascii="Arial" w:hAnsi="Arial" w:cs="Arial"/>
          <w:color w:val="000000"/>
        </w:rPr>
      </w:pPr>
      <w:r>
        <w:rPr>
          <w:rFonts w:cs="Arial" w:ascii="Arial" w:hAnsi="Arial"/>
          <w:color w:val="000000"/>
        </w:rPr>
        <w:t>При оценке данного вопроса необходимо учитывать наличие у членов совета директоров (наблюдательного совета) банка высшего экономического или юридического образования, опыта работы на руководящих должностях в области управления финансами, бухгалтерского учета и(или) правового обеспечения в других отраслях экономики (не менее 2 лет).</w:t>
      </w:r>
    </w:p>
    <w:p>
      <w:pPr>
        <w:pStyle w:val="MainText"/>
        <w:rPr>
          <w:rFonts w:ascii="Arial" w:hAnsi="Arial" w:cs="Arial"/>
          <w:color w:val="000000"/>
        </w:rPr>
      </w:pPr>
      <w:r>
        <w:rPr>
          <w:rFonts w:cs="Arial" w:ascii="Arial" w:hAnsi="Arial"/>
          <w:color w:val="000000"/>
        </w:rPr>
        <w:t>В случае осуществления банком в существенных для него масштабах (5 и более процентов от величины собственных средств (капитала) банка) специфических операций, то есть операций, не связанных с кредитованием, инвестированием и дилингом (например, операций по проектному финансированию, факторингу, лизингу, форфейтингу), а также операций по кредитованию высокотехнологичных и наукоемких отраслей экономики (космическая и атомная отрасли, самолето- и кораблестроение и иные отрасли экономики) необходимо, чтобы отдельные члены совета директоров (наблюдательного совета) банка обладали знаниями и опытом работы в данных областях.</w:t>
      </w:r>
    </w:p>
    <w:p>
      <w:pPr>
        <w:pStyle w:val="MainText"/>
        <w:rPr>
          <w:rFonts w:ascii="Arial" w:hAnsi="Arial" w:cs="Arial"/>
          <w:color w:val="000000"/>
        </w:rPr>
      </w:pPr>
      <w:r>
        <w:rPr>
          <w:rFonts w:cs="Arial" w:ascii="Arial" w:hAnsi="Arial"/>
          <w:color w:val="000000"/>
        </w:rPr>
        <w:t>3. К вопросу 3.</w:t>
      </w:r>
    </w:p>
    <w:p>
      <w:pPr>
        <w:pStyle w:val="MainText"/>
        <w:rPr>
          <w:rFonts w:ascii="Arial" w:hAnsi="Arial" w:cs="Arial"/>
          <w:color w:val="000000"/>
        </w:rPr>
      </w:pPr>
      <w:r>
        <w:rPr>
          <w:rFonts w:cs="Arial" w:ascii="Arial" w:hAnsi="Arial"/>
          <w:color w:val="000000"/>
        </w:rPr>
        <w:t>При оценке осуществления советом директоров (наблюдательным советом) банка контроля за деятельностью банка в части соблюдения законодательства Российской Федерации, в том числе нормативных актов Банка России, внутренних документов банка в области управления рисками необходимо проанализировать:</w:t>
      </w:r>
    </w:p>
    <w:p>
      <w:pPr>
        <w:pStyle w:val="MainText"/>
        <w:rPr>
          <w:rFonts w:ascii="Arial" w:hAnsi="Arial" w:cs="Arial"/>
          <w:color w:val="000000"/>
        </w:rPr>
      </w:pPr>
      <w:r>
        <w:rPr>
          <w:rFonts w:cs="Arial" w:ascii="Arial" w:hAnsi="Arial"/>
          <w:color w:val="000000"/>
        </w:rPr>
        <w:t>3.1. позволяет ли периодичность проведения заседаний совета директоров (наблюдательного совета) банка осуществлять функции, возложенные на него законодательством Российской Федерации и уставом банка, в том числе по рассмотрению отчетов деятельности исполнительного органа о текущих результатах деятельности банка, ходе выполнения планов стратегического планирования, итогов проверок, проводимых Банком России, а также отчетов службы внутреннего контроля;</w:t>
      </w:r>
    </w:p>
    <w:p>
      <w:pPr>
        <w:pStyle w:val="MainText"/>
        <w:rPr>
          <w:rFonts w:ascii="Arial" w:hAnsi="Arial" w:cs="Arial"/>
          <w:color w:val="000000"/>
        </w:rPr>
      </w:pPr>
      <w:r>
        <w:rPr>
          <w:rFonts w:cs="Arial" w:ascii="Arial" w:hAnsi="Arial"/>
          <w:color w:val="000000"/>
        </w:rPr>
        <w:t>3.2. утверждает ли совет директоров (наблюдательный совет) банка внутренние документы банка по управлению рисками, определяющие процедуры по предотвращению конфликта интересов при принятии управленческих решений, а также внутренние документы по иным вопросам, предусмотренным актами Банка России, определяющими современные подходы к организации корпоративного управления в банках;</w:t>
      </w:r>
    </w:p>
    <w:p>
      <w:pPr>
        <w:pStyle w:val="MainText"/>
        <w:rPr>
          <w:rFonts w:ascii="Arial" w:hAnsi="Arial" w:cs="Arial"/>
          <w:color w:val="000000"/>
        </w:rPr>
      </w:pPr>
      <w:r>
        <w:rPr>
          <w:rFonts w:cs="Arial" w:ascii="Arial" w:hAnsi="Arial"/>
          <w:color w:val="000000"/>
        </w:rPr>
        <w:t>3.3. руководствуются ли члены совета директоров (наблюдательного совета) банка при осуществлении своих полномочий рекомендациями Банка России по современным подходам к организации корпоративного управления в банках.</w:t>
      </w:r>
    </w:p>
    <w:p>
      <w:pPr>
        <w:pStyle w:val="MainText"/>
        <w:keepNext w:val="true"/>
        <w:keepLines/>
        <w:rPr>
          <w:rFonts w:ascii="Arial" w:hAnsi="Arial" w:cs="Arial"/>
          <w:color w:val="000000"/>
        </w:rPr>
      </w:pPr>
      <w:r>
        <w:rPr>
          <w:rFonts w:cs="Arial" w:ascii="Arial" w:hAnsi="Arial"/>
          <w:color w:val="000000"/>
        </w:rPr>
        <w:t>4. К вопросу 5.</w:t>
      </w:r>
    </w:p>
    <w:p>
      <w:pPr>
        <w:pStyle w:val="MainText"/>
        <w:rPr>
          <w:rFonts w:ascii="Arial" w:hAnsi="Arial" w:cs="Arial"/>
          <w:color w:val="000000"/>
        </w:rPr>
      </w:pPr>
      <w:r>
        <w:rPr>
          <w:rFonts w:cs="Arial" w:ascii="Arial" w:hAnsi="Arial"/>
          <w:color w:val="000000"/>
        </w:rPr>
        <w:t>4.1. При оценке наличия внутренних документов по управлению основными рисками, присущими деятельности банка (кредитным, рыночным, процентным, риском потери ликвидности, операционным и иным рискам, существенным для деятельности банка), необходимо исходить из степени подверженности банка данным рискам, а также из соответствия внутренних документов по управлению рисками требованиям, предъявляемым к такого рода документам. В связи с этим необходимо оценить, установлены ли данными документами:</w:t>
      </w:r>
    </w:p>
    <w:p>
      <w:pPr>
        <w:pStyle w:val="MainText"/>
        <w:rPr>
          <w:rFonts w:ascii="Arial" w:hAnsi="Arial" w:cs="Arial"/>
          <w:color w:val="000000"/>
        </w:rPr>
      </w:pPr>
      <w:r>
        <w:rPr>
          <w:rFonts w:cs="Arial" w:ascii="Arial" w:hAnsi="Arial"/>
          <w:color w:val="000000"/>
        </w:rPr>
        <w:t>4.1.1. распределение полномочий и ответственности между советом директоров (наблюдательным советом), исполнительными органами, подразделениями и служащими по управлению рисками банка;</w:t>
      </w:r>
    </w:p>
    <w:p>
      <w:pPr>
        <w:pStyle w:val="MainText"/>
        <w:rPr>
          <w:rFonts w:ascii="Arial" w:hAnsi="Arial" w:cs="Arial"/>
          <w:color w:val="000000"/>
        </w:rPr>
      </w:pPr>
      <w:r>
        <w:rPr>
          <w:rFonts w:cs="Arial" w:ascii="Arial" w:hAnsi="Arial"/>
          <w:color w:val="000000"/>
        </w:rPr>
        <w:t>4.1.2. порядок выявления, измерения (оценки) и определения приемлемых уровней рисков (то есть уровней, не приводящих к возникновению реальной угрозы интересам вкладчиков и кредиторов банка);</w:t>
      </w:r>
    </w:p>
    <w:p>
      <w:pPr>
        <w:pStyle w:val="MainText"/>
        <w:rPr>
          <w:rFonts w:ascii="Arial" w:hAnsi="Arial" w:cs="Arial"/>
          <w:color w:val="000000"/>
        </w:rPr>
      </w:pPr>
      <w:r>
        <w:rPr>
          <w:rFonts w:cs="Arial" w:ascii="Arial" w:hAnsi="Arial"/>
          <w:color w:val="000000"/>
        </w:rPr>
        <w:t>4.1.3. порядок мониторинга (постоянного наблюдения) за рисками;</w:t>
      </w:r>
    </w:p>
    <w:p>
      <w:pPr>
        <w:pStyle w:val="MainText"/>
        <w:rPr>
          <w:rFonts w:ascii="Arial" w:hAnsi="Arial" w:cs="Arial"/>
          <w:color w:val="000000"/>
        </w:rPr>
      </w:pPr>
      <w:r>
        <w:rPr>
          <w:rFonts w:cs="Arial" w:ascii="Arial" w:hAnsi="Arial"/>
          <w:color w:val="000000"/>
        </w:rPr>
        <w:t>4.1.4. методы контроля (ограничения, снижения, компенсации) рисков;</w:t>
      </w:r>
    </w:p>
    <w:p>
      <w:pPr>
        <w:pStyle w:val="MainText"/>
        <w:rPr>
          <w:rFonts w:ascii="Arial" w:hAnsi="Arial" w:cs="Arial"/>
          <w:color w:val="000000"/>
        </w:rPr>
      </w:pPr>
      <w:r>
        <w:rPr>
          <w:rFonts w:cs="Arial" w:ascii="Arial" w:hAnsi="Arial"/>
          <w:color w:val="000000"/>
        </w:rPr>
        <w:t>4.1.5. порядок информационного обеспечения подразделений, ответственных за принимаемые риски, по вопросам управления рисками;</w:t>
      </w:r>
    </w:p>
    <w:p>
      <w:pPr>
        <w:pStyle w:val="MainText"/>
        <w:rPr>
          <w:rFonts w:ascii="Arial" w:hAnsi="Arial" w:cs="Arial"/>
          <w:color w:val="000000"/>
        </w:rPr>
      </w:pPr>
      <w:r>
        <w:rPr>
          <w:rFonts w:cs="Arial" w:ascii="Arial" w:hAnsi="Arial"/>
          <w:color w:val="000000"/>
        </w:rPr>
        <w:t>4.1.6. порядок осуществления контроля за эффективностью управления рисками;</w:t>
      </w:r>
    </w:p>
    <w:p>
      <w:pPr>
        <w:pStyle w:val="MainText"/>
        <w:rPr>
          <w:rFonts w:ascii="Arial" w:hAnsi="Arial" w:cs="Arial"/>
          <w:color w:val="000000"/>
        </w:rPr>
      </w:pPr>
      <w:r>
        <w:rPr>
          <w:rFonts w:cs="Arial" w:ascii="Arial" w:hAnsi="Arial"/>
          <w:color w:val="000000"/>
        </w:rPr>
        <w:t>4.1.7. методики и процедуры установления предельных значений (лимитов) рисков для филиалов и внутренних структурных подразделений банка;</w:t>
      </w:r>
    </w:p>
    <w:p>
      <w:pPr>
        <w:pStyle w:val="MainText"/>
        <w:rPr>
          <w:rFonts w:ascii="Arial" w:hAnsi="Arial" w:cs="Arial"/>
          <w:color w:val="000000"/>
        </w:rPr>
      </w:pPr>
      <w:r>
        <w:rPr>
          <w:rFonts w:cs="Arial" w:ascii="Arial" w:hAnsi="Arial"/>
          <w:color w:val="000000"/>
        </w:rPr>
        <w:t>4.2. в документах по вопросам управления кредитным риском:</w:t>
      </w:r>
    </w:p>
    <w:p>
      <w:pPr>
        <w:pStyle w:val="MainText"/>
        <w:rPr>
          <w:rFonts w:ascii="Arial" w:hAnsi="Arial" w:cs="Arial"/>
          <w:color w:val="000000"/>
        </w:rPr>
      </w:pPr>
      <w:r>
        <w:rPr>
          <w:rFonts w:cs="Arial" w:ascii="Arial" w:hAnsi="Arial"/>
          <w:color w:val="000000"/>
        </w:rPr>
        <w:t>4.2.1. процедуры предоставления ссуд, включая принятие решений об их выдаче;</w:t>
      </w:r>
    </w:p>
    <w:p>
      <w:pPr>
        <w:pStyle w:val="MainText"/>
        <w:rPr>
          <w:rFonts w:ascii="Arial" w:hAnsi="Arial" w:cs="Arial"/>
          <w:color w:val="000000"/>
        </w:rPr>
      </w:pPr>
      <w:r>
        <w:rPr>
          <w:rFonts w:cs="Arial" w:ascii="Arial" w:hAnsi="Arial"/>
          <w:color w:val="000000"/>
        </w:rPr>
        <w:t>4.2.2. методика определения и порядок установления лимитов (лимит риска на одного заемщика (группу связанных заемщиков) на отрасль (сектор) экономики, прочие лимиты);</w:t>
      </w:r>
    </w:p>
    <w:p>
      <w:pPr>
        <w:pStyle w:val="MainText"/>
        <w:rPr>
          <w:rFonts w:ascii="Arial" w:hAnsi="Arial" w:cs="Arial"/>
          <w:color w:val="000000"/>
        </w:rPr>
      </w:pPr>
      <w:r>
        <w:rPr>
          <w:rFonts w:cs="Arial" w:ascii="Arial" w:hAnsi="Arial"/>
          <w:color w:val="000000"/>
        </w:rPr>
        <w:t>4.2.3. методы по оценке финансового положения заемщиков;</w:t>
      </w:r>
    </w:p>
    <w:p>
      <w:pPr>
        <w:pStyle w:val="MainText"/>
        <w:rPr>
          <w:rFonts w:ascii="Arial" w:hAnsi="Arial" w:cs="Arial"/>
          <w:color w:val="000000"/>
        </w:rPr>
      </w:pPr>
      <w:r>
        <w:rPr>
          <w:rFonts w:cs="Arial" w:ascii="Arial" w:hAnsi="Arial"/>
          <w:color w:val="000000"/>
        </w:rPr>
        <w:t>4.2.4. требования, предъявляемые к обеспечению по ссудам;</w:t>
      </w:r>
    </w:p>
    <w:p>
      <w:pPr>
        <w:pStyle w:val="MainText"/>
        <w:rPr>
          <w:rFonts w:ascii="Arial" w:hAnsi="Arial" w:cs="Arial"/>
          <w:color w:val="000000"/>
        </w:rPr>
      </w:pPr>
      <w:r>
        <w:rPr>
          <w:rFonts w:cs="Arial" w:ascii="Arial" w:hAnsi="Arial"/>
          <w:color w:val="000000"/>
        </w:rPr>
        <w:t>4.2.5. процедуры оценки качества ссуд;</w:t>
      </w:r>
    </w:p>
    <w:p>
      <w:pPr>
        <w:pStyle w:val="MainText"/>
        <w:rPr>
          <w:rFonts w:ascii="Arial" w:hAnsi="Arial" w:cs="Arial"/>
          <w:color w:val="000000"/>
        </w:rPr>
      </w:pPr>
      <w:r>
        <w:rPr>
          <w:rFonts w:cs="Arial" w:ascii="Arial" w:hAnsi="Arial"/>
          <w:color w:val="000000"/>
        </w:rPr>
        <w:t>4.3. в документах по вопросам управления риском ликвидности:</w:t>
      </w:r>
    </w:p>
    <w:p>
      <w:pPr>
        <w:pStyle w:val="MainText"/>
        <w:rPr>
          <w:rFonts w:ascii="Arial" w:hAnsi="Arial" w:cs="Arial"/>
          <w:color w:val="000000"/>
        </w:rPr>
      </w:pPr>
      <w:r>
        <w:rPr>
          <w:rFonts w:cs="Arial" w:ascii="Arial" w:hAnsi="Arial"/>
          <w:color w:val="000000"/>
        </w:rPr>
        <w:t>4.3.1. процедуры по управлению краткосрочной и среднесрочной ликвидностью;</w:t>
      </w:r>
    </w:p>
    <w:p>
      <w:pPr>
        <w:pStyle w:val="MainText"/>
        <w:rPr>
          <w:rFonts w:ascii="Arial" w:hAnsi="Arial" w:cs="Arial"/>
          <w:color w:val="000000"/>
        </w:rPr>
      </w:pPr>
      <w:r>
        <w:rPr>
          <w:rFonts w:cs="Arial" w:ascii="Arial" w:hAnsi="Arial"/>
          <w:color w:val="000000"/>
        </w:rPr>
        <w:t>4.3.2. порядок установления лимитов (максимальная величина разрыва ликвидности, соотношение предоставленных кредитов и средств на счетах клиентов, лимит на использование остатков на расчетных счетах клиентов для формирования портфеля срочных инструментов, прочие лимиты);</w:t>
      </w:r>
    </w:p>
    <w:p>
      <w:pPr>
        <w:pStyle w:val="MainText"/>
        <w:rPr>
          <w:rFonts w:ascii="Arial" w:hAnsi="Arial" w:cs="Arial"/>
          <w:color w:val="000000"/>
        </w:rPr>
      </w:pPr>
      <w:r>
        <w:rPr>
          <w:rFonts w:cs="Arial" w:ascii="Arial" w:hAnsi="Arial"/>
          <w:color w:val="000000"/>
        </w:rPr>
        <w:t>4.3.3. мероприятия по восполнению ликвидности в случае возникновения ее дефицита;</w:t>
      </w:r>
    </w:p>
    <w:p>
      <w:pPr>
        <w:pStyle w:val="MainText"/>
        <w:rPr>
          <w:rFonts w:ascii="Arial" w:hAnsi="Arial" w:cs="Arial"/>
          <w:color w:val="000000"/>
        </w:rPr>
      </w:pPr>
      <w:r>
        <w:rPr>
          <w:rFonts w:cs="Arial" w:ascii="Arial" w:hAnsi="Arial"/>
          <w:color w:val="000000"/>
        </w:rPr>
        <w:t>4.4. в документах по вопросам управления рыночным риском:</w:t>
      </w:r>
    </w:p>
    <w:p>
      <w:pPr>
        <w:pStyle w:val="MainText"/>
        <w:rPr>
          <w:rFonts w:ascii="Arial" w:hAnsi="Arial" w:cs="Arial"/>
          <w:color w:val="000000"/>
        </w:rPr>
      </w:pPr>
      <w:r>
        <w:rPr>
          <w:rFonts w:cs="Arial" w:ascii="Arial" w:hAnsi="Arial"/>
          <w:color w:val="000000"/>
        </w:rPr>
        <w:t>4.4.1. процедуры управления рыночным риском, включая организационную структуру (функции и подчиненность структурных подразделений, занимающихся заключением сделок, сопровождением и администрированием сделок, оформлением операций, расчетами, обработкой данных, ведением учета по осуществленным сделкам);</w:t>
      </w:r>
    </w:p>
    <w:p>
      <w:pPr>
        <w:pStyle w:val="MainText"/>
        <w:rPr>
          <w:rFonts w:ascii="Arial" w:hAnsi="Arial" w:cs="Arial"/>
          <w:color w:val="000000"/>
        </w:rPr>
      </w:pPr>
      <w:r>
        <w:rPr>
          <w:rFonts w:cs="Arial" w:ascii="Arial" w:hAnsi="Arial"/>
          <w:color w:val="000000"/>
        </w:rPr>
        <w:t>4.4.2. методики измерения рисков;</w:t>
      </w:r>
    </w:p>
    <w:p>
      <w:pPr>
        <w:pStyle w:val="MainText"/>
        <w:rPr>
          <w:rFonts w:ascii="Arial" w:hAnsi="Arial" w:cs="Arial"/>
          <w:color w:val="000000"/>
        </w:rPr>
      </w:pPr>
      <w:r>
        <w:rPr>
          <w:rFonts w:cs="Arial" w:ascii="Arial" w:hAnsi="Arial"/>
          <w:color w:val="000000"/>
        </w:rPr>
        <w:t>4.4.3. порядок установления лимитов (включая виды инструментов, на которые устанавливаются лимиты, типы лимитов);</w:t>
      </w:r>
    </w:p>
    <w:p>
      <w:pPr>
        <w:pStyle w:val="MainText"/>
        <w:rPr>
          <w:rFonts w:ascii="Arial" w:hAnsi="Arial" w:cs="Arial"/>
          <w:color w:val="000000"/>
        </w:rPr>
      </w:pPr>
      <w:r>
        <w:rPr>
          <w:rFonts w:cs="Arial" w:ascii="Arial" w:hAnsi="Arial"/>
          <w:color w:val="000000"/>
        </w:rPr>
        <w:t>4.5. в документах по вопросам управления процентным риском — методики оценки процентного риска;</w:t>
      </w:r>
    </w:p>
    <w:p>
      <w:pPr>
        <w:pStyle w:val="MainText"/>
        <w:rPr>
          <w:rFonts w:ascii="Arial" w:hAnsi="Arial" w:cs="Arial"/>
          <w:color w:val="000000"/>
        </w:rPr>
      </w:pPr>
      <w:r>
        <w:rPr>
          <w:rFonts w:cs="Arial" w:ascii="Arial" w:hAnsi="Arial"/>
          <w:color w:val="000000"/>
        </w:rPr>
        <w:t>4.6. в документах по вопросам управления операционным риском:</w:t>
      </w:r>
    </w:p>
    <w:p>
      <w:pPr>
        <w:pStyle w:val="MainText"/>
        <w:rPr>
          <w:rFonts w:ascii="Arial" w:hAnsi="Arial" w:cs="Arial"/>
          <w:color w:val="000000"/>
        </w:rPr>
      </w:pPr>
      <w:r>
        <w:rPr>
          <w:rFonts w:cs="Arial" w:ascii="Arial" w:hAnsi="Arial"/>
          <w:color w:val="000000"/>
        </w:rPr>
        <w:t>4.6.1. процедуры оценки операционных рисков, характерных для различных направлений деятельности банка;</w:t>
      </w:r>
    </w:p>
    <w:p>
      <w:pPr>
        <w:pStyle w:val="MainText"/>
        <w:rPr>
          <w:rFonts w:ascii="Arial" w:hAnsi="Arial" w:cs="Arial"/>
          <w:color w:val="000000"/>
        </w:rPr>
      </w:pPr>
      <w:r>
        <w:rPr>
          <w:rFonts w:cs="Arial" w:ascii="Arial" w:hAnsi="Arial"/>
          <w:color w:val="000000"/>
        </w:rPr>
        <w:t>4.6.2. методика оценки и анализа вероятности наступления операционных рисков и расчета величин возможных потерь.</w:t>
      </w:r>
    </w:p>
    <w:p>
      <w:pPr>
        <w:pStyle w:val="MainText"/>
        <w:rPr>
          <w:rFonts w:ascii="Arial" w:hAnsi="Arial" w:cs="Arial"/>
          <w:color w:val="000000"/>
        </w:rPr>
      </w:pPr>
      <w:r>
        <w:rPr>
          <w:rFonts w:cs="Arial" w:ascii="Arial" w:hAnsi="Arial"/>
          <w:color w:val="000000"/>
        </w:rPr>
        <w:t>При оценке данного вопроса необходимо учитывать, соблюдены ли банком в его внутренних документах по управлению рисками требования нормативных и иных актов Банка России, определяющих организацию и порядок управления отдельными видами типичных банковских рисков (например, Инструкции Банка России № 110-И в части установления контроля за ежедневным выполнением обязательных нормативов, Положения Банка России от 16 декабря 2003 года № 242-П “Об организации внутреннего контроля в кредитных организациях и банковских группах”, зарегистрированного Министерством юстиции Российской Федерации 27 января 2004 года № 5489; 22 декабря 2004 года № 6222 (“Вестник Банка России” от 4 февраля 2004 года № 7; от 31 декабря 2004 года № 74) (далее — Положение Банка России № 242-П).</w:t>
      </w:r>
    </w:p>
    <w:p>
      <w:pPr>
        <w:pStyle w:val="MainText"/>
        <w:rPr>
          <w:rFonts w:ascii="Arial" w:hAnsi="Arial" w:cs="Arial"/>
          <w:color w:val="000000"/>
        </w:rPr>
      </w:pPr>
      <w:r>
        <w:rPr>
          <w:rFonts w:cs="Arial" w:ascii="Arial" w:hAnsi="Arial"/>
          <w:color w:val="000000"/>
        </w:rPr>
        <w:t>5. К вопросу 7.</w:t>
      </w:r>
    </w:p>
    <w:p>
      <w:pPr>
        <w:pStyle w:val="MainText"/>
        <w:rPr>
          <w:rFonts w:ascii="Arial" w:hAnsi="Arial" w:cs="Arial"/>
          <w:color w:val="000000"/>
        </w:rPr>
      </w:pPr>
      <w:r>
        <w:rPr>
          <w:rFonts w:cs="Arial" w:ascii="Arial" w:hAnsi="Arial"/>
          <w:color w:val="000000"/>
        </w:rPr>
        <w:t>При оценке данного вопроса необходимо учитывать, носят ли стресс-тесты комплексный характер, то есть охватывают ли они основные риски, присущие деятельности банка (кредитный, рыночный, процентный, риск потери ликвидности, операционный и иные риски, существенные для деятельности банка).</w:t>
      </w:r>
    </w:p>
    <w:p>
      <w:pPr>
        <w:pStyle w:val="MainText"/>
        <w:rPr>
          <w:rFonts w:ascii="Arial" w:hAnsi="Arial" w:cs="Arial"/>
          <w:color w:val="000000"/>
        </w:rPr>
      </w:pPr>
      <w:r>
        <w:rPr>
          <w:rFonts w:cs="Arial" w:ascii="Arial" w:hAnsi="Arial"/>
          <w:color w:val="000000"/>
        </w:rPr>
        <w:t>6. К вопросу 8.</w:t>
      </w:r>
    </w:p>
    <w:p>
      <w:pPr>
        <w:pStyle w:val="MainText"/>
        <w:rPr>
          <w:rFonts w:ascii="Arial" w:hAnsi="Arial" w:cs="Arial"/>
          <w:color w:val="000000"/>
        </w:rPr>
      </w:pPr>
      <w:r>
        <w:rPr>
          <w:rFonts w:cs="Arial" w:ascii="Arial" w:hAnsi="Arial"/>
          <w:color w:val="000000"/>
        </w:rPr>
        <w:t>При оценке данного вопроса следует исходить из следующего:</w:t>
      </w:r>
    </w:p>
    <w:p>
      <w:pPr>
        <w:pStyle w:val="MainText"/>
        <w:rPr>
          <w:rFonts w:ascii="Arial" w:hAnsi="Arial" w:cs="Arial"/>
          <w:color w:val="000000"/>
        </w:rPr>
      </w:pPr>
      <w:r>
        <w:rPr>
          <w:rFonts w:cs="Arial" w:ascii="Arial" w:hAnsi="Arial"/>
          <w:color w:val="000000"/>
        </w:rPr>
        <w:t>1 балл присваивается в случае, если оценка всех 4 групп показателей оценки капитала, качества активов, доходности и ликвидности, а также оценка всех показателей, входящих в состав данных групп, меньше либо равна 2 баллам;</w:t>
      </w:r>
    </w:p>
    <w:p>
      <w:pPr>
        <w:pStyle w:val="MainText"/>
        <w:rPr>
          <w:rFonts w:ascii="Arial" w:hAnsi="Arial" w:cs="Arial"/>
          <w:color w:val="000000"/>
        </w:rPr>
      </w:pPr>
      <w:r>
        <w:rPr>
          <w:rFonts w:cs="Arial" w:ascii="Arial" w:hAnsi="Arial"/>
          <w:color w:val="000000"/>
        </w:rPr>
        <w:t>2 балла присваиваются в случае, если оценка всех 4 групп показателей оценки капитала, качества активов, доходности и ликвидности меньше либо равна 2 баллам при оценке хуже, чем 2 балла отдельных показателей внутри групп;</w:t>
      </w:r>
    </w:p>
    <w:p>
      <w:pPr>
        <w:pStyle w:val="MainText"/>
        <w:rPr>
          <w:rFonts w:ascii="Arial" w:hAnsi="Arial" w:cs="Arial"/>
          <w:color w:val="000000"/>
        </w:rPr>
      </w:pPr>
      <w:r>
        <w:rPr>
          <w:rFonts w:cs="Arial" w:ascii="Arial" w:hAnsi="Arial"/>
          <w:color w:val="000000"/>
        </w:rPr>
        <w:t>3 балла присваиваются в случае, если оценка 3 групп из групп показателей оценки капитала, качества активов, доходности и ликвидности меньше или равна 2 баллам;</w:t>
      </w:r>
    </w:p>
    <w:p>
      <w:pPr>
        <w:pStyle w:val="MainText"/>
        <w:rPr>
          <w:rFonts w:ascii="Arial" w:hAnsi="Arial" w:cs="Arial"/>
          <w:color w:val="000000"/>
        </w:rPr>
      </w:pPr>
      <w:r>
        <w:rPr>
          <w:rFonts w:cs="Arial" w:ascii="Arial" w:hAnsi="Arial"/>
          <w:color w:val="000000"/>
        </w:rPr>
        <w:t>4 балла присваиваются в случае, если оценка 2 и более групп из групп показателей оценки капитала, качества активов, доходности и ликвидности хуже, чем 2 балла.</w:t>
      </w:r>
    </w:p>
    <w:p>
      <w:pPr>
        <w:pStyle w:val="Style15"/>
        <w:rPr>
          <w:rFonts w:ascii="Arial" w:hAnsi="Arial" w:cs="Arial"/>
          <w:lang w:val="ru-RU"/>
        </w:rPr>
      </w:pPr>
      <w:r>
        <w:rPr>
          <w:rFonts w:cs="Arial" w:ascii="Arial" w:hAnsi="Arial"/>
          <w:color w:val="000000"/>
          <w:lang w:val="ru-RU"/>
        </w:rPr>
      </w:r>
      <w:r>
        <w:br w:type="page"/>
      </w:r>
    </w:p>
    <w:p>
      <w:pPr>
        <w:pStyle w:val="MainText-BezOtstupa1"/>
        <w:keepNext w:val="true"/>
        <w:keepLines/>
        <w:jc w:val="end"/>
        <w:rPr>
          <w:rFonts w:ascii="Arial" w:hAnsi="Arial" w:cs="Arial"/>
          <w:color w:val="000000"/>
        </w:rPr>
      </w:pPr>
      <w:r>
        <w:rPr>
          <w:rFonts w:cs="Arial" w:ascii="Arial" w:hAnsi="Arial"/>
          <w:b/>
          <w:color w:val="000000"/>
        </w:rPr>
        <w:t>Приложение 7</w:t>
      </w:r>
      <w:r>
        <w:rPr>
          <w:rFonts w:cs="Arial" w:ascii="Arial" w:hAnsi="Arial"/>
          <w:color w:val="000000"/>
        </w:rPr>
        <w:br/>
        <w:t xml:space="preserve"> к Указанию Банка России</w:t>
        <w:br/>
        <w:t xml:space="preserve"> от 30 апреля 2008 г. № 2005-У</w:t>
        <w:br/>
        <w:t xml:space="preserve"> “Об оценке экономического положения банков”</w:t>
      </w:r>
    </w:p>
    <w:p>
      <w:pPr>
        <w:pStyle w:val="MZagolvok-Center"/>
        <w:spacing w:before="120" w:after="120"/>
        <w:rPr>
          <w:rFonts w:ascii="Arial" w:hAnsi="Arial" w:cs="Arial"/>
        </w:rPr>
      </w:pPr>
      <w:r>
        <w:rPr/>
        <w:t>Показатель состояния внутреннего контроля</w:t>
      </w:r>
    </w:p>
    <w:tbl>
      <w:tblPr>
        <w:tblW w:w="10422" w:type="dxa"/>
        <w:jc w:val="center"/>
        <w:tblInd w:w="0" w:type="dxa"/>
        <w:tblLayout w:type="fixed"/>
        <w:tblCellMar>
          <w:top w:w="0" w:type="dxa"/>
          <w:start w:w="108" w:type="dxa"/>
          <w:bottom w:w="0" w:type="dxa"/>
          <w:end w:w="108" w:type="dxa"/>
        </w:tblCellMar>
      </w:tblPr>
      <w:tblGrid>
        <w:gridCol w:w="534"/>
        <w:gridCol w:w="8505"/>
        <w:gridCol w:w="568"/>
        <w:gridCol w:w="815"/>
      </w:tblGrid>
      <w:tr>
        <w:trPr>
          <w:tblHeader w:val="true"/>
          <w:cantSplit/>
        </w:trPr>
        <w:tc>
          <w:tcPr>
            <w:tcW w:w="534"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 xml:space="preserve">№ </w:t>
            </w:r>
            <w:r>
              <w:rPr>
                <w:rFonts w:cs="Arial" w:ascii="Arial" w:hAnsi="Arial"/>
                <w:color w:val="000000"/>
                <w:sz w:val="16"/>
                <w:lang w:val="ru-RU"/>
              </w:rPr>
              <w:t>п/п</w:t>
            </w:r>
          </w:p>
        </w:tc>
        <w:tc>
          <w:tcPr>
            <w:tcW w:w="850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Вопросы</w:t>
            </w:r>
          </w:p>
        </w:tc>
        <w:tc>
          <w:tcPr>
            <w:tcW w:w="568"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Вес</w:t>
            </w:r>
          </w:p>
        </w:tc>
        <w:tc>
          <w:tcPr>
            <w:tcW w:w="81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Баллы</w:t>
            </w:r>
          </w:p>
        </w:tc>
      </w:tr>
      <w:tr>
        <w:trPr>
          <w:tblHeader w:val="true"/>
          <w:cantSplit/>
        </w:trPr>
        <w:tc>
          <w:tcPr>
            <w:tcW w:w="534"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1</w:t>
            </w:r>
          </w:p>
        </w:tc>
        <w:tc>
          <w:tcPr>
            <w:tcW w:w="850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2</w:t>
            </w:r>
          </w:p>
        </w:tc>
        <w:tc>
          <w:tcPr>
            <w:tcW w:w="568"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3</w:t>
            </w:r>
          </w:p>
        </w:tc>
        <w:tc>
          <w:tcPr>
            <w:tcW w:w="81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4</w:t>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Соответствуют ли внутренние документы банка, регламентирующие правила организации системы внутреннего контроля, требованиям Банка России?</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Осуществляют ли органы управления банка внутренний контроль в соответствии с требованиями и полномочиями, определенными учредительными и внутренними документами банка?</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Осуществляется ли в банке контроль за распределением полномочий при совершении операций (сделок)?</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4</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Осуществляется ли в банке контроль за управлением информационными потоками?</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5</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 всем ли направлениям деятельности (банковским продуктам) приняты внутренние документы (правила, процедуры, положения, распоряжения, решения, приказы, методики, должностные инструкции и иные документы), регламентирующие осуществление внутреннего контроля?</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6</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Позволяет ли организация службы внутреннего контроля банка эффективно осуществлять возложенные на нее функции?</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7</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Осуществляет ли совет директоров (наблюдательный совет) банка контроль за деятельностью службы внутреннего контроля?</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8</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Функционирует ли в банке структурное подразделение (ответственный сотрудник) по противодействию легализации (отмыванию) доходов, полученных преступным путем, и финансированию терроризма?</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9</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Соответствует ли ответственный сотрудник (сотрудники структурного подразделения) по противодействию легализации (отмыванию) доходов, полученных преступным путем, и финансированию терроризма, требованиям Банка России?</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10</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Имеются ли в банке правила внутреннего контроля в целях противодействия легализации (отмыванию) доходов, полученных преступным путем, и финансированию терроризма?</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11</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Позволяет ли система внутреннего контроля в целях противодействия легализации (отмыванию) доходов, полученных преступным путем, и финансированию терроризма уделять повышенное внимание операциям клиентов с повышенной степенью (уровнем) риска и обеспечить документальное фиксирование информации в соответствии с требованиями Федерального закона “О противодействии легализации (отмыванию) доходов, полученных преступным путем, и финансированию терроризма” (Собрание законодательства Российской Федерации, 2001, № 33, ст. 3418; 2002, № 30, ст. 3029; № 44, ст. 4296; 2004, № 31, ст. 3224; 2005, № 47, ст. 4828; 2006, № 31, ст. 3446, ст. 3452; 2007, № 16, ст. 1831; № 31, ст. 3993, ст. 4011; № 49, ст. 6036)?</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12</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Соблюдаются ли правила внутреннего контроля в целях противодействия легализации (отмыванию) доходов, полученных преступным путем, и финансированию терроризма?</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13</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Обеспечивает ли банк в процессе своей деятельности соблюдение требований законодательства Российской Федерации и нормативных актов Банка России, в том числе определяющих порядок и сроки представления отчетности, а также порядок обязательного резервирования?</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14</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Обеспечивает ли банк своевременное выполнение требований Банка России в части устранения выявленных в его деятельности нарушений и недостатков, а также реализацию рекомендаций Банка России?</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bl>
    <w:p>
      <w:pPr>
        <w:pStyle w:val="MainText-BezOtstupa1"/>
        <w:spacing w:before="120" w:after="0"/>
        <w:rPr>
          <w:rFonts w:ascii="Arial" w:hAnsi="Arial" w:cs="Arial"/>
          <w:b/>
        </w:rPr>
      </w:pPr>
      <w:r>
        <w:rPr>
          <w:rFonts w:cs="Arial" w:ascii="Arial" w:hAnsi="Arial"/>
          <w:b/>
        </w:rPr>
        <w:t>Примечания к заполнению таблицы.</w:t>
      </w:r>
    </w:p>
    <w:p>
      <w:pPr>
        <w:pStyle w:val="MainText"/>
        <w:rPr>
          <w:rFonts w:ascii="Arial" w:hAnsi="Arial" w:cs="Arial"/>
          <w:color w:val="000000"/>
        </w:rPr>
      </w:pPr>
      <w:r>
        <w:rPr>
          <w:rFonts w:cs="Arial" w:ascii="Arial" w:hAnsi="Arial"/>
          <w:color w:val="000000"/>
        </w:rPr>
        <w:t>1. К вопросу 6.</w:t>
      </w:r>
    </w:p>
    <w:p>
      <w:pPr>
        <w:pStyle w:val="MainText"/>
        <w:rPr>
          <w:rFonts w:ascii="Arial" w:hAnsi="Arial" w:cs="Arial"/>
          <w:color w:val="000000"/>
        </w:rPr>
      </w:pPr>
      <w:r>
        <w:rPr>
          <w:rFonts w:cs="Arial" w:ascii="Arial" w:hAnsi="Arial"/>
          <w:color w:val="000000"/>
        </w:rPr>
        <w:t>При оценке данного вопроса следует исходить из требований Положения Банка России № 242-П, обращая внимание на следующее:</w:t>
      </w:r>
    </w:p>
    <w:p>
      <w:pPr>
        <w:pStyle w:val="MainText"/>
        <w:rPr>
          <w:rFonts w:ascii="Arial" w:hAnsi="Arial" w:cs="Arial"/>
          <w:color w:val="000000"/>
        </w:rPr>
      </w:pPr>
      <w:r>
        <w:rPr>
          <w:rFonts w:cs="Arial" w:ascii="Arial" w:hAnsi="Arial"/>
          <w:color w:val="000000"/>
        </w:rPr>
        <w:t>обеспечивают ли подотчетность службы внутреннего контроля банка и выполняемые ею функции независимость, объективность и беспристрастность данной службы;</w:t>
      </w:r>
    </w:p>
    <w:p>
      <w:pPr>
        <w:pStyle w:val="MainText"/>
        <w:rPr>
          <w:rFonts w:ascii="Arial" w:hAnsi="Arial" w:cs="Arial"/>
          <w:color w:val="000000"/>
        </w:rPr>
      </w:pPr>
      <w:r>
        <w:rPr>
          <w:rFonts w:cs="Arial" w:ascii="Arial" w:hAnsi="Arial"/>
          <w:color w:val="000000"/>
        </w:rPr>
        <w:t>обладают ли служащие службы внутреннего контроля банка достаточными знаниями о банковской деятельности, методах внутреннего контроля и сбора информации, ее анализа и оценки для выполнения служебных обязанностей;</w:t>
      </w:r>
    </w:p>
    <w:p>
      <w:pPr>
        <w:pStyle w:val="MainText"/>
        <w:rPr>
          <w:rFonts w:ascii="Arial" w:hAnsi="Arial" w:cs="Arial"/>
          <w:color w:val="000000"/>
        </w:rPr>
      </w:pPr>
      <w:r>
        <w:rPr>
          <w:rFonts w:cs="Arial" w:ascii="Arial" w:hAnsi="Arial"/>
          <w:color w:val="000000"/>
        </w:rPr>
        <w:t>утверждаются ли советом директоров (наблюдательным советом) банка планы проверок службы внутреннего контроля;</w:t>
      </w:r>
    </w:p>
    <w:p>
      <w:pPr>
        <w:pStyle w:val="MainText"/>
        <w:rPr>
          <w:rFonts w:ascii="Arial" w:hAnsi="Arial" w:cs="Arial"/>
          <w:color w:val="000000"/>
        </w:rPr>
      </w:pPr>
      <w:r>
        <w:rPr>
          <w:rFonts w:cs="Arial" w:ascii="Arial" w:hAnsi="Arial"/>
          <w:color w:val="000000"/>
        </w:rPr>
        <w:t>выполняются ли планы проверок службы внутреннего контроля банка;</w:t>
      </w:r>
    </w:p>
    <w:p>
      <w:pPr>
        <w:pStyle w:val="MainText"/>
        <w:rPr>
          <w:rFonts w:ascii="Arial" w:hAnsi="Arial" w:cs="Arial"/>
          <w:color w:val="000000"/>
        </w:rPr>
      </w:pPr>
      <w:r>
        <w:rPr>
          <w:rFonts w:cs="Arial" w:ascii="Arial" w:hAnsi="Arial"/>
          <w:color w:val="000000"/>
        </w:rPr>
        <w:t>осуществляет ли служба внутреннего контроля банка свою деятельность на постоянной основе;</w:t>
      </w:r>
    </w:p>
    <w:p>
      <w:pPr>
        <w:pStyle w:val="MainText"/>
        <w:rPr>
          <w:rFonts w:ascii="Arial" w:hAnsi="Arial" w:cs="Arial"/>
          <w:color w:val="000000"/>
        </w:rPr>
      </w:pPr>
      <w:r>
        <w:rPr>
          <w:rFonts w:cs="Arial" w:ascii="Arial" w:hAnsi="Arial"/>
          <w:color w:val="000000"/>
        </w:rPr>
        <w:t>контролирует ли служба внутреннего контроля банка полноту использования принятой органами управления банка методологии управления банковскими рисками, оценку ее эффективности и соответствия масштабам проводимых операций и принимаемым рискам с учетом операций филиалов банка, оценку достоверности учета и отчетности банка и надежности функционирования системы внутреннего контроля за использованием автоматизированных информационных систем;</w:t>
      </w:r>
    </w:p>
    <w:p>
      <w:pPr>
        <w:pStyle w:val="MainText"/>
        <w:rPr>
          <w:rFonts w:ascii="Arial" w:hAnsi="Arial" w:cs="Arial"/>
          <w:color w:val="000000"/>
        </w:rPr>
      </w:pPr>
      <w:r>
        <w:rPr>
          <w:rFonts w:cs="Arial" w:ascii="Arial" w:hAnsi="Arial"/>
          <w:color w:val="000000"/>
        </w:rPr>
        <w:t>охватывают ли проверки службы внутреннего контроля банка основные направления деятельности банка;</w:t>
      </w:r>
    </w:p>
    <w:p>
      <w:pPr>
        <w:pStyle w:val="MainText"/>
        <w:rPr>
          <w:rFonts w:ascii="Arial" w:hAnsi="Arial" w:cs="Arial"/>
          <w:color w:val="000000"/>
        </w:rPr>
      </w:pPr>
      <w:r>
        <w:rPr>
          <w:rFonts w:cs="Arial" w:ascii="Arial" w:hAnsi="Arial"/>
          <w:color w:val="000000"/>
        </w:rPr>
        <w:t>рассматриваются ли органами управления рекомендации службы внутреннего контроля банка по устранению выявленных нарушений, ошибок и недостатков и принимаются ли они к исполнению подразделениями банка.</w:t>
      </w:r>
    </w:p>
    <w:p>
      <w:pPr>
        <w:pStyle w:val="MainText"/>
        <w:rPr>
          <w:rFonts w:ascii="Arial" w:hAnsi="Arial" w:cs="Arial"/>
          <w:color w:val="000000"/>
        </w:rPr>
      </w:pPr>
      <w:r>
        <w:rPr>
          <w:rFonts w:cs="Arial" w:ascii="Arial" w:hAnsi="Arial"/>
          <w:color w:val="000000"/>
        </w:rPr>
        <w:t>Кроме того, необходимо учитывать, выявляются ли службой внутреннего контроля банка недостатки и нарушения в деятельности банка, устанавливаемые в ходе проверок, проводимых Банком России.</w:t>
      </w:r>
    </w:p>
    <w:p>
      <w:pPr>
        <w:pStyle w:val="MainText"/>
        <w:rPr>
          <w:rFonts w:ascii="Arial" w:hAnsi="Arial" w:cs="Arial"/>
          <w:color w:val="000000"/>
        </w:rPr>
      </w:pPr>
      <w:r>
        <w:rPr>
          <w:rFonts w:cs="Arial" w:ascii="Arial" w:hAnsi="Arial"/>
          <w:color w:val="000000"/>
        </w:rPr>
        <w:t>2. К вопросу 7.</w:t>
      </w:r>
    </w:p>
    <w:p>
      <w:pPr>
        <w:pStyle w:val="MainText"/>
        <w:rPr>
          <w:rFonts w:ascii="Arial" w:hAnsi="Arial" w:cs="Arial"/>
          <w:color w:val="000000"/>
        </w:rPr>
      </w:pPr>
      <w:r>
        <w:rPr>
          <w:rFonts w:cs="Arial" w:ascii="Arial" w:hAnsi="Arial"/>
          <w:color w:val="000000"/>
        </w:rPr>
        <w:t>При оценке данного вопроса следует учитывать, рассматривает ли совет директоров (наблюдательный совет) банка отчеты службы внутреннего контроля банка, принимаются ли данные отчеты во внимание при решении вопросов о назначении (освобождении) членов исполнительного органа от занимаемых ими должностей.</w:t>
      </w:r>
    </w:p>
    <w:p>
      <w:pPr>
        <w:pStyle w:val="MainText"/>
        <w:keepNext w:val="true"/>
        <w:keepLines/>
        <w:rPr>
          <w:rFonts w:ascii="Arial" w:hAnsi="Arial" w:cs="Arial"/>
          <w:color w:val="000000"/>
        </w:rPr>
      </w:pPr>
      <w:r>
        <w:rPr>
          <w:rFonts w:cs="Arial" w:ascii="Arial" w:hAnsi="Arial"/>
          <w:color w:val="000000"/>
        </w:rPr>
        <w:t>3. К вопросу 8.</w:t>
      </w:r>
    </w:p>
    <w:p>
      <w:pPr>
        <w:pStyle w:val="MainText"/>
        <w:rPr>
          <w:rFonts w:ascii="Arial" w:hAnsi="Arial" w:cs="Arial"/>
          <w:color w:val="000000"/>
        </w:rPr>
      </w:pPr>
      <w:r>
        <w:rPr>
          <w:rFonts w:cs="Arial" w:ascii="Arial" w:hAnsi="Arial"/>
          <w:color w:val="000000"/>
        </w:rPr>
        <w:t>При оценке данного вопроса необходимо учитывать степень соответствия деятельности подразделения (сотрудника) банка требованиям действующего законодательства Российской Федерации, в том числе нормативных актов Банка России, внутренних документов банка. Также следует оценить использование рекомендаций Банка России по вопросам противодействия легализации (отмыванию) доходов, полученных преступным путем, и финансированию терроризма (принимая при этом во внимание специфику деятельности банка (его филиалов) и специфику деятельности его клиентов).</w:t>
      </w:r>
    </w:p>
    <w:p>
      <w:pPr>
        <w:pStyle w:val="MainText"/>
        <w:rPr>
          <w:rFonts w:ascii="Arial" w:hAnsi="Arial" w:cs="Arial"/>
          <w:color w:val="000000"/>
        </w:rPr>
      </w:pPr>
      <w:r>
        <w:rPr>
          <w:rFonts w:cs="Arial" w:ascii="Arial" w:hAnsi="Arial"/>
          <w:color w:val="000000"/>
        </w:rPr>
        <w:t>4. К вопросу 10.</w:t>
      </w:r>
    </w:p>
    <w:p>
      <w:pPr>
        <w:pStyle w:val="MainText"/>
        <w:rPr>
          <w:rFonts w:ascii="Arial" w:hAnsi="Arial" w:cs="Arial"/>
          <w:color w:val="000000"/>
        </w:rPr>
      </w:pPr>
      <w:r>
        <w:rPr>
          <w:rFonts w:cs="Arial" w:ascii="Arial" w:hAnsi="Arial"/>
          <w:color w:val="000000"/>
        </w:rPr>
        <w:t>При оценке данного вопроса необходимо учитывать не только наличие в банке правил внутреннего контроля в целях противодействия легализации (отмыванию) доходов, полученных преступным путем, и финансированию терроризма, но и утверждены ли они руководителем банка, согласованы ли они с территориальным учреждением Банка России, а также соответствуют ли данные правила на момент проведения оценки требованиям действующего законодательства Российской Федерации, в том числе нормативных актов Банка России. Также оценивается степень учета рекомендаций Банка России по организации внутреннего контроля в целях противодействия легализации (отмыванию) доходов, полученных преступным путем, и финансированию терроризма, а также иных рекомендаций Банка России по вопросам противодействия легализации (отмыванию) доходов, полученных преступным путем, и финансированию терроризма (исходя из специфики деятельности банка (его филиалов) и специфики деятельности его клиентов).</w:t>
      </w:r>
    </w:p>
    <w:p>
      <w:pPr>
        <w:pStyle w:val="MainText"/>
        <w:rPr>
          <w:rFonts w:ascii="Arial" w:hAnsi="Arial" w:cs="Arial"/>
          <w:color w:val="000000"/>
        </w:rPr>
      </w:pPr>
      <w:r>
        <w:rPr>
          <w:rFonts w:cs="Arial" w:ascii="Arial" w:hAnsi="Arial"/>
          <w:color w:val="000000"/>
        </w:rPr>
        <w:t>5. К вопросу 13.</w:t>
      </w:r>
    </w:p>
    <w:p>
      <w:pPr>
        <w:pStyle w:val="MainText"/>
        <w:rPr>
          <w:rFonts w:ascii="Arial" w:hAnsi="Arial" w:cs="Arial"/>
          <w:color w:val="000000"/>
        </w:rPr>
      </w:pPr>
      <w:r>
        <w:rPr>
          <w:rFonts w:cs="Arial" w:ascii="Arial" w:hAnsi="Arial"/>
          <w:color w:val="000000"/>
        </w:rPr>
        <w:t>При оценке данного вопроса следует исходить из следующего:</w:t>
      </w:r>
    </w:p>
    <w:p>
      <w:pPr>
        <w:pStyle w:val="MainText"/>
        <w:rPr>
          <w:rFonts w:ascii="Arial" w:hAnsi="Arial" w:cs="Arial"/>
          <w:color w:val="000000"/>
        </w:rPr>
      </w:pPr>
      <w:r>
        <w:rPr>
          <w:rFonts w:cs="Arial" w:ascii="Arial" w:hAnsi="Arial"/>
          <w:color w:val="000000"/>
        </w:rPr>
        <w:t>1 балл присваивается в случае, если в течение последних 6 месяцев отсутствуют факты применения Банком России мер, предусмотренных статьями 38 и(или) 74 Федерального закона “О Центральном банке Российской Федерации (Банке России)”;</w:t>
      </w:r>
    </w:p>
    <w:p>
      <w:pPr>
        <w:pStyle w:val="MainText"/>
        <w:rPr>
          <w:rFonts w:ascii="Arial" w:hAnsi="Arial" w:cs="Arial"/>
          <w:color w:val="000000"/>
        </w:rPr>
      </w:pPr>
      <w:r>
        <w:rPr>
          <w:rFonts w:cs="Arial" w:ascii="Arial" w:hAnsi="Arial"/>
          <w:color w:val="000000"/>
        </w:rPr>
        <w:t>2 балла присваиваются в случае, если в течение последних 6 месяцев к банку однократно применялись либо действуют на момент оценки экономического положения банка меры, предусмотренные статьей 38 Федерального закона “О Центральном банке Российской Федерации (Банке России)”, в виде штрафа и(или) применялись либо действуют на момент оценки экономического положения меры, предусмотренные частью 1 статьи 74 Федерального закона “О Центральном банке Российской Федерации (Банке России)” в виде штрафов и требований об устранении выявленных нарушений, но их применение не связано с принятием банком повышенных рисков, а также наличием фактов нарушений законодательства Российской Федерации, в том числе нормативных актов Банка России в области противодействия легализации (отмыванию) доходов, полученных преступным путем, и финансированию терроризма;</w:t>
      </w:r>
    </w:p>
    <w:p>
      <w:pPr>
        <w:pStyle w:val="MainText"/>
        <w:rPr>
          <w:rFonts w:ascii="Arial" w:hAnsi="Arial" w:cs="Arial"/>
          <w:color w:val="000000"/>
        </w:rPr>
      </w:pPr>
      <w:r>
        <w:rPr>
          <w:rFonts w:cs="Arial" w:ascii="Arial" w:hAnsi="Arial"/>
          <w:color w:val="000000"/>
        </w:rPr>
        <w:t>3 балла присваиваются в случае, если в течение последних 6 месяцев к банку неоднократно применялись меры, предусмотренные статьей 38 Федерального закона “О Центральном банке Российской Федерации (Банке России)”, в виде штрафа и(или) применялись либо действуют на момент оценки экономического положения банка меры, предусмотренные статьей 74 Федерального закона “О Центральном банке Российской Федерации (Банке России)”, и их применение связано с принятием банком повышенных рисков, а также нарушениями законодательства Российской Федерации, в том числе нормативных актов Банка России в области противодействия легализации (отмыванию) доходов, полученных преступным путем и финансированию терроризма;</w:t>
      </w:r>
    </w:p>
    <w:p>
      <w:pPr>
        <w:pStyle w:val="MainText"/>
        <w:rPr>
          <w:rFonts w:ascii="Arial" w:hAnsi="Arial" w:cs="Arial"/>
          <w:color w:val="000000"/>
        </w:rPr>
      </w:pPr>
      <w:r>
        <w:rPr>
          <w:rFonts w:cs="Arial" w:ascii="Arial" w:hAnsi="Arial"/>
          <w:color w:val="000000"/>
        </w:rPr>
        <w:t>4 балла присваиваются в случае, если в течение последних 6 месяцев к банку ежемесячно применялись меры, предусмотренные статьей 38 Федерального закона “О Центральном банке Российской Федерации (Банке России)”, в виде штрафа и(или) применялись либо действуют на момент оценки экономического положения банка меры, предусмотренные статьей 3 Федерального закона “О несостоятельности (банкротстве) кредитных организаций”, либо имеются основания для их применения, и предусмотренные статьей 20 Федерального закона “О банках и банковской деятельности”.</w:t>
      </w:r>
    </w:p>
    <w:p>
      <w:pPr>
        <w:pStyle w:val="Style15"/>
        <w:rPr>
          <w:rFonts w:ascii="Arial" w:hAnsi="Arial" w:cs="Arial"/>
          <w:lang w:val="ru-RU"/>
        </w:rPr>
      </w:pPr>
      <w:r>
        <w:rPr>
          <w:rFonts w:cs="Arial" w:ascii="Arial" w:hAnsi="Arial"/>
          <w:color w:val="000000"/>
          <w:lang w:val="ru-RU"/>
        </w:rPr>
      </w:r>
      <w:r>
        <w:br w:type="page"/>
      </w:r>
    </w:p>
    <w:p>
      <w:pPr>
        <w:pStyle w:val="MainText-BezOtstupa1"/>
        <w:keepNext w:val="true"/>
        <w:keepLines/>
        <w:jc w:val="end"/>
        <w:rPr>
          <w:rFonts w:ascii="Arial" w:hAnsi="Arial" w:cs="Arial"/>
          <w:color w:val="000000"/>
        </w:rPr>
      </w:pPr>
      <w:r>
        <w:rPr>
          <w:rFonts w:cs="Arial" w:ascii="Arial" w:hAnsi="Arial"/>
          <w:b/>
          <w:color w:val="000000"/>
        </w:rPr>
        <w:t>Приложение 8</w:t>
      </w:r>
      <w:r>
        <w:rPr>
          <w:rFonts w:cs="Arial" w:ascii="Arial" w:hAnsi="Arial"/>
          <w:color w:val="000000"/>
        </w:rPr>
        <w:br/>
        <w:t xml:space="preserve"> к Указанию Банка России</w:t>
        <w:br/>
        <w:t xml:space="preserve"> от 30 апреля 2008 г. № 2005-У</w:t>
        <w:br/>
        <w:t xml:space="preserve"> “Об оценке экономического положения банков”</w:t>
      </w:r>
    </w:p>
    <w:p>
      <w:pPr>
        <w:pStyle w:val="MZagolvok-Center"/>
        <w:spacing w:before="120" w:after="120"/>
        <w:rPr>
          <w:rFonts w:ascii="Arial" w:hAnsi="Arial" w:cs="Arial"/>
        </w:rPr>
      </w:pPr>
      <w:r>
        <w:rPr/>
        <w:t>Показатель управления стратегическим риском</w:t>
      </w:r>
    </w:p>
    <w:tbl>
      <w:tblPr>
        <w:tblW w:w="10422" w:type="dxa"/>
        <w:jc w:val="center"/>
        <w:tblInd w:w="0" w:type="dxa"/>
        <w:tblLayout w:type="fixed"/>
        <w:tblCellMar>
          <w:top w:w="0" w:type="dxa"/>
          <w:start w:w="108" w:type="dxa"/>
          <w:bottom w:w="0" w:type="dxa"/>
          <w:end w:w="108" w:type="dxa"/>
        </w:tblCellMar>
      </w:tblPr>
      <w:tblGrid>
        <w:gridCol w:w="534"/>
        <w:gridCol w:w="8505"/>
        <w:gridCol w:w="568"/>
        <w:gridCol w:w="815"/>
      </w:tblGrid>
      <w:tr>
        <w:trPr>
          <w:tblHeader w:val="true"/>
          <w:cantSplit/>
        </w:trPr>
        <w:tc>
          <w:tcPr>
            <w:tcW w:w="534"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 xml:space="preserve">№ </w:t>
            </w:r>
            <w:r>
              <w:rPr>
                <w:rFonts w:cs="Arial" w:ascii="Arial" w:hAnsi="Arial"/>
                <w:color w:val="000000"/>
                <w:sz w:val="16"/>
                <w:lang w:val="ru-RU"/>
              </w:rPr>
              <w:t>п/п</w:t>
            </w:r>
          </w:p>
        </w:tc>
        <w:tc>
          <w:tcPr>
            <w:tcW w:w="850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Вопросы</w:t>
            </w:r>
          </w:p>
        </w:tc>
        <w:tc>
          <w:tcPr>
            <w:tcW w:w="568"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Вес</w:t>
            </w:r>
          </w:p>
        </w:tc>
        <w:tc>
          <w:tcPr>
            <w:tcW w:w="81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Баллы</w:t>
            </w:r>
          </w:p>
        </w:tc>
      </w:tr>
      <w:tr>
        <w:trPr>
          <w:tblHeader w:val="true"/>
          <w:cantSplit/>
        </w:trPr>
        <w:tc>
          <w:tcPr>
            <w:tcW w:w="534"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1</w:t>
            </w:r>
          </w:p>
        </w:tc>
        <w:tc>
          <w:tcPr>
            <w:tcW w:w="850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2</w:t>
            </w:r>
          </w:p>
        </w:tc>
        <w:tc>
          <w:tcPr>
            <w:tcW w:w="568"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3</w:t>
            </w:r>
          </w:p>
        </w:tc>
        <w:tc>
          <w:tcPr>
            <w:tcW w:w="815" w:type="dxa"/>
            <w:tcBorders>
              <w:top w:val="single" w:sz="6" w:space="0" w:color="000000"/>
              <w:start w:val="single" w:sz="6" w:space="0" w:color="000000"/>
              <w:bottom w:val="single" w:sz="6" w:space="0" w:color="000000"/>
              <w:end w:val="single" w:sz="6" w:space="0" w:color="000000"/>
            </w:tcBorders>
          </w:tcPr>
          <w:p>
            <w:pPr>
              <w:pStyle w:val="Style15"/>
              <w:keepNext w:val="true"/>
              <w:ind w:hanging="0" w:end="0"/>
              <w:jc w:val="center"/>
              <w:rPr>
                <w:rFonts w:ascii="Arial" w:hAnsi="Arial" w:cs="Arial"/>
                <w:color w:val="000000"/>
                <w:sz w:val="16"/>
                <w:lang w:val="ru-RU"/>
              </w:rPr>
            </w:pPr>
            <w:r>
              <w:rPr>
                <w:rFonts w:cs="Arial" w:ascii="Arial" w:hAnsi="Arial"/>
                <w:color w:val="000000"/>
                <w:sz w:val="16"/>
                <w:lang w:val="ru-RU"/>
              </w:rPr>
              <w:t>4</w:t>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Имеется ли у банка Стратегия развития банка?</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Учел ли банк в Стратегии развития банка результаты SWOT-анализа, позволяющего выявить и структурировать сильные и слабые стороны банка, а также потенциальные возможности своего развития и угрозы, способные нейтрализовать данные возможности?</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3</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Определены ли в Стратегии развития банка приоритетные для банка продукты, направления деятельности, которые банк намерен развивать?</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4</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Определены ли в Стратегии развития банка методы, при помощи которых банк предполагает достигнуть стратегической цели?</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5</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Имеются ли у банка планы реализации Стратегии развития банка?</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6</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Выполняются ли планы, разработанные банком для реализации стратегической цели?</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2</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r>
        <w:trPr>
          <w:cantSplit/>
        </w:trPr>
        <w:tc>
          <w:tcPr>
            <w:tcW w:w="534"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7</w:t>
            </w:r>
          </w:p>
        </w:tc>
        <w:tc>
          <w:tcPr>
            <w:tcW w:w="8505" w:type="dxa"/>
            <w:tcBorders>
              <w:top w:val="single" w:sz="6" w:space="0" w:color="000000"/>
              <w:start w:val="single" w:sz="6" w:space="0" w:color="000000"/>
              <w:bottom w:val="single" w:sz="6" w:space="0" w:color="000000"/>
              <w:end w:val="single" w:sz="6" w:space="0" w:color="000000"/>
            </w:tcBorders>
          </w:tcPr>
          <w:p>
            <w:pPr>
              <w:pStyle w:val="Style15"/>
              <w:ind w:hanging="0" w:end="0"/>
              <w:jc w:val="start"/>
              <w:rPr>
                <w:rFonts w:ascii="Arial" w:hAnsi="Arial" w:cs="Arial"/>
                <w:color w:val="000000"/>
                <w:sz w:val="16"/>
                <w:lang w:val="ru-RU"/>
              </w:rPr>
            </w:pPr>
            <w:r>
              <w:rPr>
                <w:rFonts w:cs="Arial" w:ascii="Arial" w:hAnsi="Arial"/>
                <w:color w:val="000000"/>
                <w:sz w:val="16"/>
                <w:lang w:val="ru-RU"/>
              </w:rPr>
              <w:t>Проводится ли банком регулярный мониторинг степени достижения поставленных в Стратегии развития банка целей?</w:t>
            </w:r>
          </w:p>
        </w:tc>
        <w:tc>
          <w:tcPr>
            <w:tcW w:w="568" w:type="dxa"/>
            <w:tcBorders>
              <w:top w:val="single" w:sz="6" w:space="0" w:color="000000"/>
              <w:start w:val="single" w:sz="6" w:space="0" w:color="000000"/>
              <w:bottom w:val="single" w:sz="6" w:space="0" w:color="000000"/>
              <w:end w:val="single" w:sz="6" w:space="0" w:color="000000"/>
            </w:tcBorders>
          </w:tcPr>
          <w:p>
            <w:pPr>
              <w:pStyle w:val="Style15"/>
              <w:ind w:hanging="0" w:end="0"/>
              <w:jc w:val="center"/>
              <w:rPr>
                <w:rFonts w:ascii="Arial" w:hAnsi="Arial" w:cs="Arial"/>
                <w:color w:val="000000"/>
                <w:sz w:val="16"/>
                <w:lang w:val="ru-RU"/>
              </w:rPr>
            </w:pPr>
            <w:r>
              <w:rPr>
                <w:rFonts w:cs="Arial" w:ascii="Arial" w:hAnsi="Arial"/>
                <w:color w:val="000000"/>
                <w:sz w:val="16"/>
                <w:lang w:val="ru-RU"/>
              </w:rPr>
              <w:t>1</w:t>
            </w:r>
          </w:p>
        </w:tc>
        <w:tc>
          <w:tcPr>
            <w:tcW w:w="815" w:type="dxa"/>
            <w:tcBorders>
              <w:top w:val="single" w:sz="6" w:space="0" w:color="000000"/>
              <w:start w:val="single" w:sz="6" w:space="0" w:color="000000"/>
              <w:bottom w:val="single" w:sz="6" w:space="0" w:color="000000"/>
              <w:end w:val="single" w:sz="6" w:space="0" w:color="000000"/>
            </w:tcBorders>
          </w:tcPr>
          <w:p>
            <w:pPr>
              <w:pStyle w:val="Style15"/>
              <w:snapToGrid w:val="false"/>
              <w:ind w:hanging="0" w:end="0"/>
              <w:jc w:val="center"/>
              <w:rPr>
                <w:rFonts w:ascii="Arial" w:hAnsi="Arial" w:cs="Arial"/>
                <w:color w:val="000000"/>
                <w:sz w:val="16"/>
                <w:lang w:val="ru-RU"/>
              </w:rPr>
            </w:pPr>
            <w:r>
              <w:rPr>
                <w:rFonts w:cs="Arial" w:ascii="Arial" w:hAnsi="Arial"/>
                <w:color w:val="000000"/>
                <w:sz w:val="16"/>
                <w:lang w:val="ru-RU"/>
              </w:rPr>
            </w:r>
          </w:p>
        </w:tc>
      </w:tr>
    </w:tbl>
    <w:p>
      <w:pPr>
        <w:pStyle w:val="MainText-BezOtstupa1"/>
        <w:spacing w:before="120" w:after="0"/>
        <w:rPr>
          <w:rFonts w:ascii="Arial" w:hAnsi="Arial" w:cs="Arial"/>
          <w:b/>
        </w:rPr>
      </w:pPr>
      <w:r>
        <w:rPr>
          <w:rFonts w:cs="Arial" w:ascii="Arial" w:hAnsi="Arial"/>
          <w:b/>
        </w:rPr>
        <w:t>Примечания к заполнению таблицы</w:t>
      </w:r>
    </w:p>
    <w:p>
      <w:pPr>
        <w:pStyle w:val="MainText"/>
        <w:rPr>
          <w:rFonts w:ascii="Arial" w:hAnsi="Arial" w:cs="Arial"/>
          <w:color w:val="000000"/>
        </w:rPr>
      </w:pPr>
      <w:r>
        <w:rPr>
          <w:rFonts w:cs="Arial" w:ascii="Arial" w:hAnsi="Arial"/>
          <w:color w:val="000000"/>
        </w:rPr>
        <w:t>1. К вопросу 1.</w:t>
      </w:r>
    </w:p>
    <w:p>
      <w:pPr>
        <w:pStyle w:val="MainText"/>
        <w:rPr>
          <w:rFonts w:ascii="Arial" w:hAnsi="Arial" w:cs="Arial"/>
          <w:color w:val="000000"/>
        </w:rPr>
      </w:pPr>
      <w:r>
        <w:rPr>
          <w:rFonts w:cs="Arial" w:ascii="Arial" w:hAnsi="Arial"/>
          <w:color w:val="000000"/>
        </w:rPr>
        <w:t>При оценке данного вопроса следует учитывать не только наличие Стратегии развития банка, но и утверждена ли она общим собранием акционеров либо советом директоров (наблюдательным советом) банка.</w:t>
      </w:r>
    </w:p>
    <w:p>
      <w:pPr>
        <w:pStyle w:val="MainText"/>
        <w:rPr>
          <w:rFonts w:ascii="Arial" w:hAnsi="Arial" w:cs="Arial"/>
          <w:color w:val="000000"/>
        </w:rPr>
      </w:pPr>
      <w:r>
        <w:rPr>
          <w:rFonts w:cs="Arial" w:ascii="Arial" w:hAnsi="Arial"/>
          <w:color w:val="000000"/>
        </w:rPr>
        <w:t>2. К вопросу 3.</w:t>
      </w:r>
    </w:p>
    <w:p>
      <w:pPr>
        <w:pStyle w:val="MainText"/>
        <w:rPr>
          <w:rFonts w:ascii="Arial" w:hAnsi="Arial" w:cs="Arial"/>
          <w:color w:val="000000"/>
        </w:rPr>
      </w:pPr>
      <w:r>
        <w:rPr>
          <w:rFonts w:cs="Arial" w:ascii="Arial" w:hAnsi="Arial"/>
          <w:color w:val="000000"/>
        </w:rPr>
        <w:t>При оценке данного вопроса необходимо оценить последовательность реализации намеченных в Стратегии развития банка планов с учетом взаимосвязи стратегических решений в отношении:</w:t>
      </w:r>
    </w:p>
    <w:p>
      <w:pPr>
        <w:pStyle w:val="MainText"/>
        <w:rPr>
          <w:rFonts w:ascii="Arial" w:hAnsi="Arial" w:cs="Arial"/>
          <w:color w:val="000000"/>
        </w:rPr>
      </w:pPr>
      <w:r>
        <w:rPr>
          <w:rFonts w:cs="Arial" w:ascii="Arial" w:hAnsi="Arial"/>
          <w:color w:val="000000"/>
        </w:rPr>
        <w:t>развития выбранных направлений деятельности (банковских продуктов) банка;</w:t>
      </w:r>
    </w:p>
    <w:p>
      <w:pPr>
        <w:pStyle w:val="MainText"/>
        <w:rPr>
          <w:rFonts w:ascii="Arial" w:hAnsi="Arial" w:cs="Arial"/>
          <w:color w:val="000000"/>
        </w:rPr>
      </w:pPr>
      <w:r>
        <w:rPr>
          <w:rFonts w:cs="Arial" w:ascii="Arial" w:hAnsi="Arial"/>
          <w:color w:val="000000"/>
        </w:rPr>
        <w:t>обеспечения соответствия предусмотренных Стратегией развития банка направлений и объемов деятельности возможностям и ресурсной базе банка;</w:t>
      </w:r>
    </w:p>
    <w:p>
      <w:pPr>
        <w:pStyle w:val="MainText"/>
        <w:rPr>
          <w:rFonts w:ascii="Arial" w:hAnsi="Arial" w:cs="Arial"/>
          <w:color w:val="000000"/>
        </w:rPr>
      </w:pPr>
      <w:r>
        <w:rPr>
          <w:rFonts w:cs="Arial" w:ascii="Arial" w:hAnsi="Arial"/>
          <w:color w:val="000000"/>
        </w:rPr>
        <w:t>обеспечения соответствия операций установленным требованиям и нормам.</w:t>
      </w:r>
    </w:p>
    <w:p>
      <w:pPr>
        <w:pStyle w:val="MainText"/>
        <w:rPr>
          <w:rFonts w:ascii="Arial" w:hAnsi="Arial" w:cs="Arial"/>
          <w:color w:val="000000"/>
        </w:rPr>
      </w:pPr>
      <w:r>
        <w:rPr>
          <w:rFonts w:cs="Arial" w:ascii="Arial" w:hAnsi="Arial"/>
          <w:color w:val="000000"/>
        </w:rPr>
        <w:t>При оценке Стратегии развития банка, имеющего филиалы, необходимо также учитывать:</w:t>
      </w:r>
    </w:p>
    <w:p>
      <w:pPr>
        <w:pStyle w:val="MainText"/>
        <w:rPr>
          <w:rFonts w:ascii="Arial" w:hAnsi="Arial" w:cs="Arial"/>
          <w:color w:val="000000"/>
        </w:rPr>
      </w:pPr>
      <w:r>
        <w:rPr>
          <w:rFonts w:cs="Arial" w:ascii="Arial" w:hAnsi="Arial"/>
          <w:color w:val="000000"/>
        </w:rPr>
        <w:t>соответствуют ли направления развития филиальной сети банка выбранным направлениям развития банка, определенным Стратегией его развития;</w:t>
      </w:r>
    </w:p>
    <w:p>
      <w:pPr>
        <w:pStyle w:val="MainText"/>
        <w:rPr>
          <w:rFonts w:ascii="Arial" w:hAnsi="Arial" w:cs="Arial"/>
          <w:color w:val="000000"/>
        </w:rPr>
      </w:pPr>
      <w:r>
        <w:rPr>
          <w:rFonts w:cs="Arial" w:ascii="Arial" w:hAnsi="Arial"/>
          <w:color w:val="000000"/>
        </w:rPr>
        <w:t>учтено ли в Стратегии развития банка состояние рынка банковских услуг в регионах, в которых действуют его филиалы либо планируется открытие новых филиалов, оценены ли банком конкурентные преимущества, которые он имеет либо будет иметь в регионах, где действуют его филиалы либо планируется их открытие;</w:t>
      </w:r>
    </w:p>
    <w:p>
      <w:pPr>
        <w:pStyle w:val="MainText"/>
        <w:rPr>
          <w:rFonts w:ascii="Arial" w:hAnsi="Arial" w:cs="Arial"/>
          <w:color w:val="000000"/>
        </w:rPr>
      </w:pPr>
      <w:r>
        <w:rPr>
          <w:rFonts w:cs="Arial" w:ascii="Arial" w:hAnsi="Arial"/>
          <w:color w:val="000000"/>
        </w:rPr>
        <w:t>оценено ли банком потенциальное влияние вновь открываемых филиалов на результаты деятельности и капитал банка, значения обязательных нормативов деятельности, а также оценку показателей оценки капитала, активов, доходности и ликвидности.</w:t>
      </w:r>
    </w:p>
    <w:p>
      <w:pPr>
        <w:pStyle w:val="MainText"/>
        <w:rPr>
          <w:rFonts w:ascii="Arial" w:hAnsi="Arial" w:cs="Arial"/>
          <w:color w:val="000000"/>
        </w:rPr>
      </w:pPr>
      <w:r>
        <w:rPr>
          <w:rFonts w:cs="Arial" w:ascii="Arial" w:hAnsi="Arial"/>
          <w:color w:val="000000"/>
        </w:rPr>
        <w:t>3. К вопросу 4.</w:t>
      </w:r>
    </w:p>
    <w:p>
      <w:pPr>
        <w:pStyle w:val="MainText"/>
        <w:rPr>
          <w:rFonts w:ascii="Arial" w:hAnsi="Arial" w:cs="Arial"/>
          <w:color w:val="000000"/>
        </w:rPr>
      </w:pPr>
      <w:r>
        <w:rPr>
          <w:rFonts w:cs="Arial" w:ascii="Arial" w:hAnsi="Arial"/>
          <w:color w:val="000000"/>
        </w:rPr>
        <w:t>При оценке данного вопроса следует учитывать, насколько эффективно банк предполагает использовать имеющиеся у него возможности, например, планирует ли он увеличить собственные средства (капитал), ресурсную базу, развивать филиальную сеть, в том числе путем приобретения филиалов, присоединения (слияния) других (другими) банков (банками).</w:t>
      </w:r>
    </w:p>
    <w:p>
      <w:pPr>
        <w:pStyle w:val="MainText"/>
        <w:rPr>
          <w:rFonts w:ascii="Arial" w:hAnsi="Arial" w:cs="Arial"/>
          <w:color w:val="000000"/>
        </w:rPr>
      </w:pPr>
      <w:r>
        <w:rPr>
          <w:rFonts w:cs="Arial" w:ascii="Arial" w:hAnsi="Arial"/>
          <w:color w:val="000000"/>
        </w:rPr>
        <w:t>4. К вопросу 7.</w:t>
      </w:r>
    </w:p>
    <w:p>
      <w:pPr>
        <w:pStyle w:val="MainText"/>
        <w:rPr>
          <w:rFonts w:ascii="Arial" w:hAnsi="Arial" w:cs="Arial"/>
          <w:color w:val="000000"/>
        </w:rPr>
      </w:pPr>
      <w:r>
        <w:rPr>
          <w:rFonts w:cs="Arial" w:ascii="Arial" w:hAnsi="Arial"/>
          <w:color w:val="000000"/>
        </w:rPr>
        <w:t>При оценке данного вопроса следует учитывать, осуществляется ли банком контроль за соблюдением сроков реализации мероприятий, предусмотренных в планах по реализации целей, определенных Стратегией развития банка.</w:t>
      </w:r>
    </w:p>
    <w:p>
      <w:pPr>
        <w:pStyle w:val="Style15"/>
        <w:rPr>
          <w:rFonts w:ascii="Arial" w:hAnsi="Arial" w:cs="Arial"/>
          <w:lang w:val="ru-RU"/>
        </w:rPr>
      </w:pPr>
      <w:r>
        <w:rPr>
          <w:rFonts w:cs="Arial" w:ascii="Arial" w:hAnsi="Arial"/>
          <w:color w:val="000000"/>
          <w:lang w:val="ru-RU"/>
        </w:rPr>
      </w:r>
      <w:r>
        <w:br w:type="page"/>
      </w:r>
    </w:p>
    <w:p>
      <w:pPr>
        <w:pStyle w:val="MainText-BezOtstupa1"/>
        <w:keepNext w:val="true"/>
        <w:keepLines/>
        <w:jc w:val="end"/>
        <w:rPr>
          <w:rFonts w:ascii="Arial" w:hAnsi="Arial" w:cs="Arial"/>
          <w:color w:val="000000"/>
        </w:rPr>
      </w:pPr>
      <w:r>
        <w:rPr>
          <w:rFonts w:cs="Arial" w:ascii="Arial" w:hAnsi="Arial"/>
          <w:b/>
          <w:color w:val="000000"/>
        </w:rPr>
        <w:t>Приложение 9</w:t>
      </w:r>
      <w:r>
        <w:rPr>
          <w:rFonts w:cs="Arial" w:ascii="Arial" w:hAnsi="Arial"/>
          <w:color w:val="000000"/>
        </w:rPr>
        <w:br/>
        <w:t xml:space="preserve"> к Указанию Банка России</w:t>
        <w:br/>
        <w:t xml:space="preserve"> от 30 апреля 2008 г. № 2005-У</w:t>
        <w:br/>
        <w:t xml:space="preserve"> “Об оценке экономического положения банков”</w:t>
      </w:r>
    </w:p>
    <w:p>
      <w:pPr>
        <w:pStyle w:val="MZagolvok-Center"/>
        <w:spacing w:before="120" w:after="120"/>
        <w:rPr>
          <w:rFonts w:ascii="Arial" w:hAnsi="Arial" w:cs="Arial"/>
        </w:rPr>
      </w:pPr>
      <w:r>
        <w:rPr>
          <w:rFonts w:cs="Arial" w:ascii="Arial" w:hAnsi="Arial"/>
        </w:rPr>
        <w:t>Методика оценки показателей структуры собственности банка</w:t>
      </w:r>
    </w:p>
    <w:p>
      <w:pPr>
        <w:pStyle w:val="MainText"/>
        <w:rPr>
          <w:rFonts w:ascii="Arial" w:hAnsi="Arial" w:cs="Arial"/>
          <w:color w:val="000000"/>
        </w:rPr>
      </w:pPr>
      <w:r>
        <w:rPr>
          <w:rFonts w:cs="Arial" w:ascii="Arial" w:hAnsi="Arial"/>
        </w:rPr>
        <w:t>1. Показатель ПУ1.</w:t>
      </w:r>
    </w:p>
    <w:p>
      <w:pPr>
        <w:pStyle w:val="MainText"/>
        <w:rPr>
          <w:rFonts w:ascii="Arial" w:hAnsi="Arial" w:cs="Arial"/>
          <w:color w:val="000000"/>
        </w:rPr>
      </w:pPr>
      <w:r>
        <w:rPr>
          <w:rFonts w:cs="Arial" w:ascii="Arial" w:hAnsi="Arial"/>
          <w:color w:val="000000"/>
        </w:rPr>
        <w:t>1.1. При оценке показателя ПУ1:</w:t>
      </w:r>
    </w:p>
    <w:p>
      <w:pPr>
        <w:pStyle w:val="MainText"/>
        <w:rPr>
          <w:rFonts w:ascii="Arial" w:hAnsi="Arial" w:cs="Arial"/>
          <w:color w:val="000000"/>
        </w:rPr>
      </w:pPr>
      <w:r>
        <w:rPr>
          <w:rFonts w:cs="Arial" w:ascii="Arial" w:hAnsi="Arial"/>
          <w:color w:val="000000"/>
        </w:rPr>
        <w:t>1 балл присваивается в случае, если банк раскрывает информацию без нарушений законодательства Российской Федерации, в том числе нормативных актов Банка России;</w:t>
      </w:r>
    </w:p>
    <w:p>
      <w:pPr>
        <w:pStyle w:val="MainText"/>
        <w:rPr>
          <w:rFonts w:ascii="Arial" w:hAnsi="Arial" w:cs="Arial"/>
          <w:color w:val="000000"/>
        </w:rPr>
      </w:pPr>
      <w:r>
        <w:rPr>
          <w:rFonts w:cs="Arial" w:ascii="Arial" w:hAnsi="Arial"/>
          <w:color w:val="000000"/>
        </w:rPr>
        <w:t>2 балла присваиваются в случае, если установленные нарушения по раскрытию информации не оказывают существенного влияния на идентификацию лиц, указанных в пункте 1.2 настоящего приложения, однако имеются ошибки или недостаточность раскрытия сведений, характеризующих указанных лиц;</w:t>
      </w:r>
    </w:p>
    <w:p>
      <w:pPr>
        <w:pStyle w:val="MainText"/>
        <w:rPr>
          <w:rFonts w:ascii="Arial" w:hAnsi="Arial" w:cs="Arial"/>
          <w:color w:val="000000"/>
        </w:rPr>
      </w:pPr>
      <w:r>
        <w:rPr>
          <w:rFonts w:cs="Arial" w:ascii="Arial" w:hAnsi="Arial"/>
          <w:color w:val="000000"/>
        </w:rPr>
        <w:t>3 балла присваиваются в случае, если информация раскрыта банком неполно или некорректно.</w:t>
      </w:r>
    </w:p>
    <w:p>
      <w:pPr>
        <w:pStyle w:val="MainText"/>
        <w:rPr>
          <w:rFonts w:ascii="Arial" w:hAnsi="Arial" w:cs="Arial"/>
          <w:color w:val="000000"/>
        </w:rPr>
      </w:pPr>
      <w:r>
        <w:rPr>
          <w:rFonts w:cs="Arial" w:ascii="Arial" w:hAnsi="Arial"/>
          <w:color w:val="000000"/>
        </w:rPr>
        <w:t>1.2. Под раскрытием информации понимается соблюдение банком с учетом особенностей, связанных с его организационно-правовой формой, требований законодательства Российской Федерации, в том числе нормативных актов Банка России, которые устанавливают состав, сроки и формы представления Банку России и заинтересованным лицам информации о лицах (группах лиц), владеющих на правах собственности акциями (долями) банка, а также иных лицах (группах лиц), представление информации о которых предусмотрено законодательством Российской Федерации, в том числе нормативными актами Банка России.</w:t>
      </w:r>
    </w:p>
    <w:p>
      <w:pPr>
        <w:pStyle w:val="MainText"/>
        <w:rPr>
          <w:rFonts w:ascii="Arial" w:hAnsi="Arial" w:cs="Arial"/>
          <w:color w:val="000000"/>
        </w:rPr>
      </w:pPr>
      <w:r>
        <w:rPr>
          <w:rFonts w:cs="Arial" w:ascii="Arial" w:hAnsi="Arial"/>
          <w:color w:val="000000"/>
        </w:rPr>
        <w:t>2. Показатель ПУ2.</w:t>
      </w:r>
    </w:p>
    <w:p>
      <w:pPr>
        <w:pStyle w:val="MainText"/>
        <w:rPr>
          <w:rFonts w:ascii="Arial" w:hAnsi="Arial" w:cs="Arial"/>
          <w:color w:val="000000"/>
        </w:rPr>
      </w:pPr>
      <w:r>
        <w:rPr>
          <w:rFonts w:cs="Arial" w:ascii="Arial" w:hAnsi="Arial"/>
          <w:color w:val="000000"/>
        </w:rPr>
        <w:t>2.1. При оценке показателя ПУ2:</w:t>
      </w:r>
    </w:p>
    <w:p>
      <w:pPr>
        <w:pStyle w:val="MainText"/>
        <w:rPr>
          <w:rFonts w:ascii="Arial" w:hAnsi="Arial" w:cs="Arial"/>
          <w:color w:val="000000"/>
        </w:rPr>
      </w:pPr>
      <w:r>
        <w:rPr>
          <w:rFonts w:cs="Arial" w:ascii="Arial" w:hAnsi="Arial"/>
          <w:color w:val="000000"/>
        </w:rPr>
        <w:t>2.1.1. 1 балл присваивается в случае, если информация о лицах (группах лиц), оказывающих прямо или косвенно (через третьих лиц) существенное влияние на решения, принимаемые органами управления банка, доступна неопределенному кругу лиц;</w:t>
      </w:r>
    </w:p>
    <w:p>
      <w:pPr>
        <w:pStyle w:val="MainText"/>
        <w:rPr>
          <w:rFonts w:ascii="Arial" w:hAnsi="Arial" w:cs="Arial"/>
          <w:color w:val="000000"/>
        </w:rPr>
      </w:pPr>
      <w:r>
        <w:rPr>
          <w:rFonts w:cs="Arial" w:ascii="Arial" w:hAnsi="Arial"/>
          <w:color w:val="000000"/>
        </w:rPr>
        <w:t>2.1.2. 2 балла присваиваются в случае, если информация о лицах (группах лиц), оказывающих прямо или косвенно (через третьих лиц) существенное влияние на решения, принимаемые органами управления банка, доступна по меньшей мере Банку России;</w:t>
      </w:r>
    </w:p>
    <w:p>
      <w:pPr>
        <w:pStyle w:val="MainText"/>
        <w:rPr>
          <w:rFonts w:ascii="Arial" w:hAnsi="Arial" w:cs="Arial"/>
          <w:color w:val="000000"/>
        </w:rPr>
      </w:pPr>
      <w:r>
        <w:rPr>
          <w:rFonts w:cs="Arial" w:ascii="Arial" w:hAnsi="Arial"/>
          <w:color w:val="000000"/>
        </w:rPr>
        <w:t>2.1.3. 3 балла присваиваются в случае, если информация о лицах (группах лиц), оказывающих прямо или косвенно (через третьих лиц) существенное влияние на решения, принимаемые органами управления банка, не доступна Банку России.</w:t>
      </w:r>
    </w:p>
    <w:p>
      <w:pPr>
        <w:pStyle w:val="MainText"/>
        <w:rPr>
          <w:rFonts w:ascii="Arial" w:hAnsi="Arial" w:cs="Arial"/>
          <w:color w:val="000000"/>
        </w:rPr>
      </w:pPr>
      <w:r>
        <w:rPr>
          <w:rFonts w:cs="Arial" w:ascii="Arial" w:hAnsi="Arial"/>
          <w:color w:val="000000"/>
        </w:rPr>
        <w:t>2.2. Для целей настоящего Указания под группой лиц понимается группа лиц, признаваемая таковой в соответствии с Федеральным законом “О защите конкуренции” (Собрание законодательства Российской Федерации, 2006, № 31, ст. 3434; 2007, № 49, ст. 6079).</w:t>
      </w:r>
    </w:p>
    <w:p>
      <w:pPr>
        <w:pStyle w:val="MainText"/>
        <w:rPr>
          <w:rFonts w:ascii="Arial" w:hAnsi="Arial" w:cs="Arial"/>
          <w:color w:val="000000"/>
        </w:rPr>
      </w:pPr>
      <w:r>
        <w:rPr>
          <w:rFonts w:cs="Arial" w:ascii="Arial" w:hAnsi="Arial"/>
          <w:color w:val="000000"/>
        </w:rPr>
        <w:t>2.2.1. К лицам (группе лиц), оказывающим прямо существенное влияние на решения, принимаемые органами управления банка, относятся лица (группа лиц), обладающие полномочиями, вытекающими из вещных прав на голосующие акции (доли) банка, а также прав, вытекающих из договоров доверительного управления, поручения, комиссии, агентских договоров или других сделок, или по иным основаниям, если указанные права предоставляют лицу (лицам, входящим в группу лиц) возможность участвовать в управлении банка наравне с учредителями (участниками).</w:t>
      </w:r>
    </w:p>
    <w:p>
      <w:pPr>
        <w:pStyle w:val="MainText"/>
        <w:rPr>
          <w:rFonts w:ascii="Arial" w:hAnsi="Arial" w:cs="Arial"/>
          <w:color w:val="000000"/>
        </w:rPr>
      </w:pPr>
      <w:r>
        <w:rPr>
          <w:rFonts w:cs="Arial" w:ascii="Arial" w:hAnsi="Arial"/>
          <w:color w:val="000000"/>
        </w:rPr>
        <w:t>2.2.2. К лицам (группе лиц), оказывающим косвенно (через третьих лиц) существенное влияние на решения, принимаемые органами управления банка, относятся лица (группа лиц), обладающие следующими полномочиями в отношении лиц, указанных в подпункте 2.2.1 настоящего пункта:</w:t>
      </w:r>
    </w:p>
    <w:p>
      <w:pPr>
        <w:pStyle w:val="MainText"/>
        <w:rPr>
          <w:rFonts w:ascii="Arial" w:hAnsi="Arial" w:cs="Arial"/>
          <w:color w:val="000000"/>
        </w:rPr>
      </w:pPr>
      <w:r>
        <w:rPr>
          <w:rFonts w:cs="Arial" w:ascii="Arial" w:hAnsi="Arial"/>
          <w:color w:val="000000"/>
        </w:rPr>
        <w:t>назначать или определять избрание единоличного исполнительного органа и(или) более четверти состава коллегиального исполнительного органа банка, либо определять избрание более четверти состава совета директоров (наблюдательного совета) банка;</w:t>
      </w:r>
    </w:p>
    <w:p>
      <w:pPr>
        <w:pStyle w:val="MainText"/>
        <w:rPr>
          <w:rFonts w:ascii="Arial" w:hAnsi="Arial" w:cs="Arial"/>
          <w:color w:val="000000"/>
        </w:rPr>
      </w:pPr>
      <w:r>
        <w:rPr>
          <w:rFonts w:cs="Arial" w:ascii="Arial" w:hAnsi="Arial"/>
          <w:color w:val="000000"/>
        </w:rPr>
        <w:t>в силу прав собственности на голосующие акции (доли) юридического лица (лиц, входящих в группу лиц), вхождения в состав группы лиц или аффилированных лиц или договора давать обязательные для исполнения указания по реализации лицом (группой лиц), указанным (указанной) в подпункте 2.2.1 настоящего пункта, прав на участие в управлении банком.</w:t>
      </w:r>
    </w:p>
    <w:p>
      <w:pPr>
        <w:pStyle w:val="MainText"/>
        <w:rPr>
          <w:rFonts w:ascii="Arial" w:hAnsi="Arial" w:cs="Arial"/>
          <w:color w:val="000000"/>
        </w:rPr>
      </w:pPr>
      <w:r>
        <w:rPr>
          <w:rFonts w:cs="Arial" w:ascii="Arial" w:hAnsi="Arial"/>
          <w:color w:val="000000"/>
        </w:rPr>
        <w:t>2.2.3. Банку России (в письменной форме) и(или) неопределенному кругу лиц (в форме, установленной законодательством Российской Федерации) представляется следующая информация о лицах (группе лиц), оказывающих прямо или косвенно (через третьих лиц) существенное влияние на решения, принимаемые органами управления банка:</w:t>
      </w:r>
    </w:p>
    <w:p>
      <w:pPr>
        <w:pStyle w:val="MainText"/>
        <w:rPr>
          <w:rFonts w:ascii="Arial" w:hAnsi="Arial" w:cs="Arial"/>
          <w:color w:val="000000"/>
        </w:rPr>
      </w:pPr>
      <w:r>
        <w:rPr>
          <w:rFonts w:cs="Arial" w:ascii="Arial" w:hAnsi="Arial"/>
          <w:color w:val="000000"/>
        </w:rPr>
        <w:t>для физических лиц — фамилия, имя, отчество (при наличии последнего), гражданство, место жительства (наименование города, населенного пункта) (для сведений о месте жительства физического лица достаточным является их представление только Банку России);</w:t>
      </w:r>
    </w:p>
    <w:p>
      <w:pPr>
        <w:pStyle w:val="MainText"/>
        <w:rPr>
          <w:rFonts w:ascii="Arial" w:hAnsi="Arial" w:cs="Arial"/>
          <w:color w:val="000000"/>
        </w:rPr>
      </w:pPr>
      <w:r>
        <w:rPr>
          <w:rFonts w:cs="Arial" w:ascii="Arial" w:hAnsi="Arial"/>
          <w:color w:val="000000"/>
        </w:rPr>
        <w:t>для юридических лиц — полное официальное наименование, местонахождение (почтовый адрес), основной государственный регистрационный номер, дата государственной регистрации в качестве юридического лица (дата внесения в Единый государственный реестр юридических лиц сведений о юридическом лице — резиденте, зарегистрированном до 1 июля 2002 года).</w:t>
      </w:r>
    </w:p>
    <w:p>
      <w:pPr>
        <w:pStyle w:val="MainText"/>
        <w:rPr>
          <w:rFonts w:ascii="Arial" w:hAnsi="Arial" w:cs="Arial"/>
          <w:color w:val="000000"/>
        </w:rPr>
      </w:pPr>
      <w:r>
        <w:rPr>
          <w:rFonts w:cs="Arial" w:ascii="Arial" w:hAnsi="Arial"/>
          <w:color w:val="000000"/>
        </w:rPr>
        <w:t>2.2.4. При оценке доступности информации в состав лиц (групп лиц), оказывающих прямо или косвенно (через третьих лиц) существенное влияние на решения, принимаемые органами управления банка, не включаются:</w:t>
      </w:r>
    </w:p>
    <w:p>
      <w:pPr>
        <w:pStyle w:val="MainText"/>
        <w:rPr>
          <w:rFonts w:ascii="Arial" w:hAnsi="Arial" w:cs="Arial"/>
          <w:color w:val="000000"/>
        </w:rPr>
      </w:pPr>
      <w:r>
        <w:rPr>
          <w:rFonts w:cs="Arial" w:ascii="Arial" w:hAnsi="Arial"/>
          <w:color w:val="000000"/>
        </w:rPr>
        <w:t>а) лицо (группа лиц), оказывающее (оказывающая) существенное влияние прямо — при наличии лиц (группы лиц), обладающих полномочиями, указанными в подпункте 2.2.2 настоящего пункта;</w:t>
      </w:r>
    </w:p>
    <w:p>
      <w:pPr>
        <w:pStyle w:val="MainText"/>
        <w:rPr>
          <w:rFonts w:ascii="Arial" w:hAnsi="Arial" w:cs="Arial"/>
          <w:color w:val="000000"/>
        </w:rPr>
      </w:pPr>
      <w:r>
        <w:rPr>
          <w:rFonts w:cs="Arial" w:ascii="Arial" w:hAnsi="Arial"/>
          <w:color w:val="000000"/>
        </w:rPr>
        <w:t>б) резиденты офшорных зон (за исключением банков, которые не пользуются льготным налоговым режимом и правом не раскрывать и не представлять информацию в надзорный орган страны местонахождения при проведении финансовых операций);</w:t>
      </w:r>
    </w:p>
    <w:p>
      <w:pPr>
        <w:pStyle w:val="MainText"/>
        <w:rPr>
          <w:rFonts w:ascii="Arial" w:hAnsi="Arial" w:cs="Arial"/>
          <w:color w:val="000000"/>
        </w:rPr>
      </w:pPr>
      <w:r>
        <w:rPr>
          <w:rFonts w:cs="Arial" w:ascii="Arial" w:hAnsi="Arial"/>
          <w:color w:val="000000"/>
        </w:rPr>
        <w:t>в) юридические лица, имеющие неудовлетворительную структуру активов.</w:t>
      </w:r>
    </w:p>
    <w:p>
      <w:pPr>
        <w:pStyle w:val="MainText"/>
        <w:rPr>
          <w:rFonts w:ascii="Arial" w:hAnsi="Arial" w:cs="Arial"/>
          <w:color w:val="000000"/>
        </w:rPr>
      </w:pPr>
      <w:r>
        <w:rPr>
          <w:rFonts w:cs="Arial" w:ascii="Arial" w:hAnsi="Arial"/>
          <w:color w:val="000000"/>
        </w:rPr>
        <w:t>Под неудовлетворительной структурой активов в целях настоящего Указания понимается структура активов, при которой долгосрочные и краткосрочные финансовые вложения (уменьшенные на суммы инвестиций в дочерние, зависимые общества и другие организации (за исключением инвестиций в акции (доли) кредитной организации), вложений в государственные ценные бумаги, ценные бумаги субъектов Российской Федерации и муниципальные ценные бумаги; а также приобретенные векселя, эмитентами которых являются юридические лица, акции которых обращаются на организованных рынках ценных бумаг) составляют более 90 процентов валюты баланса юридического лица;</w:t>
      </w:r>
    </w:p>
    <w:p>
      <w:pPr>
        <w:pStyle w:val="MainText"/>
        <w:rPr>
          <w:rFonts w:ascii="Arial" w:hAnsi="Arial" w:cs="Arial"/>
          <w:color w:val="000000"/>
        </w:rPr>
      </w:pPr>
      <w:r>
        <w:rPr>
          <w:rFonts w:cs="Arial" w:ascii="Arial" w:hAnsi="Arial"/>
          <w:color w:val="000000"/>
        </w:rPr>
        <w:t>г) устойчивые формы объединения имущества юридических и(или) физических лиц, не связанные с образованием юридического лица (паевые инвестиционные фонды, иные формы доверительного управления имуществом (собственностью).</w:t>
      </w:r>
    </w:p>
    <w:p>
      <w:pPr>
        <w:pStyle w:val="MainText"/>
        <w:rPr>
          <w:rFonts w:ascii="Arial" w:hAnsi="Arial" w:cs="Arial"/>
          <w:color w:val="000000"/>
        </w:rPr>
      </w:pPr>
      <w:r>
        <w:rPr>
          <w:rFonts w:cs="Arial" w:ascii="Arial" w:hAnsi="Arial"/>
          <w:color w:val="000000"/>
        </w:rPr>
        <w:t>2.2.5. Информация о лицах (группе лиц), оказывающих прямо или косвенно (через третьих лиц) существенное влияние на решения, принимаемые органами управления банка, оценивается как доступная, если информация, представленная в соответствии с подпунктом 2.2.3 настоящего пункта, позволяет определить:</w:t>
      </w:r>
    </w:p>
    <w:p>
      <w:pPr>
        <w:pStyle w:val="MainText"/>
        <w:rPr>
          <w:rFonts w:ascii="Arial" w:hAnsi="Arial" w:cs="Arial"/>
          <w:color w:val="000000"/>
        </w:rPr>
      </w:pPr>
      <w:r>
        <w:rPr>
          <w:rFonts w:cs="Arial" w:ascii="Arial" w:hAnsi="Arial"/>
          <w:color w:val="000000"/>
        </w:rPr>
        <w:t>физических лиц, которые прямо или косвенно (через третьих лиц) оказывают существенное влияние на решения, принимаемые органами управления банка;</w:t>
      </w:r>
    </w:p>
    <w:p>
      <w:pPr>
        <w:pStyle w:val="MainText"/>
        <w:rPr>
          <w:rFonts w:ascii="Arial" w:hAnsi="Arial" w:cs="Arial"/>
          <w:color w:val="000000"/>
        </w:rPr>
      </w:pPr>
      <w:r>
        <w:rPr>
          <w:rFonts w:cs="Arial" w:ascii="Arial" w:hAnsi="Arial"/>
          <w:color w:val="000000"/>
        </w:rPr>
        <w:t>органов государственной власти Российской Федерации, субъектов Российской Федерации и органы местного самоуправления, а также созданных ими унитарных предприятий, которые прямо или косвенно (через третьих лиц) оказывают существенное влияние на решения, принимаемые органами управления банка;</w:t>
      </w:r>
    </w:p>
    <w:p>
      <w:pPr>
        <w:pStyle w:val="MainText"/>
        <w:rPr>
          <w:rFonts w:ascii="Arial" w:hAnsi="Arial" w:cs="Arial"/>
          <w:color w:val="000000"/>
        </w:rPr>
      </w:pPr>
      <w:r>
        <w:rPr>
          <w:rFonts w:cs="Arial" w:ascii="Arial" w:hAnsi="Arial"/>
          <w:color w:val="000000"/>
        </w:rPr>
        <w:t>юридических лиц, которые в силу масштабов своей коммерческой деятельности и структуры собственности являются относительно независимыми от своих учредителей (участников), которые прямо или косвенно (через третьих лиц) оказывают существенное влияние на решения, принимаемые органами управления банка.</w:t>
      </w:r>
    </w:p>
    <w:p>
      <w:pPr>
        <w:pStyle w:val="MainText"/>
        <w:rPr>
          <w:rFonts w:ascii="Arial" w:hAnsi="Arial" w:cs="Arial"/>
          <w:color w:val="000000"/>
        </w:rPr>
      </w:pPr>
      <w:r>
        <w:rPr>
          <w:rFonts w:cs="Arial" w:ascii="Arial" w:hAnsi="Arial"/>
          <w:color w:val="000000"/>
        </w:rPr>
        <w:t>К таким лицам не относятся лица, которые имеют хотя бы один из признаков, определенных в подпункте 2.2.4 настоящего пункта.</w:t>
      </w:r>
    </w:p>
    <w:p>
      <w:pPr>
        <w:pStyle w:val="MainText"/>
        <w:rPr>
          <w:rFonts w:ascii="Arial" w:hAnsi="Arial" w:cs="Arial"/>
          <w:color w:val="000000"/>
        </w:rPr>
      </w:pPr>
      <w:r>
        <w:rPr>
          <w:rFonts w:cs="Arial" w:ascii="Arial" w:hAnsi="Arial"/>
          <w:color w:val="000000"/>
        </w:rPr>
        <w:t>3. Показатель ПУ3.</w:t>
      </w:r>
    </w:p>
    <w:p>
      <w:pPr>
        <w:pStyle w:val="MainText"/>
        <w:rPr>
          <w:rFonts w:ascii="Arial" w:hAnsi="Arial" w:cs="Arial"/>
          <w:color w:val="000000"/>
        </w:rPr>
      </w:pPr>
      <w:r>
        <w:rPr>
          <w:rFonts w:cs="Arial" w:ascii="Arial" w:hAnsi="Arial"/>
          <w:color w:val="000000"/>
        </w:rPr>
        <w:t>3.1. При оценке показателя ПУ3:</w:t>
      </w:r>
    </w:p>
    <w:p>
      <w:pPr>
        <w:pStyle w:val="MainText"/>
        <w:rPr>
          <w:rFonts w:ascii="Arial" w:hAnsi="Arial" w:cs="Arial"/>
          <w:color w:val="000000"/>
        </w:rPr>
      </w:pPr>
      <w:r>
        <w:rPr>
          <w:rFonts w:cs="Arial" w:ascii="Arial" w:hAnsi="Arial"/>
          <w:color w:val="000000"/>
        </w:rPr>
        <w:t>3.1.1. 1 балл присваивается в случае, если значение коэффициента ПС3 меньше 10 процентов;</w:t>
      </w:r>
    </w:p>
    <w:p>
      <w:pPr>
        <w:pStyle w:val="MainText"/>
        <w:rPr>
          <w:rFonts w:ascii="Arial" w:hAnsi="Arial" w:cs="Arial"/>
          <w:color w:val="000000"/>
        </w:rPr>
      </w:pPr>
      <w:r>
        <w:rPr>
          <w:rFonts w:cs="Arial" w:ascii="Arial" w:hAnsi="Arial"/>
          <w:color w:val="000000"/>
        </w:rPr>
        <w:t>3.1.2. 2 балла присваиваются в случае, если значение коэффициента ПС3 составляет от 10 процентов (включительно) до 40 процентов;</w:t>
      </w:r>
    </w:p>
    <w:p>
      <w:pPr>
        <w:pStyle w:val="MainText"/>
        <w:rPr>
          <w:rFonts w:ascii="Arial" w:hAnsi="Arial" w:cs="Arial"/>
          <w:color w:val="000000"/>
        </w:rPr>
      </w:pPr>
      <w:r>
        <w:rPr>
          <w:rFonts w:cs="Arial" w:ascii="Arial" w:hAnsi="Arial"/>
          <w:color w:val="000000"/>
        </w:rPr>
        <w:t>3.1.3. 3 балла присваиваются в случае, если значение коэффициента ПС3 составляет от 40 процентов (включительно) и более.</w:t>
      </w:r>
    </w:p>
    <w:p>
      <w:pPr>
        <w:pStyle w:val="MainText"/>
        <w:rPr>
          <w:rFonts w:ascii="Arial" w:hAnsi="Arial" w:cs="Arial"/>
          <w:color w:val="000000"/>
        </w:rPr>
      </w:pPr>
      <w:r>
        <w:rPr>
          <w:rFonts w:cs="Arial" w:ascii="Arial" w:hAnsi="Arial"/>
          <w:color w:val="000000"/>
        </w:rPr>
        <w:t>3.2. Коэффициент ПС3 рассчитывается по формуле:</w:t>
      </w:r>
    </w:p>
    <w:p>
      <w:pPr>
        <w:pStyle w:val="MainText"/>
        <w:spacing w:before="120" w:after="0"/>
        <w:ind w:hanging="0" w:end="0"/>
        <w:jc w:val="center"/>
        <w:rPr>
          <w:rFonts w:ascii="Arial" w:hAnsi="Arial" w:cs="Arial"/>
          <w:color w:val="000000"/>
        </w:rPr>
      </w:pPr>
      <w:r>
        <w:rPr>
          <w:rFonts w:cs="Arial" w:ascii="Arial" w:hAnsi="Arial"/>
          <w:color w:val="000000"/>
        </w:rPr>
        <w:t>ПС3 = (О : Г) х 100%,</w:t>
      </w:r>
    </w:p>
    <w:p>
      <w:pPr>
        <w:pStyle w:val="MainText"/>
        <w:rPr>
          <w:rFonts w:ascii="Arial" w:hAnsi="Arial" w:cs="Arial"/>
          <w:color w:val="000000"/>
        </w:rPr>
      </w:pPr>
      <w:r>
        <w:rPr>
          <w:rFonts w:cs="Arial" w:ascii="Arial" w:hAnsi="Arial"/>
          <w:color w:val="000000"/>
        </w:rPr>
        <w:t>где:</w:t>
      </w:r>
    </w:p>
    <w:p>
      <w:pPr>
        <w:pStyle w:val="MainText"/>
        <w:rPr>
          <w:rFonts w:ascii="Arial" w:hAnsi="Arial" w:cs="Arial"/>
          <w:color w:val="000000"/>
        </w:rPr>
      </w:pPr>
      <w:r>
        <w:rPr>
          <w:rFonts w:cs="Arial" w:ascii="Arial" w:hAnsi="Arial"/>
          <w:color w:val="000000"/>
        </w:rPr>
        <w:t>О — общее количество голосов, приходящихся на голосующие акции (доли) банка, находящиеся в собственности резидентов офшорных зон, а также в собственности лиц, на решения органов управления которых резиденты офшорных зон единолично или в составе группы лиц могут оказывать прямо или косвенно (через третьих лиц) существенное влияние. В показатель О не включаются:</w:t>
      </w:r>
    </w:p>
    <w:p>
      <w:pPr>
        <w:pStyle w:val="MainText"/>
        <w:rPr>
          <w:rFonts w:ascii="Arial" w:hAnsi="Arial" w:cs="Arial"/>
          <w:color w:val="000000"/>
        </w:rPr>
      </w:pPr>
      <w:r>
        <w:rPr>
          <w:rFonts w:cs="Arial" w:ascii="Arial" w:hAnsi="Arial"/>
          <w:color w:val="000000"/>
        </w:rPr>
        <w:t>количество голосов, приходящееся на голосующие акции (доли) банка, находящиеся в собственности резидентов офшорных зон, а также в собственности лиц, на решения органов управления которых резиденты офшорных зон единолично или в составе группы лиц могут оказывать прямо или косвенно (через третьих лиц) существенное влияние в случае, если банк представляет в надзорный орган информацию об иных лицах (группах лиц) (за исключением указанных в подпункте 2.2.4 пункта 2.2 настоящего Приложения), оказывающих прямо или косвенно (через третьих лиц) существенное влияние на решения, принимаемые органами управления банка;</w:t>
      </w:r>
    </w:p>
    <w:p>
      <w:pPr>
        <w:pStyle w:val="MainText"/>
        <w:rPr>
          <w:rFonts w:ascii="Arial" w:hAnsi="Arial" w:cs="Arial"/>
          <w:color w:val="000000"/>
        </w:rPr>
      </w:pPr>
      <w:r>
        <w:rPr>
          <w:rFonts w:cs="Arial" w:ascii="Arial" w:hAnsi="Arial"/>
          <w:color w:val="000000"/>
        </w:rPr>
        <w:t>количество голосов, приходящееся на голосующие акции (доли) банка, находящиеся в собственности кредитных организаций — резидентов офшорных зон, если указанные кредитные организации не пользуются льготным налоговым режимом и правом не раскрывать и не представлять в надзорный орган страны местонахождения информацию при проведении финансовых операций;</w:t>
      </w:r>
    </w:p>
    <w:p>
      <w:pPr>
        <w:pStyle w:val="MainText"/>
        <w:rPr>
          <w:rFonts w:ascii="Arial" w:hAnsi="Arial" w:cs="Arial"/>
          <w:color w:val="000000"/>
        </w:rPr>
      </w:pPr>
      <w:r>
        <w:rPr>
          <w:rFonts w:cs="Arial" w:ascii="Arial" w:hAnsi="Arial"/>
          <w:color w:val="000000"/>
        </w:rPr>
        <w:t>количество голосов, приходящееся на голосующие акции (доли) банка, находящиеся в собственности юридических лиц (групп лиц), которые в соответствии с порядком расчета показателя ПУ2, установленного пунктом 2 настоящего приложения, являются лицами (группами лиц), оказывающими существенное влияние на решения, принимаемые органами управления банка;</w:t>
      </w:r>
    </w:p>
    <w:p>
      <w:pPr>
        <w:pStyle w:val="MainText"/>
        <w:rPr>
          <w:rFonts w:ascii="Arial" w:hAnsi="Arial" w:cs="Arial"/>
          <w:color w:val="000000"/>
        </w:rPr>
      </w:pPr>
      <w:r>
        <w:rPr>
          <w:rFonts w:cs="Arial" w:ascii="Arial" w:hAnsi="Arial"/>
          <w:color w:val="000000"/>
        </w:rPr>
        <w:t>Г — общее количество голосов, приходящихся на голосующие акции (доли) банка.</w:t>
      </w:r>
    </w:p>
    <w:p>
      <w:pPr>
        <w:pStyle w:val="MainText"/>
        <w:rPr>
          <w:rFonts w:ascii="Arial" w:hAnsi="Arial" w:cs="Arial"/>
          <w:color w:val="000000"/>
        </w:rPr>
      </w:pPr>
      <w:r>
        <w:rPr>
          <w:rFonts w:cs="Arial" w:ascii="Arial" w:hAnsi="Arial"/>
          <w:color w:val="000000"/>
        </w:rPr>
        <w:t>4. Перечень информации и документов, которые могут быть проанализированы для оценки прозрачности структуры собственности банка:</w:t>
      </w:r>
    </w:p>
    <w:p>
      <w:pPr>
        <w:pStyle w:val="MainText"/>
        <w:rPr>
          <w:rFonts w:ascii="Arial" w:hAnsi="Arial" w:cs="Arial"/>
          <w:color w:val="000000"/>
        </w:rPr>
      </w:pPr>
      <w:r>
        <w:rPr>
          <w:rFonts w:cs="Arial" w:ascii="Arial" w:hAnsi="Arial"/>
          <w:color w:val="000000"/>
        </w:rPr>
        <w:t>4.1. учредительные документы банка и учредительные документы юридических лиц, владеющих акциями (долями) банка;</w:t>
      </w:r>
    </w:p>
    <w:p>
      <w:pPr>
        <w:pStyle w:val="MainText"/>
        <w:rPr>
          <w:rFonts w:ascii="Arial" w:hAnsi="Arial" w:cs="Arial"/>
          <w:color w:val="000000"/>
        </w:rPr>
      </w:pPr>
      <w:r>
        <w:rPr>
          <w:rFonts w:cs="Arial" w:ascii="Arial" w:hAnsi="Arial"/>
          <w:color w:val="000000"/>
        </w:rPr>
        <w:t>4.2. список лиц, имеющих право на участие в общем собрании акционеров (участников) банка;</w:t>
      </w:r>
    </w:p>
    <w:p>
      <w:pPr>
        <w:pStyle w:val="MainText"/>
        <w:rPr>
          <w:rFonts w:ascii="Arial" w:hAnsi="Arial" w:cs="Arial"/>
          <w:color w:val="000000"/>
        </w:rPr>
      </w:pPr>
      <w:r>
        <w:rPr>
          <w:rFonts w:cs="Arial" w:ascii="Arial" w:hAnsi="Arial"/>
          <w:color w:val="000000"/>
        </w:rPr>
        <w:t>4.3. протоколы общих собраний акционеров (участников) банка (очередных годовых и внеочередных), которыми располагает территориальное учреждение Банка России, включающие:</w:t>
      </w:r>
    </w:p>
    <w:p>
      <w:pPr>
        <w:pStyle w:val="MainText"/>
        <w:rPr>
          <w:rFonts w:ascii="Arial" w:hAnsi="Arial" w:cs="Arial"/>
          <w:color w:val="000000"/>
        </w:rPr>
      </w:pPr>
      <w:r>
        <w:rPr>
          <w:rFonts w:cs="Arial" w:ascii="Arial" w:hAnsi="Arial"/>
          <w:color w:val="000000"/>
        </w:rPr>
        <w:t>данные о присутствующих на собрании акционерах (участниках) банка, количество принадлежащих им голосующих акций (голосов);</w:t>
      </w:r>
    </w:p>
    <w:p>
      <w:pPr>
        <w:pStyle w:val="MainText"/>
        <w:rPr>
          <w:rFonts w:ascii="Arial" w:hAnsi="Arial" w:cs="Arial"/>
          <w:color w:val="000000"/>
        </w:rPr>
      </w:pPr>
      <w:r>
        <w:rPr>
          <w:rFonts w:cs="Arial" w:ascii="Arial" w:hAnsi="Arial"/>
          <w:color w:val="000000"/>
        </w:rPr>
        <w:t>вопросы, включенные в повестку общих собраний акционеров (участников) банка, в том числе: избрание членов совета директоров (наблюдательного совета) банка, досрочное прекращение их полномочий; образование исполнительного органа банка, досрочное прекращение его полномочий (если уставом банка решение этих вопросов не отнесено к компетенции совета директоров (наблюдательного совета);</w:t>
      </w:r>
    </w:p>
    <w:p>
      <w:pPr>
        <w:pStyle w:val="MainText"/>
        <w:rPr>
          <w:rFonts w:ascii="Arial" w:hAnsi="Arial" w:cs="Arial"/>
          <w:color w:val="000000"/>
        </w:rPr>
      </w:pPr>
      <w:r>
        <w:rPr>
          <w:rFonts w:cs="Arial" w:ascii="Arial" w:hAnsi="Arial"/>
          <w:color w:val="000000"/>
        </w:rPr>
        <w:t>данные о результатах голосования.</w:t>
      </w:r>
    </w:p>
    <w:p>
      <w:pPr>
        <w:pStyle w:val="MainText"/>
        <w:rPr>
          <w:rFonts w:ascii="Arial" w:hAnsi="Arial" w:cs="Arial"/>
          <w:color w:val="000000"/>
        </w:rPr>
      </w:pPr>
      <w:r>
        <w:rPr>
          <w:rFonts w:cs="Arial" w:ascii="Arial" w:hAnsi="Arial"/>
          <w:color w:val="000000"/>
        </w:rPr>
        <w:t>4.4. Предложения акционеров (участников) банка, внесенные для включения в повестку годового общего собрания акционеров (участников) и выдвинутые ими кандидаты в органы управления банка.</w:t>
      </w:r>
    </w:p>
    <w:p>
      <w:pPr>
        <w:pStyle w:val="MainText"/>
        <w:rPr>
          <w:rFonts w:ascii="Arial" w:hAnsi="Arial" w:cs="Arial"/>
          <w:color w:val="000000"/>
        </w:rPr>
      </w:pPr>
      <w:r>
        <w:rPr>
          <w:rFonts w:cs="Arial" w:ascii="Arial" w:hAnsi="Arial"/>
          <w:color w:val="000000"/>
        </w:rPr>
        <w:t>4.5. Информация о решениях совета директоров (наблюдательного совета) банка, требованиях ревизионной комиссии (ревизора) общества, аудитора (индивидуального аудитора, аудиторской организации), а также акционеров (акционера), являющихся (являющегося) владельцами (владельцем) не менее 10 процентов голосующих акций общества на дату предъявления требования о созыве внеочередного общего собрания акционеров, — для банка, действующего в форме акционерного общества.</w:t>
      </w:r>
    </w:p>
    <w:p>
      <w:pPr>
        <w:pStyle w:val="MainText"/>
        <w:rPr>
          <w:rFonts w:ascii="Arial" w:hAnsi="Arial" w:cs="Arial"/>
          <w:color w:val="000000"/>
        </w:rPr>
      </w:pPr>
      <w:r>
        <w:rPr>
          <w:rFonts w:cs="Arial" w:ascii="Arial" w:hAnsi="Arial"/>
          <w:color w:val="000000"/>
        </w:rPr>
        <w:t>4.6. Информация о требованиях исполнительного органа общества, совета директоров (наблюдательного совета) общества, ревизионной комиссии (ревизора) общества, аудитора (индивидуального аудитора, аудиторской организации), а также участников общества о созыве внеочередного общего собрания участников — для банка, действующего в форме общества с ограниченной ответственностью.</w:t>
      </w:r>
    </w:p>
    <w:p>
      <w:pPr>
        <w:pStyle w:val="MainText"/>
        <w:rPr>
          <w:rFonts w:ascii="Arial" w:hAnsi="Arial" w:cs="Arial"/>
          <w:color w:val="000000"/>
        </w:rPr>
      </w:pPr>
      <w:r>
        <w:rPr>
          <w:rFonts w:cs="Arial" w:ascii="Arial" w:hAnsi="Arial"/>
          <w:color w:val="000000"/>
        </w:rPr>
        <w:t>4.7. Информация о составе совета директоров (наблюдательного совета) банка:</w:t>
      </w:r>
    </w:p>
    <w:p>
      <w:pPr>
        <w:pStyle w:val="MainText"/>
        <w:rPr>
          <w:rFonts w:ascii="Arial" w:hAnsi="Arial" w:cs="Arial"/>
          <w:color w:val="000000"/>
        </w:rPr>
      </w:pPr>
      <w:r>
        <w:rPr>
          <w:rFonts w:cs="Arial" w:ascii="Arial" w:hAnsi="Arial"/>
          <w:color w:val="000000"/>
        </w:rPr>
        <w:t>каким акционером (участником) банка была выдвинута кандидатура в состав совета директоров (наблюдательного совета) банка для голосования на собрании, количество принадлежащих ему голосующих акций (голосов);</w:t>
      </w:r>
    </w:p>
    <w:p>
      <w:pPr>
        <w:pStyle w:val="MainText"/>
        <w:rPr>
          <w:rFonts w:ascii="Arial" w:hAnsi="Arial" w:cs="Arial"/>
          <w:color w:val="000000"/>
        </w:rPr>
      </w:pPr>
      <w:r>
        <w:rPr>
          <w:rFonts w:cs="Arial" w:ascii="Arial" w:hAnsi="Arial"/>
          <w:color w:val="000000"/>
        </w:rPr>
        <w:t>количество голосующих акций (голосов), принадлежащих непосредственно каждому члену указанного органа управления банка.</w:t>
      </w:r>
    </w:p>
    <w:p>
      <w:pPr>
        <w:pStyle w:val="MainText"/>
        <w:rPr>
          <w:rFonts w:ascii="Arial" w:hAnsi="Arial" w:cs="Arial"/>
          <w:color w:val="000000"/>
        </w:rPr>
      </w:pPr>
      <w:r>
        <w:rPr>
          <w:rFonts w:cs="Arial" w:ascii="Arial" w:hAnsi="Arial"/>
          <w:color w:val="000000"/>
        </w:rPr>
        <w:t>4.8. Информация о составе коллегиального исполнительного органа банка:</w:t>
      </w:r>
    </w:p>
    <w:p>
      <w:pPr>
        <w:pStyle w:val="MainText"/>
        <w:rPr>
          <w:rFonts w:ascii="Arial" w:hAnsi="Arial" w:cs="Arial"/>
          <w:color w:val="000000"/>
        </w:rPr>
      </w:pPr>
      <w:r>
        <w:rPr>
          <w:rFonts w:cs="Arial" w:ascii="Arial" w:hAnsi="Arial"/>
          <w:color w:val="000000"/>
        </w:rPr>
        <w:t>каким акционером (участником) банка была выдвинута кандидатура для голосования на собрании. В случае, если уставом банка решение этого вопроса отнесено к компетенции совета директоров (наблюдательного совета) банка, каким членом совета директоров (наблюдательного совета) банка предложена кандидатура и интересы какого акционера (участника) банка представляет данный член совета директоров (наблюдательного совета) банка. Количество принадлежащих ему голосующих акций (голосов);</w:t>
      </w:r>
    </w:p>
    <w:p>
      <w:pPr>
        <w:pStyle w:val="MainText"/>
        <w:rPr>
          <w:rFonts w:ascii="Arial" w:hAnsi="Arial" w:cs="Arial"/>
          <w:color w:val="000000"/>
        </w:rPr>
      </w:pPr>
      <w:r>
        <w:rPr>
          <w:rFonts w:cs="Arial" w:ascii="Arial" w:hAnsi="Arial"/>
          <w:color w:val="000000"/>
        </w:rPr>
        <w:t>количество голосующих акций (голосов), принадлежащих непосредственно каждому члену указанного органа управления банка.</w:t>
      </w:r>
    </w:p>
    <w:p>
      <w:pPr>
        <w:pStyle w:val="MainText"/>
        <w:rPr>
          <w:rFonts w:ascii="Arial" w:hAnsi="Arial" w:cs="Arial"/>
          <w:color w:val="000000"/>
        </w:rPr>
      </w:pPr>
      <w:r>
        <w:rPr>
          <w:rFonts w:cs="Arial" w:ascii="Arial" w:hAnsi="Arial"/>
          <w:color w:val="000000"/>
        </w:rPr>
        <w:t>4.9. Информация о единоличном исполнительном органе (руководителе) банка:</w:t>
      </w:r>
    </w:p>
    <w:p>
      <w:pPr>
        <w:pStyle w:val="MainText"/>
        <w:rPr>
          <w:rFonts w:ascii="Arial" w:hAnsi="Arial" w:cs="Arial"/>
          <w:color w:val="000000"/>
        </w:rPr>
      </w:pPr>
      <w:r>
        <w:rPr>
          <w:rFonts w:cs="Arial" w:ascii="Arial" w:hAnsi="Arial"/>
          <w:color w:val="000000"/>
        </w:rPr>
        <w:t>каким акционером (участником) банка была выдвинута кандидатура единоличного исполнительного органа банка для голосования на собрании, количество принадлежащих ему (им) голосующих акций (голосов);</w:t>
      </w:r>
    </w:p>
    <w:p>
      <w:pPr>
        <w:pStyle w:val="MainText"/>
        <w:rPr>
          <w:rFonts w:ascii="Arial" w:hAnsi="Arial" w:cs="Arial"/>
          <w:color w:val="000000"/>
        </w:rPr>
      </w:pPr>
      <w:r>
        <w:rPr>
          <w:rFonts w:cs="Arial" w:ascii="Arial" w:hAnsi="Arial"/>
          <w:color w:val="000000"/>
        </w:rPr>
        <w:t>количество голосующих акций (голосов), принадлежащих непосредственно руководителю банка.</w:t>
      </w:r>
    </w:p>
    <w:p>
      <w:pPr>
        <w:pStyle w:val="MainText"/>
        <w:rPr>
          <w:rFonts w:ascii="Arial" w:hAnsi="Arial" w:cs="Arial"/>
          <w:color w:val="000000"/>
        </w:rPr>
      </w:pPr>
      <w:r>
        <w:rPr>
          <w:rFonts w:cs="Arial" w:ascii="Arial" w:hAnsi="Arial"/>
          <w:color w:val="000000"/>
        </w:rPr>
        <w:t>4.10. Информация о решениях совета директоров (наблюдательного совета) банка, в том числе о голосовании по вопросу избрания коллегиального исполнительного органа банка в случае, если такое право предоставлено уставом банка совету директоров (наблюдательному совету) банка.</w:t>
      </w:r>
    </w:p>
    <w:p>
      <w:pPr>
        <w:pStyle w:val="MainText"/>
        <w:rPr>
          <w:rFonts w:ascii="Arial" w:hAnsi="Arial" w:cs="Arial"/>
          <w:color w:val="000000"/>
        </w:rPr>
      </w:pPr>
      <w:r>
        <w:rPr>
          <w:rFonts w:cs="Arial" w:ascii="Arial" w:hAnsi="Arial"/>
          <w:color w:val="000000"/>
        </w:rPr>
        <w:t>4.11. Информация о приобретателе (группе приобретателей), содержащаяся:</w:t>
      </w:r>
    </w:p>
    <w:p>
      <w:pPr>
        <w:pStyle w:val="MainText"/>
        <w:rPr>
          <w:rFonts w:ascii="Arial" w:hAnsi="Arial" w:cs="Arial"/>
          <w:color w:val="000000"/>
        </w:rPr>
      </w:pPr>
      <w:r>
        <w:rPr>
          <w:rFonts w:cs="Arial" w:ascii="Arial" w:hAnsi="Arial"/>
          <w:color w:val="000000"/>
        </w:rPr>
        <w:t>в уведомлениях о приобретении и(или) получении в доверительное управление более 1 процента акций (долей) банка;</w:t>
      </w:r>
    </w:p>
    <w:p>
      <w:pPr>
        <w:pStyle w:val="MainText"/>
        <w:rPr>
          <w:rFonts w:ascii="Arial" w:hAnsi="Arial" w:cs="Arial"/>
          <w:color w:val="000000"/>
        </w:rPr>
      </w:pPr>
      <w:r>
        <w:rPr>
          <w:rFonts w:cs="Arial" w:ascii="Arial" w:hAnsi="Arial"/>
          <w:color w:val="000000"/>
        </w:rPr>
        <w:t>в ходатайствах на получение предварительного согласия Банка России на приобретение и(или) получение в доверительное управление более 20 процентов акций (долей) банка;</w:t>
      </w:r>
    </w:p>
    <w:p>
      <w:pPr>
        <w:pStyle w:val="MainText"/>
        <w:rPr>
          <w:rFonts w:ascii="Arial" w:hAnsi="Arial" w:cs="Arial"/>
          <w:color w:val="000000"/>
        </w:rPr>
      </w:pPr>
      <w:r>
        <w:rPr>
          <w:rFonts w:cs="Arial" w:ascii="Arial" w:hAnsi="Arial"/>
          <w:color w:val="000000"/>
        </w:rPr>
        <w:t>в представленных заявителями материалах о согласовании (уведомлении) сделок по приобретению акций (долей) банка с Федеральным антимонопольным органом в установленных законодательством Российской Федерации случаях.</w:t>
      </w:r>
    </w:p>
    <w:p>
      <w:pPr>
        <w:pStyle w:val="MainText"/>
        <w:rPr>
          <w:rFonts w:ascii="Arial" w:hAnsi="Arial" w:cs="Arial"/>
          <w:color w:val="000000"/>
        </w:rPr>
      </w:pPr>
      <w:r>
        <w:rPr>
          <w:rFonts w:cs="Arial" w:ascii="Arial" w:hAnsi="Arial"/>
          <w:color w:val="000000"/>
        </w:rPr>
        <w:t>4.12. Информация, содержащаяся в зарегистрированных проспектах ценных бумаг, отчетах об итогах выпуска (дополнительного выпуска) ценных бумаг и ежеквартальных отчетах эмитентов эмиссионных ценных бумаг банка-эмитента, в том числе:</w:t>
      </w:r>
    </w:p>
    <w:p>
      <w:pPr>
        <w:pStyle w:val="MainText"/>
        <w:rPr>
          <w:rFonts w:ascii="Arial" w:hAnsi="Arial" w:cs="Arial"/>
          <w:color w:val="000000"/>
        </w:rPr>
      </w:pPr>
      <w:r>
        <w:rPr>
          <w:rFonts w:cs="Arial" w:ascii="Arial" w:hAnsi="Arial"/>
          <w:color w:val="000000"/>
        </w:rPr>
        <w:t>о лицах, входящих в состав органов управления эмитента, в том числе являющихся членами совета директоров (наблюдательного совета) эмитента, членами коллегиального исполнительного органа управления эмитента, лице, осуществляющем функции единоличного исполнительного органа управления эмитента, а также сведения о характере любых родственных связей между указанными лицами;</w:t>
      </w:r>
    </w:p>
    <w:p>
      <w:pPr>
        <w:pStyle w:val="MainText"/>
        <w:rPr>
          <w:rFonts w:ascii="Arial" w:hAnsi="Arial" w:cs="Arial"/>
          <w:color w:val="000000"/>
        </w:rPr>
      </w:pPr>
      <w:r>
        <w:rPr>
          <w:rFonts w:cs="Arial" w:ascii="Arial" w:hAnsi="Arial"/>
          <w:color w:val="000000"/>
        </w:rPr>
        <w:t>о размере доли участия лиц, входящих в органы управления эмитента (включая исполнительные органы), в уставном капитале эмитента, доли принадлежащих указанным лицам обыкновенных акций банка, а также сведения о предоставленных этим лицам опционов на акции банка;</w:t>
      </w:r>
    </w:p>
    <w:p>
      <w:pPr>
        <w:pStyle w:val="MainText"/>
        <w:rPr>
          <w:rFonts w:ascii="Arial" w:hAnsi="Arial" w:cs="Arial"/>
          <w:color w:val="000000"/>
        </w:rPr>
      </w:pPr>
      <w:r>
        <w:rPr>
          <w:rFonts w:cs="Arial" w:ascii="Arial" w:hAnsi="Arial"/>
          <w:color w:val="000000"/>
        </w:rPr>
        <w:t>сведения об участниках (акционерах) банка, владеющих не менее чем 5 процентами его уставного капитала или не менее чем 5 процентами его обыкновенных акций, в том числе о размере доли участника (акционера) банка в его уставном капитале, а также доли принадлежащих ему обыкновенных акций банка, а также сведения об участниках (акционерах) таких лиц, владеющих не менее чем 20 процентами уставного капитала или не менее чем 20 процентами их обыкновенных акций;</w:t>
      </w:r>
    </w:p>
    <w:p>
      <w:pPr>
        <w:pStyle w:val="MainText"/>
        <w:rPr>
          <w:rFonts w:ascii="Arial" w:hAnsi="Arial" w:cs="Arial"/>
          <w:color w:val="000000"/>
        </w:rPr>
      </w:pPr>
      <w:r>
        <w:rPr>
          <w:rFonts w:cs="Arial" w:ascii="Arial" w:hAnsi="Arial"/>
          <w:color w:val="000000"/>
        </w:rPr>
        <w:t>сведения об изменениях в составе и о размере участия участников (акционеров) банка, владеющих не менее чем 5 процентами его уставного капитала или не менее чем 5 процентами его обыкновенных акций, за 5 последних завершенных финансовых лет или за каждый завершенный финансовый год, если эмитент осуществляет свою деятельность менее пяти лет.</w:t>
      </w:r>
    </w:p>
    <w:p>
      <w:pPr>
        <w:pStyle w:val="MainText"/>
        <w:rPr>
          <w:rFonts w:ascii="Arial" w:hAnsi="Arial" w:cs="Arial"/>
          <w:color w:val="000000"/>
        </w:rPr>
      </w:pPr>
      <w:r>
        <w:rPr>
          <w:rFonts w:cs="Arial" w:ascii="Arial" w:hAnsi="Arial"/>
          <w:color w:val="000000"/>
        </w:rPr>
        <w:t>4.13. Сведения о раскрытых банком-эмитентом сообщениях о существенных фактах, затрагивающих финансово-хозяйственную деятельность эмитента в части сведений о появлении в реестре эмитента лица, владеющего более чем 25 процентами его эмиссионных ценных бумаг любого отдельного вида.</w:t>
      </w:r>
    </w:p>
    <w:p>
      <w:pPr>
        <w:pStyle w:val="MainText"/>
        <w:rPr>
          <w:rFonts w:ascii="Arial" w:hAnsi="Arial" w:cs="Arial"/>
          <w:color w:val="000000"/>
        </w:rPr>
      </w:pPr>
      <w:r>
        <w:rPr>
          <w:rFonts w:cs="Arial" w:ascii="Arial" w:hAnsi="Arial"/>
          <w:color w:val="000000"/>
        </w:rPr>
        <w:t>4.14. Сведения, содержащиеся в бизнес-планах банка, отчетности об аффилированных лицах банка, участниках банковского холдинга.</w:t>
      </w:r>
    </w:p>
    <w:p>
      <w:pPr>
        <w:pStyle w:val="MainText"/>
        <w:rPr>
          <w:rFonts w:ascii="Arial" w:hAnsi="Arial" w:cs="Arial"/>
          <w:color w:val="000000"/>
        </w:rPr>
      </w:pPr>
      <w:r>
        <w:rPr>
          <w:rFonts w:cs="Arial" w:ascii="Arial" w:hAnsi="Arial"/>
          <w:color w:val="000000"/>
        </w:rPr>
        <w:t>4.15. Представленные банком документально подтвержденные сведения о структуре собственности, в том числе определяющие лиц (группу лиц), имеющих возможность прямо или косвенно (через третьих лиц) оказывать существенное влияние на решения, принимаемые органами управления банка.</w:t>
      </w:r>
    </w:p>
    <w:p>
      <w:pPr>
        <w:pStyle w:val="Style15"/>
        <w:rPr>
          <w:rFonts w:ascii="Arial" w:hAnsi="Arial" w:cs="Arial"/>
          <w:lang w:val="ru-RU"/>
        </w:rPr>
      </w:pPr>
      <w:r>
        <w:rPr>
          <w:rFonts w:cs="Arial" w:ascii="Arial" w:hAnsi="Arial"/>
          <w:color w:val="000000"/>
          <w:lang w:val="ru-RU"/>
        </w:rPr>
      </w:r>
      <w:r>
        <w:br w:type="page"/>
      </w:r>
    </w:p>
    <w:sectPr>
      <w:type w:val="nextPage"/>
      <w:pgSz w:w="11906" w:h="16838"/>
      <w:pgMar w:left="851" w:right="851"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ragmatica">
    <w:charset w:val="00" w:characterSet="windows-1252"/>
    <w:family w:val="auto"/>
    <w:pitch w:val="variable"/>
  </w:font>
  <w:font w:name="Arial">
    <w:charset w:val="cc" w:characterSet="windows-1251"/>
    <w:family w:val="swiss"/>
    <w:pitch w:val="variable"/>
  </w:font>
  <w:font w:name="Bodoni">
    <w:charset w:val="00" w:characterSet="windows-1252"/>
    <w:family w:val="auto"/>
    <w:pitch w:val="variable"/>
  </w:font>
  <w:font w:name="Liberation Sans">
    <w:altName w:val="Arial"/>
    <w:charset w:val="01" w:characterSet="utf-8"/>
    <w:family w:val="swiss"/>
    <w:pitch w:val="variable"/>
  </w:font>
  <w:font w:name="AGOpus">
    <w:charset w:val="00" w:characterSet="windows-1252"/>
    <w:family w:val="swiss"/>
    <w:pitch w:val="variable"/>
  </w:font>
  <w:font w:name="NTHelvetica">
    <w:charset w:val="00" w:characterSet="windows-1252"/>
    <w:family w:val="swiss"/>
    <w:pitch w:val="variable"/>
  </w:font>
  <w:font w:name="PragmaticaCondC">
    <w:charset w:val="00" w:characterSet="windows-1252"/>
    <w:family w:val="decorative"/>
    <w:pitch w:val="variable"/>
  </w:font>
  <w:font w:name="NTHelvetica/Cyrillic">
    <w:charset w:val="00" w:characterSet="windows-1252"/>
    <w:family w:val="auto"/>
    <w:pitch w:val="variable"/>
  </w:font>
  <w:font w:name="PragmaticaC">
    <w:charset w:val="00" w:characterSet="windows-1252"/>
    <w:family w:val="decorative"/>
    <w:pitch w:val="variable"/>
  </w:font>
  <w:font w:name="Times New Roman">
    <w:charset w:val="cc" w:characterSet="windows-1251"/>
    <w:family w:val="roman"/>
    <w:pitch w:val="variable"/>
  </w:font>
  <w:font w:name="TimesET">
    <w:charset w:val="00" w:characterSet="windows-1252"/>
    <w:family w:val="auto"/>
    <w:pitch w:val="variable"/>
  </w:font>
  <w:font w:name="Courier New">
    <w:charset w:val="cc" w:characterSet="windows-1251"/>
    <w:family w:val="modern"/>
    <w:pitch w:val="default"/>
  </w:font>
  <w:font w:name="Symbol">
    <w:charset w:val="02"/>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Pragmatica" w:hAnsi="Pragmatica" w:eastAsia="Times New Roman" w:cs="Pragmatica"/>
      <w:color w:val="auto"/>
      <w:sz w:val="22"/>
      <w:szCs w:val="20"/>
      <w:lang w:bidi="ar-SA" w:val="ru-RU"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 w:val="24"/>
    </w:rPr>
  </w:style>
  <w:style w:type="character" w:styleId="DefaultParagraphFont">
    <w:name w:val="Default Paragraph Font"/>
    <w:qFormat/>
    <w:rPr/>
  </w:style>
  <w:style w:type="character" w:styleId="FootnoteCharacters">
    <w:name w:val="Footnote Characters"/>
    <w:basedOn w:val="DefaultParagraphFont"/>
    <w:qFormat/>
    <w:rPr>
      <w:vertAlign w:val="superscript"/>
    </w:rPr>
  </w:style>
  <w:style w:type="character" w:styleId="Style13">
    <w:name w:val="Текст содержания"/>
    <w:basedOn w:val="DefaultParagraphFont"/>
    <w:qFormat/>
    <w:rPr>
      <w:rFonts w:ascii="Bodoni" w:hAnsi="Bodoni" w:cs="Bodoni"/>
      <w:color w:val="000000"/>
      <w:spacing w:val="0"/>
      <w:position w:val="0"/>
      <w:sz w:val="22"/>
      <w:u w:val="none"/>
      <w:vertAlign w:val="baselin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MainText"/>
    <w:next w:val="MainText"/>
    <w:pPr>
      <w:tabs>
        <w:tab w:val="clear" w:pos="720"/>
        <w:tab w:val="right" w:pos="340" w:leader="none"/>
        <w:tab w:val="left" w:pos="567" w:leader="none"/>
      </w:tabs>
      <w:ind w:hanging="567" w:start="567" w:end="0"/>
      <w:jc w:val="star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глава"/>
    <w:basedOn w:val="Normal"/>
    <w:qFormat/>
    <w:pPr>
      <w:keepNext w:val="true"/>
      <w:keepLines/>
      <w:spacing w:before="113" w:after="113"/>
      <w:ind w:hanging="0" w:start="567" w:end="0"/>
    </w:pPr>
    <w:rPr>
      <w:b/>
      <w:sz w:val="20"/>
    </w:rPr>
  </w:style>
  <w:style w:type="paragraph" w:styleId="Style15">
    <w:name w:val="Осн. текст"/>
    <w:qFormat/>
    <w:pPr>
      <w:widowControl/>
      <w:overflowPunct w:val="false"/>
      <w:autoSpaceDE w:val="false"/>
      <w:bidi w:val="0"/>
      <w:ind w:firstLine="567" w:start="0" w:end="0"/>
      <w:jc w:val="both"/>
      <w:textAlignment w:val="baseline"/>
    </w:pPr>
    <w:rPr>
      <w:rFonts w:ascii="Pragmatica" w:hAnsi="Pragmatica" w:eastAsia="Times New Roman" w:cs="Pragmatica"/>
      <w:color w:val="000000"/>
      <w:sz w:val="20"/>
      <w:szCs w:val="20"/>
      <w:lang w:val="en-US" w:bidi="ar-SA" w:eastAsia="zh-CN"/>
    </w:rPr>
  </w:style>
  <w:style w:type="paragraph" w:styleId="Style16">
    <w:name w:val="С чертой"/>
    <w:basedOn w:val="Normal"/>
    <w:qFormat/>
    <w:pPr>
      <w:tabs>
        <w:tab w:val="clear" w:pos="720"/>
        <w:tab w:val="right" w:pos="9639" w:leader="dot"/>
      </w:tabs>
      <w:spacing w:before="0" w:after="120"/>
      <w:ind w:hanging="0" w:start="851" w:end="0"/>
    </w:pPr>
    <w:rPr>
      <w:color w:val="000000"/>
      <w:sz w:val="20"/>
    </w:rPr>
  </w:style>
  <w:style w:type="paragraph" w:styleId="Style17">
    <w:name w:val="тема"/>
    <w:basedOn w:val="Normal"/>
    <w:qFormat/>
    <w:pPr>
      <w:pBdr>
        <w:top w:val="single" w:sz="12" w:space="5" w:color="0000FF"/>
      </w:pBdr>
      <w:tabs>
        <w:tab w:val="clear" w:pos="720"/>
        <w:tab w:val="right" w:pos="9639" w:leader="dot"/>
      </w:tabs>
      <w:spacing w:before="180" w:after="180"/>
      <w:jc w:val="both"/>
    </w:pPr>
    <w:rPr>
      <w:rFonts w:ascii="AGOpus" w:hAnsi="AGOpus" w:cs="AGOpus"/>
      <w:b/>
      <w:color w:val="0000FF"/>
      <w:spacing w:val="100"/>
      <w:sz w:val="24"/>
    </w:rPr>
  </w:style>
  <w:style w:type="paragraph" w:styleId="Bodytext1">
    <w:name w:val="Body text1"/>
    <w:qFormat/>
    <w:pPr>
      <w:widowControl/>
      <w:overflowPunct w:val="false"/>
      <w:autoSpaceDE w:val="false"/>
      <w:bidi w:val="0"/>
      <w:ind w:firstLine="480" w:start="0" w:end="0"/>
      <w:textAlignment w:val="baseline"/>
    </w:pPr>
    <w:rPr>
      <w:rFonts w:ascii="AGOpus" w:hAnsi="AGOpus" w:eastAsia="Times New Roman" w:cs="AGOpus"/>
      <w:color w:val="000000"/>
      <w:sz w:val="24"/>
      <w:szCs w:val="20"/>
      <w:lang w:bidi="ar-SA" w:val="ru-RU" w:eastAsia="zh-CN"/>
    </w:rPr>
  </w:style>
  <w:style w:type="paragraph" w:styleId="Style18">
    <w:name w:val="Главный"/>
    <w:basedOn w:val="Normal"/>
    <w:qFormat/>
    <w:pPr>
      <w:keepNext w:val="true"/>
      <w:keepLines/>
      <w:spacing w:before="240" w:after="0"/>
    </w:pPr>
    <w:rPr>
      <w:rFonts w:ascii="AGOpus" w:hAnsi="AGOpus" w:cs="AGOpus"/>
      <w:sz w:val="28"/>
    </w:rPr>
  </w:style>
  <w:style w:type="paragraph" w:styleId="Style19">
    <w:name w:val="Главная тема"/>
    <w:basedOn w:val="Style18"/>
    <w:next w:val="Style20"/>
    <w:qFormat/>
    <w:pPr>
      <w:pageBreakBefore/>
      <w:pBdr>
        <w:top w:val="single" w:sz="12" w:space="1" w:color="0000FF"/>
        <w:bottom w:val="single" w:sz="18" w:space="1" w:color="0000FF"/>
      </w:pBdr>
      <w:shd w:fill="0000FF" w:val="clear"/>
      <w:tabs>
        <w:tab w:val="clear" w:pos="720"/>
        <w:tab w:val="left" w:pos="567" w:leader="none"/>
      </w:tabs>
      <w:suppressAutoHyphens w:val="true"/>
      <w:spacing w:before="120" w:after="40"/>
    </w:pPr>
    <w:rPr>
      <w:b/>
      <w:color w:val="FFFFFF"/>
      <w:spacing w:val="120"/>
      <w:sz w:val="24"/>
      <w:lang w:val="en-US"/>
    </w:rPr>
  </w:style>
  <w:style w:type="paragraph" w:styleId="Style20">
    <w:name w:val="Заголовок"/>
    <w:basedOn w:val="Normal"/>
    <w:qFormat/>
    <w:pPr>
      <w:keepNext w:val="true"/>
      <w:keepLines/>
      <w:spacing w:before="240" w:after="120"/>
    </w:pPr>
    <w:rPr>
      <w:rFonts w:ascii="NTHelvetica" w:hAnsi="NTHelvetica" w:cs="NTHelvetica"/>
      <w:b/>
      <w:color w:val="0000FF"/>
      <w:sz w:val="24"/>
    </w:rPr>
  </w:style>
  <w:style w:type="paragraph" w:styleId="Style21">
    <w:name w:val="приказ"/>
    <w:basedOn w:val="Style15"/>
    <w:qFormat/>
    <w:pPr>
      <w:keepNext w:val="true"/>
      <w:keepLines/>
      <w:spacing w:before="113" w:after="0"/>
      <w:ind w:hanging="0" w:start="0" w:end="0"/>
      <w:jc w:val="end"/>
    </w:pPr>
    <w:rPr/>
  </w:style>
  <w:style w:type="paragraph" w:styleId="Style22">
    <w:name w:val="дата"/>
    <w:basedOn w:val="Style15"/>
    <w:qFormat/>
    <w:pPr>
      <w:keepNext w:val="true"/>
      <w:keepLines/>
      <w:tabs>
        <w:tab w:val="clear" w:pos="720"/>
        <w:tab w:val="right" w:pos="9639" w:leader="none"/>
      </w:tabs>
      <w:spacing w:before="0" w:after="120"/>
      <w:ind w:hanging="0" w:start="0" w:end="0"/>
      <w:jc w:val="start"/>
    </w:pPr>
    <w:rPr>
      <w:color w:val="000000"/>
      <w:lang w:val="ru-RU"/>
    </w:rPr>
  </w:style>
  <w:style w:type="paragraph" w:styleId="Style23">
    <w:name w:val="подпись"/>
    <w:basedOn w:val="Style15"/>
    <w:qFormat/>
    <w:pPr>
      <w:keepLines/>
      <w:tabs>
        <w:tab w:val="clear" w:pos="720"/>
        <w:tab w:val="right" w:pos="5670" w:leader="none"/>
      </w:tabs>
      <w:spacing w:before="340" w:after="0"/>
      <w:ind w:hanging="0" w:start="567" w:end="0"/>
      <w:jc w:val="start"/>
    </w:pPr>
    <w:rPr>
      <w:caps/>
      <w:lang w:val="ru-RU"/>
    </w:rPr>
  </w:style>
  <w:style w:type="paragraph" w:styleId="Style24">
    <w:name w:val="Приложение"/>
    <w:basedOn w:val="Style15"/>
    <w:next w:val="Style15"/>
    <w:qFormat/>
    <w:pPr>
      <w:keepNext w:val="true"/>
      <w:keepLines/>
      <w:spacing w:before="0" w:after="170"/>
      <w:jc w:val="end"/>
    </w:pPr>
    <w:rPr>
      <w:color w:val="000000"/>
    </w:rPr>
  </w:style>
  <w:style w:type="paragraph" w:styleId="-">
    <w:name w:val="Осн. текст-список"/>
    <w:basedOn w:val="Style15"/>
    <w:next w:val="Style15"/>
    <w:qFormat/>
    <w:pPr>
      <w:tabs>
        <w:tab w:val="clear" w:pos="720"/>
        <w:tab w:val="right" w:pos="850" w:leader="none"/>
        <w:tab w:val="left" w:pos="964" w:leader="none"/>
      </w:tabs>
      <w:ind w:hanging="397" w:start="964" w:end="0"/>
    </w:pPr>
    <w:rPr>
      <w:color w:val="000000"/>
      <w:sz w:val="18"/>
      <w:lang w:val="ru-RU"/>
    </w:rPr>
  </w:style>
  <w:style w:type="paragraph" w:styleId="Style25">
    <w:name w:val="Таблица"/>
    <w:basedOn w:val="Normal"/>
    <w:qFormat/>
    <w:pPr>
      <w:keepLines/>
      <w:spacing w:before="60" w:after="60"/>
    </w:pPr>
    <w:rPr>
      <w:rFonts w:ascii="PragmaticaCondC" w:hAnsi="PragmaticaCondC" w:cs="PragmaticaCondC"/>
      <w:sz w:val="18"/>
    </w:rPr>
  </w:style>
  <w:style w:type="paragraph" w:styleId="Style26">
    <w:name w:val="Сноска"/>
    <w:basedOn w:val="Normal"/>
    <w:qFormat/>
    <w:pPr>
      <w:keepLines/>
      <w:spacing w:before="120" w:after="0"/>
    </w:pPr>
    <w:rPr>
      <w:rFonts w:ascii="PragmaticaCondC" w:hAnsi="PragmaticaCondC" w:cs="PragmaticaCondC"/>
      <w:sz w:val="18"/>
    </w:rPr>
  </w:style>
  <w:style w:type="paragraph" w:styleId="Style27">
    <w:name w:val="Еще с чертой"/>
    <w:basedOn w:val="Style16"/>
    <w:qFormat/>
    <w:pPr>
      <w:spacing w:before="113" w:after="0"/>
    </w:pPr>
    <w:rPr>
      <w:color w:val="000000"/>
    </w:rPr>
  </w:style>
  <w:style w:type="paragraph" w:styleId="--">
    <w:name w:val="дата-номер-кому"/>
    <w:basedOn w:val="Style22"/>
    <w:next w:val="Style22"/>
    <w:qFormat/>
    <w:pPr>
      <w:keepNext w:val="false"/>
      <w:keepLines w:val="false"/>
      <w:tabs>
        <w:tab w:val="clear" w:pos="9639"/>
        <w:tab w:val="left" w:pos="5953" w:leader="none"/>
        <w:tab w:val="right" w:pos="8787" w:leader="none"/>
      </w:tabs>
      <w:spacing w:before="57" w:after="0"/>
    </w:pPr>
    <w:rPr>
      <w:color w:val="000000"/>
    </w:rPr>
  </w:style>
  <w:style w:type="paragraph" w:styleId="Style28">
    <w:name w:val="Глава"/>
    <w:basedOn w:val="Style15"/>
    <w:next w:val="Style15"/>
    <w:qFormat/>
    <w:pPr>
      <w:keepNext w:val="true"/>
      <w:spacing w:before="113" w:after="113"/>
      <w:ind w:hanging="0" w:start="567" w:end="0"/>
      <w:jc w:val="start"/>
    </w:pPr>
    <w:rPr>
      <w:b/>
      <w:sz w:val="18"/>
      <w:lang w:val="ru-RU"/>
    </w:rPr>
  </w:style>
  <w:style w:type="paragraph" w:styleId="Style29">
    <w:name w:val="Осн. текст список орг."/>
    <w:basedOn w:val="Style15"/>
    <w:next w:val="Style15"/>
    <w:qFormat/>
    <w:pPr>
      <w:spacing w:before="113" w:after="0"/>
    </w:pPr>
    <w:rPr>
      <w:sz w:val="18"/>
      <w:lang w:val="ru-RU"/>
    </w:rPr>
  </w:style>
  <w:style w:type="paragraph" w:styleId="3">
    <w:name w:val="Таблица+3"/>
    <w:basedOn w:val="Style25"/>
    <w:next w:val="Style25"/>
    <w:qFormat/>
    <w:pPr>
      <w:keepNext w:val="true"/>
      <w:pBdr>
        <w:top w:val="single" w:sz="2" w:space="0" w:color="000000"/>
      </w:pBdr>
      <w:tabs>
        <w:tab w:val="clear" w:pos="720"/>
        <w:tab w:val="left" w:pos="3061" w:leader="none"/>
        <w:tab w:val="left" w:pos="5159" w:leader="none"/>
        <w:tab w:val="left" w:pos="7427" w:leader="none"/>
      </w:tabs>
      <w:spacing w:before="0" w:after="0"/>
      <w:ind w:hanging="0" w:start="57" w:end="57"/>
    </w:pPr>
    <w:rPr>
      <w:rFonts w:ascii="Pragmatica" w:hAnsi="Pragmatica" w:cs="Pragmatica"/>
      <w:color w:val="000000"/>
    </w:rPr>
  </w:style>
  <w:style w:type="paragraph" w:styleId="2">
    <w:name w:val="Таблица+2"/>
    <w:basedOn w:val="Style25"/>
    <w:next w:val="Style25"/>
    <w:qFormat/>
    <w:pPr>
      <w:keepNext w:val="true"/>
      <w:tabs>
        <w:tab w:val="clear" w:pos="720"/>
        <w:tab w:val="center" w:pos="3628" w:leader="none"/>
        <w:tab w:val="center" w:pos="5726" w:leader="none"/>
        <w:tab w:val="center" w:pos="7824" w:leader="none"/>
      </w:tabs>
      <w:spacing w:before="0" w:after="0"/>
      <w:ind w:hanging="0" w:start="57" w:end="57"/>
    </w:pPr>
    <w:rPr>
      <w:rFonts w:ascii="Pragmatica" w:hAnsi="Pragmatica" w:cs="Pragmatica"/>
      <w:color w:val="000000"/>
    </w:rPr>
  </w:style>
  <w:style w:type="paragraph" w:styleId="7">
    <w:name w:val="Подпись 7"/>
    <w:basedOn w:val="Style23"/>
    <w:qFormat/>
    <w:pPr>
      <w:keepLines w:val="false"/>
      <w:tabs>
        <w:tab w:val="clear" w:pos="5670"/>
        <w:tab w:val="center" w:pos="4365" w:leader="none"/>
        <w:tab w:val="right" w:pos="8759" w:leader="none"/>
      </w:tabs>
      <w:spacing w:before="227" w:after="0"/>
    </w:pPr>
    <w:rPr>
      <w:sz w:val="18"/>
    </w:rPr>
  </w:style>
  <w:style w:type="paragraph" w:styleId="77">
    <w:name w:val="Подпись 77"/>
    <w:basedOn w:val="7"/>
    <w:qFormat/>
    <w:pPr>
      <w:pBdr>
        <w:top w:val="single" w:sz="6" w:space="0" w:color="000000"/>
      </w:pBdr>
      <w:tabs>
        <w:tab w:val="clear" w:pos="4365"/>
      </w:tabs>
      <w:spacing w:before="170" w:after="0"/>
    </w:pPr>
    <w:rPr/>
  </w:style>
  <w:style w:type="paragraph" w:styleId="71">
    <w:name w:val="Схема 7"/>
    <w:basedOn w:val="Style20"/>
    <w:qFormat/>
    <w:pPr>
      <w:keepNext w:val="false"/>
      <w:keepLines w:val="false"/>
      <w:spacing w:before="340" w:after="227"/>
    </w:pPr>
    <w:rPr>
      <w:rFonts w:ascii="AGOpus" w:hAnsi="AGOpus" w:cs="AGOpus"/>
      <w:b w:val="false"/>
      <w:color w:val="000000"/>
      <w:sz w:val="40"/>
    </w:rPr>
  </w:style>
  <w:style w:type="paragraph" w:styleId="Style30">
    <w:name w:val="текст"/>
    <w:qFormat/>
    <w:pPr>
      <w:widowControl/>
      <w:overflowPunct w:val="false"/>
      <w:autoSpaceDE w:val="false"/>
      <w:bidi w:val="0"/>
      <w:ind w:firstLine="567" w:start="0" w:end="0"/>
      <w:jc w:val="both"/>
      <w:textAlignment w:val="baseline"/>
    </w:pPr>
    <w:rPr>
      <w:rFonts w:ascii="NTHelvetica" w:hAnsi="NTHelvetica" w:eastAsia="Times New Roman" w:cs="NTHelvetica"/>
      <w:color w:val="000000"/>
      <w:sz w:val="18"/>
      <w:szCs w:val="20"/>
      <w:lang w:bidi="ar-SA" w:val="ru-RU" w:eastAsia="zh-CN"/>
    </w:rPr>
  </w:style>
  <w:style w:type="paragraph" w:styleId="Style31">
    <w:name w:val="приложение"/>
    <w:basedOn w:val="Style15"/>
    <w:next w:val="Style15"/>
    <w:qFormat/>
    <w:pPr>
      <w:spacing w:before="0" w:after="170"/>
      <w:ind w:hanging="0" w:start="0" w:end="0"/>
      <w:jc w:val="end"/>
    </w:pPr>
    <w:rPr>
      <w:sz w:val="18"/>
      <w:lang w:val="ru-RU"/>
    </w:rPr>
  </w:style>
  <w:style w:type="paragraph" w:styleId="FootnoteText">
    <w:name w:val="footnote text"/>
    <w:basedOn w:val="Normal"/>
    <w:pPr/>
    <w:rPr>
      <w:sz w:val="20"/>
    </w:rPr>
  </w:style>
  <w:style w:type="paragraph" w:styleId="006">
    <w:name w:val="Таб006"/>
    <w:basedOn w:val="Style25"/>
    <w:next w:val="00630"/>
    <w:qFormat/>
    <w:pPr>
      <w:keepNext w:val="true"/>
      <w:tabs>
        <w:tab w:val="clear" w:pos="720"/>
        <w:tab w:val="right" w:pos="794" w:leader="none"/>
        <w:tab w:val="right" w:pos="1956" w:leader="none"/>
        <w:tab w:val="right" w:pos="2976" w:leader="none"/>
        <w:tab w:val="right" w:pos="4082" w:leader="none"/>
        <w:tab w:val="right" w:pos="5131" w:leader="none"/>
        <w:tab w:val="right" w:pos="6293" w:leader="none"/>
        <w:tab w:val="right" w:pos="7398" w:leader="none"/>
        <w:tab w:val="decimal" w:pos="8192" w:leader="none"/>
      </w:tabs>
      <w:spacing w:before="0" w:after="0"/>
      <w:ind w:hanging="0" w:start="57" w:end="0"/>
    </w:pPr>
    <w:rPr>
      <w:rFonts w:ascii="Pragmatica" w:hAnsi="Pragmatica" w:cs="Pragmatica"/>
      <w:color w:val="000000"/>
    </w:rPr>
  </w:style>
  <w:style w:type="paragraph" w:styleId="00630">
    <w:name w:val="Таб006+30%"/>
    <w:basedOn w:val="006"/>
    <w:next w:val="006"/>
    <w:qFormat/>
    <w:pPr>
      <w:pBdr>
        <w:top w:val="single" w:sz="12" w:space="0" w:color="000000"/>
      </w:pBdr>
    </w:pPr>
    <w:rPr/>
  </w:style>
  <w:style w:type="paragraph" w:styleId="028">
    <w:name w:val="Таб028"/>
    <w:basedOn w:val="Style25"/>
    <w:next w:val="Style25"/>
    <w:qFormat/>
    <w:pPr>
      <w:keepNext w:val="true"/>
      <w:tabs>
        <w:tab w:val="clear" w:pos="720"/>
        <w:tab w:val="center" w:pos="283" w:leader="none"/>
        <w:tab w:val="left" w:pos="680" w:leader="none"/>
        <w:tab w:val="center" w:pos="4110" w:leader="none"/>
        <w:tab w:val="center" w:pos="4961" w:leader="none"/>
        <w:tab w:val="center" w:pos="5783" w:leader="none"/>
        <w:tab w:val="left" w:pos="6350" w:leader="none"/>
      </w:tabs>
      <w:spacing w:before="0" w:after="0"/>
      <w:ind w:hanging="0" w:start="57" w:end="57"/>
    </w:pPr>
    <w:rPr>
      <w:rFonts w:ascii="Pragmatica" w:hAnsi="Pragmatica" w:cs="Pragmatica"/>
      <w:color w:val="000000"/>
    </w:rPr>
  </w:style>
  <w:style w:type="paragraph" w:styleId="00730">
    <w:name w:val="Таб007+30%"/>
    <w:basedOn w:val="Style25"/>
    <w:next w:val="Style25"/>
    <w:qFormat/>
    <w:pPr>
      <w:keepNext w:val="true"/>
      <w:pBdr>
        <w:top w:val="single" w:sz="12" w:space="0" w:color="000000"/>
      </w:pBdr>
      <w:tabs>
        <w:tab w:val="clear" w:pos="720"/>
        <w:tab w:val="left" w:pos="1928" w:leader="none"/>
        <w:tab w:val="right" w:pos="3770" w:leader="none"/>
        <w:tab w:val="right" w:pos="4762" w:leader="none"/>
        <w:tab w:val="right" w:pos="5839" w:leader="none"/>
        <w:tab w:val="right" w:pos="7087" w:leader="none"/>
        <w:tab w:val="right" w:pos="8362" w:leader="none"/>
      </w:tabs>
      <w:spacing w:before="0" w:after="0"/>
      <w:ind w:hanging="0" w:start="57" w:end="57"/>
    </w:pPr>
    <w:rPr>
      <w:rFonts w:ascii="Pragmatica" w:hAnsi="Pragmatica" w:cs="Pragmatica"/>
      <w:color w:val="000000"/>
      <w:lang w:val="en-US"/>
    </w:rPr>
  </w:style>
  <w:style w:type="paragraph" w:styleId="007">
    <w:name w:val="Таб007"/>
    <w:basedOn w:val="Style25"/>
    <w:next w:val="Style25"/>
    <w:qFormat/>
    <w:pPr>
      <w:keepNext w:val="true"/>
      <w:tabs>
        <w:tab w:val="clear" w:pos="720"/>
        <w:tab w:val="left" w:pos="1928" w:leader="none"/>
        <w:tab w:val="right" w:pos="3770" w:leader="none"/>
        <w:tab w:val="right" w:pos="4762" w:leader="none"/>
        <w:tab w:val="right" w:pos="5839" w:leader="none"/>
        <w:tab w:val="right" w:pos="7087" w:leader="none"/>
        <w:tab w:val="right" w:pos="8362" w:leader="none"/>
      </w:tabs>
      <w:spacing w:before="0" w:after="0"/>
      <w:ind w:hanging="0" w:start="57" w:end="57"/>
    </w:pPr>
    <w:rPr>
      <w:rFonts w:ascii="Pragmatica" w:hAnsi="Pragmatica" w:cs="Pragmatica"/>
      <w:lang w:val="en-US"/>
    </w:rPr>
  </w:style>
  <w:style w:type="paragraph" w:styleId="00760">
    <w:name w:val="Таб007+60%"/>
    <w:basedOn w:val="007"/>
    <w:next w:val="007"/>
    <w:qFormat/>
    <w:pPr>
      <w:pBdr>
        <w:top w:val="single" w:sz="12" w:space="0" w:color="000000"/>
      </w:pBdr>
    </w:pPr>
    <w:rPr>
      <w:color w:val="000000"/>
    </w:rPr>
  </w:style>
  <w:style w:type="paragraph" w:styleId="Style32">
    <w:name w:val="Осн. текст список"/>
    <w:basedOn w:val="Normal"/>
    <w:next w:val="Normal"/>
    <w:qFormat/>
    <w:pPr>
      <w:tabs>
        <w:tab w:val="clear" w:pos="720"/>
        <w:tab w:val="right" w:pos="850" w:leader="none"/>
        <w:tab w:val="left" w:pos="964" w:leader="none"/>
      </w:tabs>
      <w:spacing w:lineRule="atLeast" w:line="220"/>
      <w:ind w:hanging="397" w:start="964" w:end="0"/>
    </w:pPr>
    <w:rPr>
      <w:color w:val="000000"/>
      <w:sz w:val="18"/>
    </w:rPr>
  </w:style>
  <w:style w:type="paragraph" w:styleId="033">
    <w:name w:val="Таб033"/>
    <w:basedOn w:val="Style25"/>
    <w:next w:val="Style25"/>
    <w:qFormat/>
    <w:pPr>
      <w:keepNext w:val="true"/>
      <w:tabs>
        <w:tab w:val="clear" w:pos="720"/>
        <w:tab w:val="right" w:pos="454" w:leader="none"/>
        <w:tab w:val="left" w:pos="907" w:leader="none"/>
        <w:tab w:val="decimal" w:pos="4876" w:leader="none"/>
        <w:tab w:val="decimal" w:pos="5613" w:leader="none"/>
        <w:tab w:val="decimal" w:pos="6576" w:leader="none"/>
        <w:tab w:val="decimal" w:pos="7597" w:leader="none"/>
        <w:tab w:val="decimal" w:pos="8731" w:leader="none"/>
        <w:tab w:val="decimal" w:pos="9865" w:leader="none"/>
        <w:tab w:val="decimal" w:pos="11112" w:leader="none"/>
        <w:tab w:val="decimal" w:pos="12246" w:leader="none"/>
        <w:tab w:val="decimal" w:pos="13493" w:leader="none"/>
      </w:tabs>
      <w:spacing w:before="0" w:after="0"/>
      <w:ind w:hanging="0" w:start="57" w:end="57"/>
    </w:pPr>
    <w:rPr>
      <w:rFonts w:ascii="Pragmatica" w:hAnsi="Pragmatica" w:cs="Pragmatica"/>
      <w:color w:val="000000"/>
    </w:rPr>
  </w:style>
  <w:style w:type="paragraph" w:styleId="0331">
    <w:name w:val="Таб033обл."/>
    <w:basedOn w:val="033"/>
    <w:qFormat/>
    <w:pPr>
      <w:spacing w:before="57" w:after="57"/>
      <w:jc w:val="center"/>
    </w:pPr>
    <w:rPr/>
  </w:style>
  <w:style w:type="paragraph" w:styleId="Style33">
    <w:name w:val="Подпись"/>
    <w:basedOn w:val="Normal"/>
    <w:qFormat/>
    <w:pPr>
      <w:spacing w:before="120" w:after="0"/>
      <w:ind w:hanging="0" w:start="567" w:end="0"/>
    </w:pPr>
    <w:rPr>
      <w:rFonts w:ascii="NTHelvetica" w:hAnsi="NTHelvetica" w:cs="NTHelvetica"/>
      <w:sz w:val="20"/>
    </w:rPr>
  </w:style>
  <w:style w:type="paragraph" w:styleId="Style34">
    <w:name w:val="Приказ"/>
    <w:basedOn w:val="Normal"/>
    <w:qFormat/>
    <w:pPr>
      <w:spacing w:before="0" w:after="120"/>
      <w:jc w:val="end"/>
    </w:pPr>
    <w:rPr>
      <w:rFonts w:ascii="NTHelvetica" w:hAnsi="NTHelvetica" w:cs="NTHelvetica"/>
      <w:sz w:val="20"/>
    </w:rPr>
  </w:style>
  <w:style w:type="paragraph" w:styleId="Style35">
    <w:name w:val="Дата"/>
    <w:basedOn w:val="Normal"/>
    <w:qFormat/>
    <w:pPr>
      <w:spacing w:before="0" w:after="120"/>
    </w:pPr>
    <w:rPr>
      <w:rFonts w:ascii="NTHelvetica" w:hAnsi="NTHelvetica" w:cs="NTHelvetica"/>
      <w:sz w:val="20"/>
    </w:rPr>
  </w:style>
  <w:style w:type="paragraph" w:styleId="Style36">
    <w:name w:val="Гранки"/>
    <w:basedOn w:val="Normal"/>
    <w:qFormat/>
    <w:pPr>
      <w:spacing w:before="120" w:after="0"/>
    </w:pPr>
    <w:rPr>
      <w:lang w:val="en-US"/>
    </w:rPr>
  </w:style>
  <w:style w:type="paragraph" w:styleId="72">
    <w:name w:val="Осн. текст 7"/>
    <w:basedOn w:val="Style15"/>
    <w:qFormat/>
    <w:pPr/>
    <w:rPr>
      <w:color w:val="000000"/>
    </w:rPr>
  </w:style>
  <w:style w:type="paragraph" w:styleId="Style37">
    <w:name w:val="формула"/>
    <w:basedOn w:val="Style30"/>
    <w:next w:val="Style30"/>
    <w:qFormat/>
    <w:pPr>
      <w:spacing w:before="113" w:after="113"/>
      <w:ind w:hanging="0" w:start="0" w:end="0"/>
      <w:jc w:val="center"/>
    </w:pPr>
    <w:rPr>
      <w:rFonts w:ascii="Bodoni" w:hAnsi="Bodoni" w:cs="Bodoni"/>
      <w:sz w:val="20"/>
    </w:rPr>
  </w:style>
  <w:style w:type="paragraph" w:styleId="Style38">
    <w:name w:val="Рисунок"/>
    <w:basedOn w:val="Normal"/>
    <w:qFormat/>
    <w:pPr>
      <w:spacing w:before="0" w:after="240"/>
    </w:pPr>
    <w:rPr>
      <w:rFonts w:ascii="Bodoni" w:hAnsi="Bodoni" w:cs="Bodoni"/>
      <w:sz w:val="20"/>
    </w:rPr>
  </w:style>
  <w:style w:type="paragraph" w:styleId="010">
    <w:name w:val="Таб010"/>
    <w:basedOn w:val="Style25"/>
    <w:next w:val="Style25"/>
    <w:qFormat/>
    <w:pPr>
      <w:keepNext w:val="true"/>
      <w:tabs>
        <w:tab w:val="clear" w:pos="720"/>
        <w:tab w:val="decimal" w:pos="1474" w:leader="none"/>
        <w:tab w:val="decimal" w:pos="2580" w:leader="none"/>
        <w:tab w:val="decimal" w:pos="3458" w:leader="none"/>
        <w:tab w:val="decimal" w:pos="4422" w:leader="none"/>
        <w:tab w:val="decimal" w:pos="5244" w:leader="none"/>
        <w:tab w:val="decimal" w:pos="6265" w:leader="none"/>
        <w:tab w:val="decimal" w:pos="7342" w:leader="none"/>
        <w:tab w:val="decimal" w:pos="8447" w:leader="none"/>
      </w:tabs>
      <w:spacing w:before="0" w:after="0"/>
      <w:ind w:hanging="0" w:start="113" w:end="57"/>
    </w:pPr>
    <w:rPr>
      <w:rFonts w:ascii="Pragmatica" w:hAnsi="Pragmatica" w:cs="Pragmatica"/>
      <w:sz w:val="20"/>
    </w:rPr>
  </w:style>
  <w:style w:type="paragraph" w:styleId="01030">
    <w:name w:val="Таб010+30%"/>
    <w:basedOn w:val="010"/>
    <w:next w:val="010"/>
    <w:qFormat/>
    <w:pPr>
      <w:pBdr>
        <w:top w:val="single" w:sz="12" w:space="0" w:color="000000"/>
      </w:pBdr>
    </w:pPr>
    <w:rPr>
      <w:color w:val="000000"/>
    </w:rPr>
  </w:style>
  <w:style w:type="paragraph" w:styleId="Style39">
    <w:name w:val="Оглавление"/>
    <w:basedOn w:val="Normal"/>
    <w:qFormat/>
    <w:pPr>
      <w:tabs>
        <w:tab w:val="clear" w:pos="720"/>
        <w:tab w:val="right" w:pos="10148" w:leader="dot"/>
      </w:tabs>
      <w:spacing w:before="113" w:after="0"/>
      <w:ind w:hanging="0" w:start="1134" w:end="0"/>
    </w:pPr>
    <w:rPr>
      <w:rFonts w:ascii="Bodoni" w:hAnsi="Bodoni" w:cs="Bodoni"/>
      <w:sz w:val="24"/>
    </w:rPr>
  </w:style>
  <w:style w:type="paragraph" w:styleId="01060">
    <w:name w:val="Таб010+60%"/>
    <w:basedOn w:val="010"/>
    <w:next w:val="010"/>
    <w:qFormat/>
    <w:pPr>
      <w:pBdr>
        <w:top w:val="single" w:sz="12" w:space="0" w:color="000000"/>
      </w:pBdr>
      <w:ind w:hanging="0" w:start="0" w:end="57"/>
      <w:jc w:val="center"/>
    </w:pPr>
    <w:rPr>
      <w:color w:val="000000"/>
    </w:rPr>
  </w:style>
  <w:style w:type="paragraph" w:styleId="022">
    <w:name w:val="Таб022"/>
    <w:basedOn w:val="Style25"/>
    <w:next w:val="Style25"/>
    <w:qFormat/>
    <w:pPr>
      <w:keepNext w:val="true"/>
      <w:tabs>
        <w:tab w:val="clear" w:pos="720"/>
        <w:tab w:val="right" w:pos="680" w:leader="none"/>
        <w:tab w:val="center" w:pos="1871" w:leader="none"/>
        <w:tab w:val="decimal" w:pos="3458" w:leader="none"/>
        <w:tab w:val="decimal" w:pos="4989" w:leader="none"/>
        <w:tab w:val="decimal" w:pos="6690" w:leader="none"/>
        <w:tab w:val="decimal" w:pos="8079" w:leader="none"/>
        <w:tab w:val="right" w:pos="9524" w:leader="none"/>
      </w:tabs>
      <w:spacing w:before="0" w:after="0"/>
      <w:ind w:hanging="0" w:start="57" w:end="57"/>
    </w:pPr>
    <w:rPr>
      <w:rFonts w:ascii="Pragmatica" w:hAnsi="Pragmatica" w:cs="Pragmatica"/>
      <w:sz w:val="20"/>
    </w:rPr>
  </w:style>
  <w:style w:type="paragraph" w:styleId="02230">
    <w:name w:val="Таб022+30%"/>
    <w:basedOn w:val="022"/>
    <w:next w:val="022"/>
    <w:qFormat/>
    <w:pPr>
      <w:pBdr>
        <w:top w:val="single" w:sz="12" w:space="0" w:color="000000"/>
      </w:pBdr>
    </w:pPr>
    <w:rPr>
      <w:color w:val="000000"/>
    </w:rPr>
  </w:style>
  <w:style w:type="paragraph" w:styleId="73">
    <w:name w:val="текст 7"/>
    <w:basedOn w:val="Style30"/>
    <w:qFormat/>
    <w:pPr/>
    <w:rPr>
      <w:rFonts w:ascii="NTHelvetica/Cyrillic" w:hAnsi="NTHelvetica/Cyrillic" w:cs="NTHelvetica/Cyrillic"/>
      <w:color w:val="000000"/>
      <w:sz w:val="20"/>
    </w:rPr>
  </w:style>
  <w:style w:type="paragraph" w:styleId="026">
    <w:name w:val="Таб026"/>
    <w:basedOn w:val="Style25"/>
    <w:next w:val="Style25"/>
    <w:qFormat/>
    <w:pPr>
      <w:keepNext w:val="true"/>
      <w:tabs>
        <w:tab w:val="clear" w:pos="720"/>
        <w:tab w:val="left" w:pos="567" w:leader="none"/>
        <w:tab w:val="left" w:pos="765" w:leader="none"/>
        <w:tab w:val="left" w:pos="1417" w:leader="none"/>
        <w:tab w:val="left" w:pos="1559" w:leader="none"/>
        <w:tab w:val="right" w:pos="8476" w:leader="none"/>
      </w:tabs>
      <w:spacing w:before="0" w:after="0"/>
      <w:ind w:hanging="0" w:start="170" w:end="57"/>
    </w:pPr>
    <w:rPr>
      <w:rFonts w:ascii="Pragmatica" w:hAnsi="Pragmatica" w:cs="Pragmatica"/>
      <w:lang w:val="en-US"/>
    </w:rPr>
  </w:style>
  <w:style w:type="paragraph" w:styleId="02630">
    <w:name w:val="Таб026+30%"/>
    <w:basedOn w:val="026"/>
    <w:next w:val="026"/>
    <w:qFormat/>
    <w:pPr>
      <w:pBdr>
        <w:top w:val="single" w:sz="12" w:space="0" w:color="000000"/>
      </w:pBdr>
    </w:pPr>
    <w:rPr>
      <w:color w:val="000000"/>
    </w:rPr>
  </w:style>
  <w:style w:type="paragraph" w:styleId="02660">
    <w:name w:val="Таб026+60%"/>
    <w:basedOn w:val="026"/>
    <w:next w:val="026"/>
    <w:qFormat/>
    <w:pPr>
      <w:pBdr>
        <w:top w:val="single" w:sz="12" w:space="0" w:color="000000"/>
      </w:pBdr>
    </w:pPr>
    <w:rPr>
      <w:color w:val="000000"/>
    </w:rPr>
  </w:style>
  <w:style w:type="paragraph" w:styleId="003">
    <w:name w:val="Таб003"/>
    <w:basedOn w:val="Style25"/>
    <w:next w:val="Style25"/>
    <w:qFormat/>
    <w:pPr>
      <w:keepNext w:val="true"/>
      <w:tabs>
        <w:tab w:val="clear" w:pos="720"/>
        <w:tab w:val="left" w:pos="340" w:leader="none"/>
        <w:tab w:val="left" w:pos="850" w:leader="none"/>
        <w:tab w:val="right" w:pos="3912" w:leader="none"/>
        <w:tab w:val="decimal" w:pos="4876" w:leader="none"/>
        <w:tab w:val="right" w:pos="6180" w:leader="none"/>
        <w:tab w:val="decimal" w:pos="7172" w:leader="none"/>
        <w:tab w:val="right" w:pos="8391" w:leader="none"/>
      </w:tabs>
      <w:spacing w:before="28" w:after="0"/>
      <w:ind w:hanging="0" w:start="0" w:end="57"/>
    </w:pPr>
    <w:rPr>
      <w:rFonts w:ascii="Pragmatica" w:hAnsi="Pragmatica" w:cs="Pragmatica"/>
      <w:lang w:val="en-US"/>
    </w:rPr>
  </w:style>
  <w:style w:type="paragraph" w:styleId="00330">
    <w:name w:val="Таб003+30%"/>
    <w:basedOn w:val="003"/>
    <w:qFormat/>
    <w:pPr>
      <w:pBdr>
        <w:top w:val="single" w:sz="12" w:space="0" w:color="000000"/>
      </w:pBdr>
    </w:pPr>
    <w:rPr>
      <w:color w:val="000000"/>
    </w:rPr>
  </w:style>
  <w:style w:type="paragraph" w:styleId="00360-end">
    <w:name w:val="Таб003+60%-end"/>
    <w:basedOn w:val="00330"/>
    <w:qFormat/>
    <w:pPr>
      <w:spacing w:before="255" w:after="0"/>
    </w:pPr>
    <w:rPr/>
  </w:style>
  <w:style w:type="paragraph" w:styleId="00460">
    <w:name w:val="Таб004+60%"/>
    <w:basedOn w:val="Normal"/>
    <w:qFormat/>
    <w:pPr>
      <w:keepNext w:val="true"/>
      <w:keepLines/>
      <w:pBdr>
        <w:top w:val="single" w:sz="12" w:space="0" w:color="000000"/>
      </w:pBdr>
      <w:tabs>
        <w:tab w:val="clear" w:pos="720"/>
        <w:tab w:val="left" w:pos="113" w:leader="none"/>
        <w:tab w:val="right" w:pos="3146" w:leader="none"/>
        <w:tab w:val="right" w:pos="4224" w:leader="none"/>
        <w:tab w:val="right" w:pos="5414" w:leader="none"/>
        <w:tab w:val="right" w:pos="6775" w:leader="none"/>
        <w:tab w:val="right" w:pos="7739" w:leader="none"/>
        <w:tab w:val="right" w:pos="8589" w:leader="none"/>
      </w:tabs>
      <w:spacing w:lineRule="atLeast" w:line="260"/>
    </w:pPr>
    <w:rPr>
      <w:color w:val="000000"/>
      <w:sz w:val="18"/>
      <w:lang w:val="en-US"/>
    </w:rPr>
  </w:style>
  <w:style w:type="paragraph" w:styleId="004">
    <w:name w:val="Таб004"/>
    <w:basedOn w:val="Normal"/>
    <w:qFormat/>
    <w:pPr>
      <w:keepNext w:val="true"/>
      <w:keepLines/>
      <w:tabs>
        <w:tab w:val="clear" w:pos="720"/>
        <w:tab w:val="left" w:pos="113" w:leader="none"/>
        <w:tab w:val="right" w:pos="3146" w:leader="none"/>
        <w:tab w:val="right" w:pos="4224" w:leader="none"/>
        <w:tab w:val="right" w:pos="5414" w:leader="none"/>
        <w:tab w:val="right" w:pos="6775" w:leader="none"/>
        <w:tab w:val="right" w:pos="7739" w:leader="none"/>
        <w:tab w:val="right" w:pos="8589" w:leader="none"/>
      </w:tabs>
      <w:spacing w:lineRule="atLeast" w:line="260"/>
    </w:pPr>
    <w:rPr>
      <w:color w:val="000000"/>
      <w:sz w:val="18"/>
      <w:lang w:val="en-US"/>
    </w:rPr>
  </w:style>
  <w:style w:type="paragraph" w:styleId="005">
    <w:name w:val="Таб005"/>
    <w:basedOn w:val="Style25"/>
    <w:next w:val="Style25"/>
    <w:qFormat/>
    <w:pPr>
      <w:keepNext w:val="true"/>
      <w:tabs>
        <w:tab w:val="clear" w:pos="720"/>
        <w:tab w:val="right" w:pos="3430" w:leader="none"/>
        <w:tab w:val="right" w:pos="4479" w:leader="none"/>
        <w:tab w:val="right" w:pos="5584" w:leader="none"/>
        <w:tab w:val="right" w:pos="7087" w:leader="none"/>
        <w:tab w:val="right" w:pos="8334" w:leader="none"/>
        <w:tab w:val="right" w:pos="9553" w:leader="none"/>
      </w:tabs>
      <w:spacing w:before="0" w:after="0"/>
      <w:ind w:hanging="0" w:start="57" w:end="57"/>
    </w:pPr>
    <w:rPr>
      <w:rFonts w:ascii="Pragmatica" w:hAnsi="Pragmatica" w:cs="Pragmatica"/>
      <w:lang w:val="en-US"/>
    </w:rPr>
  </w:style>
  <w:style w:type="paragraph" w:styleId="00530">
    <w:name w:val="Таб005+30%"/>
    <w:basedOn w:val="005"/>
    <w:next w:val="005"/>
    <w:qFormat/>
    <w:pPr>
      <w:pBdr>
        <w:top w:val="single" w:sz="12" w:space="0" w:color="000000"/>
      </w:pBdr>
    </w:pPr>
    <w:rPr>
      <w:color w:val="000000"/>
    </w:rPr>
  </w:style>
  <w:style w:type="paragraph" w:styleId="20">
    <w:name w:val="Таб20"/>
    <w:basedOn w:val="Style25"/>
    <w:next w:val="Style25"/>
    <w:qFormat/>
    <w:pPr>
      <w:keepNext w:val="true"/>
      <w:tabs>
        <w:tab w:val="clear" w:pos="720"/>
        <w:tab w:val="decimal" w:pos="3090" w:leader="none"/>
        <w:tab w:val="decimal" w:pos="3969" w:leader="none"/>
        <w:tab w:val="decimal" w:pos="4706" w:leader="none"/>
        <w:tab w:val="decimal" w:pos="5528" w:leader="none"/>
        <w:tab w:val="decimal" w:pos="6350" w:leader="none"/>
        <w:tab w:val="decimal" w:pos="7228" w:leader="none"/>
        <w:tab w:val="decimal" w:pos="8022" w:leader="none"/>
        <w:tab w:val="decimal" w:pos="8901" w:leader="none"/>
        <w:tab w:val="decimal" w:pos="9638" w:leader="none"/>
      </w:tabs>
      <w:spacing w:before="0" w:after="0"/>
      <w:ind w:hanging="0" w:start="170" w:end="57"/>
    </w:pPr>
    <w:rPr>
      <w:rFonts w:ascii="Pragmatica" w:hAnsi="Pragmatica" w:cs="Pragmatica"/>
      <w:lang w:val="en-US"/>
    </w:rPr>
  </w:style>
  <w:style w:type="paragraph" w:styleId="2030">
    <w:name w:val="Таб20+30%"/>
    <w:basedOn w:val="20"/>
    <w:next w:val="20"/>
    <w:qFormat/>
    <w:pPr>
      <w:pBdr>
        <w:top w:val="single" w:sz="12" w:space="0" w:color="000000"/>
      </w:pBdr>
    </w:pPr>
    <w:rPr>
      <w:color w:val="000000"/>
    </w:rPr>
  </w:style>
  <w:style w:type="paragraph" w:styleId="2060">
    <w:name w:val="Таб20+60%"/>
    <w:basedOn w:val="20"/>
    <w:next w:val="20"/>
    <w:qFormat/>
    <w:pPr>
      <w:pBdr>
        <w:top w:val="single" w:sz="12" w:space="0" w:color="000000"/>
      </w:pBdr>
      <w:tabs>
        <w:tab w:val="clear" w:pos="3090"/>
        <w:tab w:val="clear" w:pos="3969"/>
        <w:tab w:val="clear" w:pos="4706"/>
        <w:tab w:val="clear" w:pos="5528"/>
        <w:tab w:val="clear" w:pos="6350"/>
        <w:tab w:val="clear" w:pos="7228"/>
        <w:tab w:val="clear" w:pos="8022"/>
        <w:tab w:val="clear" w:pos="8901"/>
        <w:tab w:val="clear" w:pos="9638"/>
        <w:tab w:val="center" w:pos="3061" w:leader="none"/>
        <w:tab w:val="center" w:pos="3940" w:leader="none"/>
        <w:tab w:val="center" w:pos="4649" w:leader="none"/>
        <w:tab w:val="center" w:pos="5499" w:leader="none"/>
        <w:tab w:val="center" w:pos="6321" w:leader="none"/>
        <w:tab w:val="center" w:pos="7200" w:leader="none"/>
        <w:tab w:val="center" w:pos="7994" w:leader="none"/>
        <w:tab w:val="center" w:pos="8872" w:leader="none"/>
        <w:tab w:val="center" w:pos="9609" w:leader="none"/>
      </w:tabs>
    </w:pPr>
    <w:rPr>
      <w:color w:val="000000"/>
    </w:rPr>
  </w:style>
  <w:style w:type="paragraph" w:styleId="008">
    <w:name w:val="Таб008"/>
    <w:basedOn w:val="Style25"/>
    <w:next w:val="Style25"/>
    <w:qFormat/>
    <w:pPr>
      <w:keepNext w:val="true"/>
      <w:tabs>
        <w:tab w:val="clear" w:pos="720"/>
        <w:tab w:val="right" w:pos="680" w:leader="none"/>
        <w:tab w:val="decimal" w:pos="1559" w:leader="none"/>
        <w:tab w:val="decimal" w:pos="2580" w:leader="none"/>
        <w:tab w:val="right" w:pos="3770" w:leader="none"/>
        <w:tab w:val="right" w:pos="4620" w:leader="none"/>
        <w:tab w:val="right" w:pos="5556" w:leader="none"/>
        <w:tab w:val="right" w:pos="6520" w:leader="none"/>
        <w:tab w:val="right" w:pos="7625" w:leader="none"/>
        <w:tab w:val="right" w:pos="8504" w:leader="none"/>
      </w:tabs>
      <w:spacing w:before="0" w:after="0"/>
      <w:ind w:hanging="0" w:start="57" w:end="57"/>
    </w:pPr>
    <w:rPr>
      <w:rFonts w:ascii="Pragmatica" w:hAnsi="Pragmatica" w:cs="Pragmatica"/>
      <w:lang w:val="en-US"/>
    </w:rPr>
  </w:style>
  <w:style w:type="paragraph" w:styleId="00830">
    <w:name w:val="Таб008+30%"/>
    <w:basedOn w:val="008"/>
    <w:next w:val="008"/>
    <w:qFormat/>
    <w:pPr>
      <w:pBdr>
        <w:top w:val="single" w:sz="12" w:space="0" w:color="000000"/>
      </w:pBdr>
    </w:pPr>
    <w:rPr>
      <w:color w:val="000000"/>
    </w:rPr>
  </w:style>
  <w:style w:type="paragraph" w:styleId="009">
    <w:name w:val="Таб009"/>
    <w:basedOn w:val="Style25"/>
    <w:next w:val="Style25"/>
    <w:qFormat/>
    <w:pPr>
      <w:keepNext w:val="true"/>
      <w:tabs>
        <w:tab w:val="clear" w:pos="720"/>
        <w:tab w:val="center" w:pos="2551" w:leader="none"/>
        <w:tab w:val="center" w:pos="3685" w:leader="none"/>
        <w:tab w:val="center" w:pos="4932" w:leader="none"/>
        <w:tab w:val="center" w:pos="6236" w:leader="none"/>
        <w:tab w:val="center" w:pos="7512" w:leader="none"/>
        <w:tab w:val="center" w:pos="8617" w:leader="none"/>
      </w:tabs>
      <w:spacing w:before="0" w:after="0"/>
      <w:ind w:hanging="0" w:start="227" w:end="57"/>
    </w:pPr>
    <w:rPr>
      <w:rFonts w:ascii="Pragmatica" w:hAnsi="Pragmatica" w:cs="Pragmatica"/>
      <w:lang w:val="en-US"/>
    </w:rPr>
  </w:style>
  <w:style w:type="paragraph" w:styleId="00930">
    <w:name w:val="Таб009+30%"/>
    <w:basedOn w:val="009"/>
    <w:next w:val="009"/>
    <w:qFormat/>
    <w:pPr>
      <w:pBdr>
        <w:top w:val="single" w:sz="12" w:space="0" w:color="000000"/>
      </w:pBdr>
    </w:pPr>
    <w:rPr>
      <w:color w:val="000000"/>
    </w:rPr>
  </w:style>
  <w:style w:type="paragraph" w:styleId="00960">
    <w:name w:val="Таб009+60%"/>
    <w:basedOn w:val="009"/>
    <w:next w:val="009"/>
    <w:qFormat/>
    <w:pPr>
      <w:pBdr>
        <w:top w:val="single" w:sz="12" w:space="0" w:color="000000"/>
      </w:pBdr>
      <w:spacing w:before="0" w:after="227"/>
    </w:pPr>
    <w:rPr>
      <w:color w:val="000000"/>
    </w:rPr>
  </w:style>
  <w:style w:type="paragraph" w:styleId="018">
    <w:name w:val="Таб018"/>
    <w:basedOn w:val="Style25"/>
    <w:next w:val="Style25"/>
    <w:qFormat/>
    <w:pPr>
      <w:keepNext w:val="true"/>
      <w:tabs>
        <w:tab w:val="clear" w:pos="720"/>
        <w:tab w:val="center" w:pos="595" w:leader="none"/>
        <w:tab w:val="center" w:pos="2835" w:leader="none"/>
        <w:tab w:val="center" w:pos="5329" w:leader="none"/>
        <w:tab w:val="center" w:pos="7767" w:leader="none"/>
      </w:tabs>
      <w:spacing w:before="0" w:after="0"/>
      <w:ind w:hanging="0" w:start="57" w:end="57"/>
    </w:pPr>
    <w:rPr>
      <w:rFonts w:ascii="Pragmatica" w:hAnsi="Pragmatica" w:cs="Pragmatica"/>
      <w:lang w:val="en-US"/>
    </w:rPr>
  </w:style>
  <w:style w:type="paragraph" w:styleId="01830">
    <w:name w:val="Таб018+30%"/>
    <w:basedOn w:val="018"/>
    <w:next w:val="018"/>
    <w:qFormat/>
    <w:pPr>
      <w:pBdr>
        <w:top w:val="single" w:sz="12" w:space="0" w:color="000000"/>
      </w:pBdr>
    </w:pPr>
    <w:rPr>
      <w:color w:val="000000"/>
    </w:rPr>
  </w:style>
  <w:style w:type="paragraph" w:styleId="01860">
    <w:name w:val="Таб018+60%"/>
    <w:basedOn w:val="018"/>
    <w:next w:val="018"/>
    <w:qFormat/>
    <w:pPr>
      <w:pBdr>
        <w:top w:val="single" w:sz="12" w:space="0" w:color="000000"/>
      </w:pBdr>
      <w:spacing w:before="0" w:after="227"/>
    </w:pPr>
    <w:rPr>
      <w:color w:val="000000"/>
    </w:rPr>
  </w:style>
  <w:style w:type="paragraph" w:styleId="-001">
    <w:name w:val="Таб-001"/>
    <w:basedOn w:val="Style25"/>
    <w:next w:val="Style25"/>
    <w:qFormat/>
    <w:pPr>
      <w:keepNext w:val="true"/>
      <w:tabs>
        <w:tab w:val="clear" w:pos="720"/>
        <w:tab w:val="center" w:pos="1701" w:leader="none"/>
        <w:tab w:val="center" w:pos="4932" w:leader="none"/>
        <w:tab w:val="center" w:pos="7597" w:leader="none"/>
      </w:tabs>
      <w:spacing w:before="0" w:after="0"/>
      <w:ind w:hanging="0" w:start="57" w:end="57"/>
    </w:pPr>
    <w:rPr>
      <w:rFonts w:ascii="Pragmatica" w:hAnsi="Pragmatica" w:cs="Pragmatica"/>
      <w:lang w:val="en-US"/>
    </w:rPr>
  </w:style>
  <w:style w:type="paragraph" w:styleId="-002">
    <w:name w:val="Таб-002"/>
    <w:basedOn w:val="Style25"/>
    <w:next w:val="Style25"/>
    <w:qFormat/>
    <w:pPr>
      <w:keepNext w:val="true"/>
      <w:tabs>
        <w:tab w:val="clear" w:pos="720"/>
        <w:tab w:val="center" w:pos="850" w:leader="none"/>
        <w:tab w:val="decimal" w:pos="2608" w:leader="none"/>
        <w:tab w:val="decimal" w:pos="4479" w:leader="none"/>
        <w:tab w:val="decimal" w:pos="6350" w:leader="none"/>
        <w:tab w:val="decimal" w:pos="7937" w:leader="none"/>
      </w:tabs>
      <w:spacing w:before="0" w:after="0"/>
      <w:ind w:hanging="0" w:start="57" w:end="57"/>
    </w:pPr>
    <w:rPr>
      <w:rFonts w:ascii="Pragmatica" w:hAnsi="Pragmatica" w:cs="Pragmatica"/>
      <w:lang w:val="en-US"/>
    </w:rPr>
  </w:style>
  <w:style w:type="paragraph" w:styleId="-003">
    <w:name w:val="Таб-003"/>
    <w:basedOn w:val="Style25"/>
    <w:next w:val="Style25"/>
    <w:qFormat/>
    <w:pPr>
      <w:keepNext w:val="true"/>
      <w:tabs>
        <w:tab w:val="clear" w:pos="720"/>
        <w:tab w:val="center" w:pos="964" w:leader="none"/>
        <w:tab w:val="center" w:pos="3061" w:leader="none"/>
        <w:tab w:val="center" w:pos="5159" w:leader="none"/>
        <w:tab w:val="center" w:pos="7540" w:leader="none"/>
      </w:tabs>
      <w:spacing w:before="0" w:after="0"/>
      <w:ind w:hanging="0" w:start="57" w:end="57"/>
    </w:pPr>
    <w:rPr>
      <w:rFonts w:ascii="Pragmatica" w:hAnsi="Pragmatica" w:cs="Pragmatica"/>
      <w:lang w:val="en-US"/>
    </w:rPr>
  </w:style>
  <w:style w:type="paragraph" w:styleId="019">
    <w:name w:val="Таб019"/>
    <w:basedOn w:val="Style25"/>
    <w:next w:val="Style25"/>
    <w:qFormat/>
    <w:pPr>
      <w:keepNext w:val="true"/>
      <w:tabs>
        <w:tab w:val="clear" w:pos="720"/>
        <w:tab w:val="right" w:pos="1077" w:leader="none"/>
        <w:tab w:val="right" w:pos="2551" w:leader="none"/>
        <w:tab w:val="right" w:pos="3600" w:leader="none"/>
        <w:tab w:val="right" w:pos="4564" w:leader="none"/>
        <w:tab w:val="right" w:pos="5868" w:leader="none"/>
        <w:tab w:val="right" w:pos="8022" w:leader="none"/>
      </w:tabs>
      <w:spacing w:before="0" w:after="0"/>
      <w:ind w:hanging="0" w:start="57" w:end="57"/>
    </w:pPr>
    <w:rPr>
      <w:rFonts w:ascii="Pragmatica" w:hAnsi="Pragmatica" w:cs="Pragmatica"/>
      <w:lang w:val="en-US"/>
    </w:rPr>
  </w:style>
  <w:style w:type="paragraph" w:styleId="01930">
    <w:name w:val="Таб019+30%"/>
    <w:basedOn w:val="019"/>
    <w:next w:val="019"/>
    <w:qFormat/>
    <w:pPr>
      <w:pBdr>
        <w:top w:val="single" w:sz="12" w:space="0" w:color="000000"/>
      </w:pBdr>
    </w:pPr>
    <w:rPr>
      <w:color w:val="000000"/>
    </w:rPr>
  </w:style>
  <w:style w:type="paragraph" w:styleId="01960">
    <w:name w:val="Таб019+60%"/>
    <w:basedOn w:val="019"/>
    <w:next w:val="019"/>
    <w:qFormat/>
    <w:pPr>
      <w:pBdr>
        <w:top w:val="single" w:sz="12" w:space="0" w:color="000000"/>
      </w:pBdr>
      <w:jc w:val="center"/>
    </w:pPr>
    <w:rPr>
      <w:color w:val="000000"/>
    </w:rPr>
  </w:style>
  <w:style w:type="paragraph" w:styleId="012">
    <w:name w:val="Таб012"/>
    <w:basedOn w:val="Style25"/>
    <w:next w:val="Style25"/>
    <w:qFormat/>
    <w:pPr>
      <w:keepNext w:val="true"/>
      <w:tabs>
        <w:tab w:val="clear" w:pos="720"/>
        <w:tab w:val="left" w:pos="113" w:leader="none"/>
        <w:tab w:val="right" w:pos="1729" w:leader="none"/>
        <w:tab w:val="decimal" w:pos="2324" w:leader="none"/>
        <w:tab w:val="decimal" w:pos="3543" w:leader="none"/>
        <w:tab w:val="decimal" w:pos="4337" w:leader="none"/>
        <w:tab w:val="decimal" w:pos="5046" w:leader="none"/>
        <w:tab w:val="decimal" w:pos="6094" w:leader="none"/>
        <w:tab w:val="decimal" w:pos="7398" w:leader="none"/>
        <w:tab w:val="center" w:pos="8334" w:leader="none"/>
      </w:tabs>
      <w:spacing w:before="0" w:after="0"/>
    </w:pPr>
    <w:rPr>
      <w:rFonts w:ascii="Pragmatica" w:hAnsi="Pragmatica" w:cs="Pragmatica"/>
      <w:lang w:val="en-US"/>
    </w:rPr>
  </w:style>
  <w:style w:type="paragraph" w:styleId="01260">
    <w:name w:val="Таб012+60%"/>
    <w:basedOn w:val="012"/>
    <w:next w:val="012"/>
    <w:qFormat/>
    <w:pPr>
      <w:pBdr>
        <w:top w:val="single" w:sz="12" w:space="0" w:color="000000"/>
      </w:pBdr>
    </w:pPr>
    <w:rPr>
      <w:color w:val="000000"/>
    </w:rPr>
  </w:style>
  <w:style w:type="paragraph" w:styleId="012x">
    <w:name w:val="Таб012x"/>
    <w:basedOn w:val="012"/>
    <w:next w:val="012"/>
    <w:qFormat/>
    <w:pPr>
      <w:tabs>
        <w:tab w:val="clear" w:pos="2324"/>
        <w:tab w:val="clear" w:pos="3543"/>
        <w:tab w:val="clear" w:pos="4337"/>
        <w:tab w:val="clear" w:pos="5046"/>
        <w:tab w:val="clear" w:pos="7398"/>
        <w:tab w:val="clear" w:pos="8334"/>
        <w:tab w:val="decimal" w:pos="2381" w:leader="none"/>
        <w:tab w:val="decimal" w:pos="3600" w:leader="none"/>
        <w:tab w:val="decimal" w:pos="4394" w:leader="none"/>
        <w:tab w:val="decimal" w:pos="5074" w:leader="none"/>
        <w:tab w:val="decimal" w:pos="7058" w:leader="none"/>
        <w:tab w:val="center" w:pos="8164" w:leader="none"/>
      </w:tabs>
    </w:pPr>
    <w:rPr>
      <w:color w:val="000000"/>
    </w:rPr>
  </w:style>
  <w:style w:type="paragraph" w:styleId="012601">
    <w:name w:val="Таб012х+60%"/>
    <w:basedOn w:val="012x"/>
    <w:next w:val="01260"/>
    <w:qFormat/>
    <w:pPr>
      <w:pBdr>
        <w:top w:val="single" w:sz="12" w:space="0" w:color="000000"/>
      </w:pBdr>
      <w:tabs>
        <w:tab w:val="decimal" w:pos="1729" w:leader="none"/>
      </w:tabs>
    </w:pPr>
    <w:rPr/>
  </w:style>
  <w:style w:type="paragraph" w:styleId="013">
    <w:name w:val="Таб013"/>
    <w:basedOn w:val="Style25"/>
    <w:next w:val="Style25"/>
    <w:qFormat/>
    <w:pPr>
      <w:keepNext w:val="true"/>
      <w:tabs>
        <w:tab w:val="clear" w:pos="720"/>
        <w:tab w:val="right" w:pos="2948" w:leader="none"/>
        <w:tab w:val="center" w:pos="4479" w:leader="none"/>
        <w:tab w:val="decimal" w:pos="6208" w:leader="none"/>
        <w:tab w:val="center" w:pos="7994" w:leader="none"/>
      </w:tabs>
      <w:spacing w:before="0" w:after="0"/>
      <w:ind w:hanging="0" w:start="454" w:end="57"/>
    </w:pPr>
    <w:rPr>
      <w:rFonts w:ascii="Pragmatica" w:hAnsi="Pragmatica" w:cs="Pragmatica"/>
      <w:lang w:val="en-US"/>
    </w:rPr>
  </w:style>
  <w:style w:type="paragraph" w:styleId="01330">
    <w:name w:val="Таб013+30%"/>
    <w:basedOn w:val="013"/>
    <w:next w:val="013"/>
    <w:qFormat/>
    <w:pPr>
      <w:pBdr>
        <w:top w:val="single" w:sz="12" w:space="0" w:color="000000"/>
      </w:pBdr>
    </w:pPr>
    <w:rPr>
      <w:color w:val="000000"/>
    </w:rPr>
  </w:style>
  <w:style w:type="paragraph" w:styleId="014">
    <w:name w:val="Таб014"/>
    <w:basedOn w:val="Style25"/>
    <w:next w:val="Style25"/>
    <w:qFormat/>
    <w:pPr>
      <w:keepNext w:val="true"/>
      <w:tabs>
        <w:tab w:val="clear" w:pos="720"/>
        <w:tab w:val="right" w:pos="709" w:leader="none"/>
        <w:tab w:val="right" w:pos="1786" w:leader="none"/>
        <w:tab w:val="right" w:pos="2750" w:leader="none"/>
        <w:tab w:val="right" w:pos="3402" w:leader="none"/>
        <w:tab w:val="right" w:pos="4224" w:leader="none"/>
        <w:tab w:val="right" w:pos="5216" w:leader="none"/>
        <w:tab w:val="right" w:pos="6321" w:leader="none"/>
        <w:tab w:val="right" w:pos="7597" w:leader="none"/>
        <w:tab w:val="right" w:pos="8646" w:leader="none"/>
      </w:tabs>
      <w:spacing w:before="0" w:after="0"/>
      <w:ind w:hanging="0" w:start="57" w:end="1"/>
    </w:pPr>
    <w:rPr>
      <w:rFonts w:ascii="Pragmatica" w:hAnsi="Pragmatica" w:cs="Pragmatica"/>
      <w:lang w:val="en-US"/>
    </w:rPr>
  </w:style>
  <w:style w:type="paragraph" w:styleId="01430">
    <w:name w:val="Таб014+30%"/>
    <w:basedOn w:val="014"/>
    <w:next w:val="014"/>
    <w:qFormat/>
    <w:pPr>
      <w:pBdr>
        <w:top w:val="single" w:sz="12" w:space="0" w:color="000000"/>
      </w:pBdr>
      <w:ind w:hanging="0" w:start="57" w:end="0"/>
    </w:pPr>
    <w:rPr>
      <w:color w:val="000000"/>
    </w:rPr>
  </w:style>
  <w:style w:type="paragraph" w:styleId="015">
    <w:name w:val="Таб015"/>
    <w:basedOn w:val="Style25"/>
    <w:next w:val="Style25"/>
    <w:qFormat/>
    <w:pPr>
      <w:keepNext w:val="true"/>
      <w:tabs>
        <w:tab w:val="clear" w:pos="720"/>
        <w:tab w:val="left" w:pos="1729" w:leader="none"/>
        <w:tab w:val="decimal" w:pos="4224" w:leader="none"/>
        <w:tab w:val="decimal" w:pos="5556" w:leader="none"/>
        <w:tab w:val="decimal" w:pos="6917" w:leader="none"/>
        <w:tab w:val="decimal" w:pos="8249" w:leader="none"/>
      </w:tabs>
      <w:spacing w:before="0" w:after="0"/>
      <w:ind w:hanging="0" w:start="113" w:end="57"/>
    </w:pPr>
    <w:rPr>
      <w:rFonts w:ascii="Pragmatica" w:hAnsi="Pragmatica" w:cs="Pragmatica"/>
      <w:lang w:val="en-US"/>
    </w:rPr>
  </w:style>
  <w:style w:type="paragraph" w:styleId="0151">
    <w:name w:val="Таб015+шапка"/>
    <w:basedOn w:val="015"/>
    <w:next w:val="015"/>
    <w:qFormat/>
    <w:pPr>
      <w:tabs>
        <w:tab w:val="clear" w:pos="4224"/>
        <w:tab w:val="clear" w:pos="5556"/>
        <w:tab w:val="clear" w:pos="6917"/>
        <w:tab w:val="clear" w:pos="8249"/>
        <w:tab w:val="center" w:pos="4252" w:leader="none"/>
        <w:tab w:val="center" w:pos="5669" w:leader="none"/>
        <w:tab w:val="center" w:pos="6973" w:leader="none"/>
        <w:tab w:val="center" w:pos="8220" w:leader="none"/>
      </w:tabs>
      <w:spacing w:before="0" w:after="113"/>
    </w:pPr>
    <w:rPr>
      <w:color w:val="000000"/>
    </w:rPr>
  </w:style>
  <w:style w:type="paragraph" w:styleId="01530">
    <w:name w:val="Таб015+30%"/>
    <w:basedOn w:val="015"/>
    <w:next w:val="015"/>
    <w:qFormat/>
    <w:pPr>
      <w:pBdr>
        <w:top w:val="single" w:sz="12" w:space="0" w:color="000000"/>
      </w:pBdr>
    </w:pPr>
    <w:rPr>
      <w:color w:val="000000"/>
    </w:rPr>
  </w:style>
  <w:style w:type="paragraph" w:styleId="016-">
    <w:name w:val="Таб016-шапка"/>
    <w:basedOn w:val="Style25"/>
    <w:next w:val="Style25"/>
    <w:qFormat/>
    <w:pPr>
      <w:keepNext w:val="true"/>
      <w:tabs>
        <w:tab w:val="clear" w:pos="720"/>
        <w:tab w:val="center" w:pos="4394" w:leader="none"/>
        <w:tab w:val="center" w:pos="5754" w:leader="none"/>
        <w:tab w:val="center" w:pos="7002" w:leader="none"/>
        <w:tab w:val="center" w:pos="8164" w:leader="none"/>
      </w:tabs>
      <w:spacing w:before="0" w:after="142"/>
      <w:ind w:hanging="0" w:start="57" w:end="57"/>
    </w:pPr>
    <w:rPr>
      <w:rFonts w:ascii="Pragmatica" w:hAnsi="Pragmatica" w:cs="Pragmatica"/>
      <w:color w:val="000000"/>
      <w:lang w:val="en-US"/>
    </w:rPr>
  </w:style>
  <w:style w:type="paragraph" w:styleId="016">
    <w:name w:val="Таб016"/>
    <w:basedOn w:val="Style25"/>
    <w:next w:val="Style25"/>
    <w:qFormat/>
    <w:pPr>
      <w:keepNext w:val="true"/>
      <w:tabs>
        <w:tab w:val="clear" w:pos="720"/>
        <w:tab w:val="left" w:pos="1389" w:leader="none"/>
        <w:tab w:val="decimal" w:pos="4535" w:leader="none"/>
        <w:tab w:val="decimal" w:pos="5811" w:leader="none"/>
        <w:tab w:val="decimal" w:pos="7087" w:leader="none"/>
        <w:tab w:val="decimal" w:pos="8362" w:leader="none"/>
      </w:tabs>
      <w:spacing w:before="0" w:after="0"/>
      <w:ind w:hanging="0" w:start="57" w:end="57"/>
    </w:pPr>
    <w:rPr>
      <w:rFonts w:ascii="Pragmatica" w:hAnsi="Pragmatica" w:cs="Pragmatica"/>
      <w:lang w:val="en-US"/>
    </w:rPr>
  </w:style>
  <w:style w:type="paragraph" w:styleId="01630">
    <w:name w:val="Таб016+30%"/>
    <w:basedOn w:val="016"/>
    <w:next w:val="016"/>
    <w:qFormat/>
    <w:pPr>
      <w:pBdr>
        <w:top w:val="single" w:sz="12" w:space="0" w:color="000000"/>
      </w:pBdr>
    </w:pPr>
    <w:rPr>
      <w:color w:val="000000"/>
    </w:rPr>
  </w:style>
  <w:style w:type="paragraph" w:styleId="01660">
    <w:name w:val="Таб016+60%"/>
    <w:basedOn w:val="016"/>
    <w:next w:val="016"/>
    <w:qFormat/>
    <w:pPr>
      <w:pBdr>
        <w:top w:val="single" w:sz="12" w:space="0" w:color="000000"/>
      </w:pBdr>
    </w:pPr>
    <w:rPr>
      <w:color w:val="000000"/>
    </w:rPr>
  </w:style>
  <w:style w:type="paragraph" w:styleId="027">
    <w:name w:val="Таб027"/>
    <w:basedOn w:val="Style25"/>
    <w:next w:val="Style25"/>
    <w:qFormat/>
    <w:pPr>
      <w:keepNext w:val="true"/>
      <w:tabs>
        <w:tab w:val="clear" w:pos="720"/>
        <w:tab w:val="decimal" w:pos="7030" w:leader="none"/>
      </w:tabs>
      <w:spacing w:before="0" w:after="0"/>
      <w:ind w:hanging="0" w:start="567" w:end="57"/>
    </w:pPr>
    <w:rPr>
      <w:rFonts w:ascii="Pragmatica" w:hAnsi="Pragmatica" w:cs="Pragmatica"/>
      <w:lang w:val="en-US"/>
    </w:rPr>
  </w:style>
  <w:style w:type="paragraph" w:styleId="02730">
    <w:name w:val="Таб027+30%"/>
    <w:basedOn w:val="027"/>
    <w:next w:val="027"/>
    <w:qFormat/>
    <w:pPr>
      <w:pBdr>
        <w:top w:val="single" w:sz="12" w:space="0" w:color="000000"/>
      </w:pBdr>
    </w:pPr>
    <w:rPr>
      <w:color w:val="000000"/>
    </w:rPr>
  </w:style>
  <w:style w:type="paragraph" w:styleId="023">
    <w:name w:val="Таб023"/>
    <w:basedOn w:val="Style25"/>
    <w:next w:val="Style25"/>
    <w:qFormat/>
    <w:pPr>
      <w:keepNext w:val="true"/>
      <w:tabs>
        <w:tab w:val="clear" w:pos="720"/>
        <w:tab w:val="right" w:pos="2721" w:leader="none"/>
        <w:tab w:val="right" w:pos="3458" w:leader="none"/>
        <w:tab w:val="right" w:pos="4082" w:leader="none"/>
        <w:tab w:val="decimal" w:pos="4734" w:leader="none"/>
        <w:tab w:val="decimal" w:pos="5726" w:leader="none"/>
        <w:tab w:val="decimal" w:pos="6746" w:leader="none"/>
        <w:tab w:val="right" w:pos="7852" w:leader="none"/>
        <w:tab w:val="right" w:pos="8674" w:leader="none"/>
      </w:tabs>
      <w:spacing w:before="0" w:after="0"/>
      <w:ind w:hanging="0" w:start="57" w:end="29"/>
    </w:pPr>
    <w:rPr>
      <w:rFonts w:ascii="Pragmatica" w:hAnsi="Pragmatica" w:cs="Pragmatica"/>
      <w:lang w:val="en-US"/>
    </w:rPr>
  </w:style>
  <w:style w:type="paragraph" w:styleId="0231">
    <w:name w:val="Таб023итог"/>
    <w:basedOn w:val="023"/>
    <w:next w:val="023"/>
    <w:qFormat/>
    <w:pPr>
      <w:tabs>
        <w:tab w:val="clear" w:pos="2721"/>
        <w:tab w:val="clear" w:pos="3458"/>
        <w:tab w:val="clear" w:pos="4082"/>
        <w:tab w:val="clear" w:pos="4734"/>
        <w:tab w:val="clear" w:pos="5726"/>
        <w:tab w:val="clear" w:pos="6746"/>
        <w:tab w:val="clear" w:pos="7852"/>
        <w:tab w:val="left" w:pos="1729" w:leader="none"/>
        <w:tab w:val="left" w:pos="4762" w:leader="none"/>
      </w:tabs>
    </w:pPr>
    <w:rPr>
      <w:color w:val="000000"/>
    </w:rPr>
  </w:style>
  <w:style w:type="paragraph" w:styleId="02330">
    <w:name w:val="Таб023+30%"/>
    <w:basedOn w:val="023"/>
    <w:next w:val="023"/>
    <w:qFormat/>
    <w:pPr>
      <w:pBdr>
        <w:top w:val="single" w:sz="12" w:space="0" w:color="000000"/>
      </w:pBdr>
      <w:ind w:hanging="0" w:start="57" w:end="28"/>
      <w:jc w:val="center"/>
    </w:pPr>
    <w:rPr>
      <w:color w:val="000000"/>
    </w:rPr>
  </w:style>
  <w:style w:type="paragraph" w:styleId="02360">
    <w:name w:val="Таб023+60%"/>
    <w:basedOn w:val="Style25"/>
    <w:next w:val="Style25"/>
    <w:qFormat/>
    <w:pPr>
      <w:keepNext w:val="true"/>
      <w:spacing w:before="0" w:after="0"/>
      <w:ind w:hanging="0" w:start="57" w:end="57"/>
      <w:jc w:val="center"/>
    </w:pPr>
    <w:rPr>
      <w:rFonts w:ascii="Pragmatica" w:hAnsi="Pragmatica" w:cs="Pragmatica"/>
      <w:b/>
      <w:color w:val="FF00FF"/>
      <w:lang w:val="en-US"/>
    </w:rPr>
  </w:style>
  <w:style w:type="paragraph" w:styleId="001">
    <w:name w:val="Таб001"/>
    <w:basedOn w:val="Style25"/>
    <w:qFormat/>
    <w:pPr>
      <w:keepNext w:val="true"/>
      <w:tabs>
        <w:tab w:val="clear" w:pos="720"/>
        <w:tab w:val="right" w:pos="340" w:leader="none"/>
        <w:tab w:val="left" w:pos="482" w:leader="none"/>
        <w:tab w:val="right" w:pos="5046" w:leader="none"/>
        <w:tab w:val="right" w:pos="6406" w:leader="none"/>
        <w:tab w:val="center" w:pos="6860" w:leader="none"/>
        <w:tab w:val="center" w:pos="7200" w:leader="none"/>
        <w:tab w:val="center" w:pos="7540" w:leader="none"/>
        <w:tab w:val="center" w:pos="7880" w:leader="none"/>
        <w:tab w:val="center" w:pos="8277" w:leader="none"/>
        <w:tab w:val="center" w:pos="8617" w:leader="none"/>
      </w:tabs>
      <w:spacing w:before="0" w:after="0"/>
      <w:ind w:hanging="0" w:start="85" w:end="1"/>
    </w:pPr>
    <w:rPr>
      <w:rFonts w:ascii="Pragmatica" w:hAnsi="Pragmatica" w:cs="Pragmatica"/>
      <w:lang w:val="en-US"/>
    </w:rPr>
  </w:style>
  <w:style w:type="paragraph" w:styleId="002">
    <w:name w:val="Таб002"/>
    <w:basedOn w:val="001"/>
    <w:next w:val="001"/>
    <w:qFormat/>
    <w:pPr>
      <w:tabs>
        <w:tab w:val="clear" w:pos="340"/>
        <w:tab w:val="clear" w:pos="482"/>
        <w:tab w:val="clear" w:pos="5046"/>
        <w:tab w:val="clear" w:pos="6406"/>
        <w:tab w:val="clear" w:pos="6860"/>
        <w:tab w:val="clear" w:pos="7200"/>
        <w:tab w:val="clear" w:pos="7540"/>
        <w:tab w:val="clear" w:pos="7880"/>
        <w:tab w:val="clear" w:pos="8277"/>
        <w:tab w:val="left" w:pos="567" w:leader="none"/>
        <w:tab w:val="center" w:pos="3175" w:leader="none"/>
        <w:tab w:val="right" w:pos="4592" w:leader="none"/>
        <w:tab w:val="left" w:pos="5187" w:leader="none"/>
        <w:tab w:val="left" w:pos="6491" w:leader="none"/>
      </w:tabs>
      <w:spacing w:before="142" w:after="0"/>
      <w:ind w:hanging="0" w:start="85" w:end="0"/>
    </w:pPr>
    <w:rPr/>
  </w:style>
  <w:style w:type="paragraph" w:styleId="00230">
    <w:name w:val="Таб002+30%"/>
    <w:basedOn w:val="002"/>
    <w:next w:val="002"/>
    <w:qFormat/>
    <w:pPr>
      <w:pBdr>
        <w:top w:val="single" w:sz="12" w:space="0" w:color="000000"/>
      </w:pBdr>
    </w:pPr>
    <w:rPr>
      <w:color w:val="000000"/>
    </w:rPr>
  </w:style>
  <w:style w:type="paragraph" w:styleId="00130">
    <w:name w:val="Таб001+30%"/>
    <w:basedOn w:val="Style25"/>
    <w:qFormat/>
    <w:pPr>
      <w:keepNext w:val="true"/>
      <w:pBdr>
        <w:top w:val="single" w:sz="12" w:space="0" w:color="000000"/>
      </w:pBdr>
      <w:tabs>
        <w:tab w:val="clear" w:pos="720"/>
        <w:tab w:val="right" w:pos="340" w:leader="none"/>
        <w:tab w:val="left" w:pos="482" w:leader="none"/>
        <w:tab w:val="right" w:pos="5046" w:leader="none"/>
        <w:tab w:val="right" w:pos="6406" w:leader="none"/>
        <w:tab w:val="center" w:pos="6860" w:leader="none"/>
        <w:tab w:val="center" w:pos="7200" w:leader="none"/>
        <w:tab w:val="center" w:pos="7540" w:leader="none"/>
        <w:tab w:val="center" w:pos="7880" w:leader="none"/>
        <w:tab w:val="center" w:pos="8277" w:leader="none"/>
        <w:tab w:val="center" w:pos="8617" w:leader="none"/>
      </w:tabs>
      <w:spacing w:before="0" w:after="0"/>
      <w:ind w:hanging="0" w:start="85" w:end="0"/>
    </w:pPr>
    <w:rPr>
      <w:rFonts w:ascii="Pragmatica" w:hAnsi="Pragmatica" w:cs="Pragmatica"/>
      <w:color w:val="000000"/>
      <w:lang w:val="en-US"/>
    </w:rPr>
  </w:style>
  <w:style w:type="paragraph" w:styleId="024">
    <w:name w:val="Таб024"/>
    <w:basedOn w:val="Style25"/>
    <w:next w:val="Style25"/>
    <w:qFormat/>
    <w:pPr>
      <w:keepNext w:val="true"/>
      <w:tabs>
        <w:tab w:val="clear" w:pos="720"/>
        <w:tab w:val="decimal" w:pos="4280" w:leader="none"/>
        <w:tab w:val="decimal" w:pos="5414" w:leader="none"/>
        <w:tab w:val="decimal" w:pos="6548" w:leader="none"/>
        <w:tab w:val="decimal" w:pos="7994" w:leader="none"/>
        <w:tab w:val="decimal" w:pos="8277" w:leader="none"/>
      </w:tabs>
      <w:spacing w:before="0" w:after="0"/>
      <w:ind w:hanging="0" w:start="170" w:end="57"/>
    </w:pPr>
    <w:rPr>
      <w:rFonts w:ascii="Pragmatica" w:hAnsi="Pragmatica" w:cs="Pragmatica"/>
      <w:lang w:val="en-US"/>
    </w:rPr>
  </w:style>
  <w:style w:type="paragraph" w:styleId="02430">
    <w:name w:val="Таб024+30%"/>
    <w:basedOn w:val="024"/>
    <w:next w:val="024"/>
    <w:qFormat/>
    <w:pPr>
      <w:pBdr>
        <w:top w:val="single" w:sz="12" w:space="0" w:color="000000"/>
      </w:pBdr>
    </w:pPr>
    <w:rPr>
      <w:color w:val="000000"/>
    </w:rPr>
  </w:style>
  <w:style w:type="paragraph" w:styleId="025">
    <w:name w:val="Таб025"/>
    <w:basedOn w:val="Style25"/>
    <w:next w:val="Style25"/>
    <w:qFormat/>
    <w:pPr>
      <w:keepNext w:val="true"/>
      <w:tabs>
        <w:tab w:val="clear" w:pos="720"/>
        <w:tab w:val="decimal" w:pos="4876" w:leader="none"/>
        <w:tab w:val="decimal" w:pos="6009" w:leader="none"/>
        <w:tab w:val="decimal" w:pos="7143" w:leader="none"/>
        <w:tab w:val="decimal" w:pos="8277" w:leader="none"/>
      </w:tabs>
      <w:spacing w:before="0" w:after="0"/>
      <w:ind w:hanging="0" w:start="113" w:end="57"/>
    </w:pPr>
    <w:rPr>
      <w:rFonts w:ascii="Pragmatica" w:hAnsi="Pragmatica" w:cs="Pragmatica"/>
      <w:i/>
      <w:lang w:val="en-US"/>
    </w:rPr>
  </w:style>
  <w:style w:type="paragraph" w:styleId="02530">
    <w:name w:val="Таб025+30%"/>
    <w:basedOn w:val="025"/>
    <w:next w:val="025"/>
    <w:qFormat/>
    <w:pPr>
      <w:pBdr>
        <w:top w:val="single" w:sz="12" w:space="0" w:color="000000"/>
      </w:pBdr>
    </w:pPr>
    <w:rPr>
      <w:color w:val="000000"/>
    </w:rPr>
  </w:style>
  <w:style w:type="paragraph" w:styleId="0061">
    <w:name w:val="Таб006+1кол"/>
    <w:basedOn w:val="006"/>
    <w:next w:val="006"/>
    <w:qFormat/>
    <w:pPr>
      <w:tabs>
        <w:tab w:val="clear" w:pos="794"/>
        <w:tab w:val="clear" w:pos="1956"/>
        <w:tab w:val="clear" w:pos="2976"/>
        <w:tab w:val="clear" w:pos="4082"/>
        <w:tab w:val="clear" w:pos="5131"/>
        <w:tab w:val="clear" w:pos="6293"/>
        <w:tab w:val="clear" w:pos="7398"/>
        <w:tab w:val="clear" w:pos="8192"/>
        <w:tab w:val="right" w:pos="595" w:leader="none"/>
        <w:tab w:val="right" w:pos="1814" w:leader="none"/>
        <w:tab w:val="right" w:pos="2693" w:leader="none"/>
        <w:tab w:val="right" w:pos="3543" w:leader="none"/>
        <w:tab w:val="right" w:pos="4479" w:leader="none"/>
        <w:tab w:val="right" w:pos="5386" w:leader="none"/>
        <w:tab w:val="right" w:pos="6520" w:leader="none"/>
        <w:tab w:val="decimal" w:pos="7370" w:leader="none"/>
        <w:tab w:val="decimal" w:pos="8334" w:leader="none"/>
      </w:tabs>
    </w:pPr>
    <w:rPr>
      <w:lang w:val="en-US"/>
    </w:rPr>
  </w:style>
  <w:style w:type="paragraph" w:styleId="006301">
    <w:name w:val="Таб006+30%+1кол"/>
    <w:basedOn w:val="0061"/>
    <w:next w:val="0061"/>
    <w:qFormat/>
    <w:pPr>
      <w:pBdr>
        <w:top w:val="single" w:sz="12" w:space="0" w:color="000000"/>
      </w:pBdr>
    </w:pPr>
    <w:rPr/>
  </w:style>
  <w:style w:type="paragraph" w:styleId="005-">
    <w:name w:val="Таб005-шапка"/>
    <w:basedOn w:val="Style25"/>
    <w:next w:val="Style25"/>
    <w:qFormat/>
    <w:pPr>
      <w:keepNext w:val="true"/>
      <w:tabs>
        <w:tab w:val="clear" w:pos="720"/>
        <w:tab w:val="center" w:pos="567" w:leader="none"/>
        <w:tab w:val="center" w:pos="1616" w:leader="none"/>
        <w:tab w:val="center" w:pos="2891" w:leader="none"/>
        <w:tab w:val="center" w:pos="4195" w:leader="none"/>
        <w:tab w:val="center" w:pos="5443" w:leader="none"/>
        <w:tab w:val="center" w:pos="6775" w:leader="none"/>
      </w:tabs>
      <w:spacing w:before="0" w:after="0"/>
      <w:ind w:hanging="0" w:start="57" w:end="57"/>
    </w:pPr>
    <w:rPr>
      <w:rFonts w:ascii="Pragmatica" w:hAnsi="Pragmatica" w:cs="Pragmatica"/>
      <w:sz w:val="20"/>
      <w:lang w:val="en-US"/>
    </w:rPr>
  </w:style>
  <w:style w:type="paragraph" w:styleId="01460">
    <w:name w:val="Таб014+60%"/>
    <w:basedOn w:val="01430"/>
    <w:next w:val="01430"/>
    <w:qFormat/>
    <w:pPr>
      <w:pBdr>
        <w:top w:val="single" w:sz="12" w:space="0" w:color="000000"/>
      </w:pBdr>
    </w:pPr>
    <w:rPr>
      <w:sz w:val="20"/>
    </w:rPr>
  </w:style>
  <w:style w:type="paragraph" w:styleId="006-730">
    <w:name w:val="Таб006-7дней+30%"/>
    <w:basedOn w:val="00630"/>
    <w:next w:val="00630"/>
    <w:qFormat/>
    <w:pPr>
      <w:tabs>
        <w:tab w:val="clear" w:pos="794"/>
        <w:tab w:val="clear" w:pos="1956"/>
        <w:tab w:val="clear" w:pos="2976"/>
        <w:tab w:val="clear" w:pos="4082"/>
        <w:tab w:val="clear" w:pos="5131"/>
        <w:tab w:val="clear" w:pos="6293"/>
        <w:tab w:val="right" w:pos="595" w:leader="none"/>
        <w:tab w:val="right" w:pos="1757" w:leader="none"/>
        <w:tab w:val="right" w:pos="2523" w:leader="none"/>
        <w:tab w:val="right" w:pos="3288" w:leader="none"/>
        <w:tab w:val="right" w:pos="4054" w:leader="none"/>
        <w:tab w:val="right" w:pos="4791" w:leader="none"/>
        <w:tab w:val="right" w:pos="5556" w:leader="none"/>
        <w:tab w:val="right" w:pos="6321" w:leader="none"/>
      </w:tabs>
    </w:pPr>
    <w:rPr>
      <w:lang w:val="en-US"/>
    </w:rPr>
  </w:style>
  <w:style w:type="paragraph" w:styleId="006-7">
    <w:name w:val="Таб006-7дней"/>
    <w:basedOn w:val="006"/>
    <w:next w:val="006"/>
    <w:qFormat/>
    <w:pPr>
      <w:tabs>
        <w:tab w:val="clear" w:pos="794"/>
        <w:tab w:val="clear" w:pos="1956"/>
        <w:tab w:val="clear" w:pos="2976"/>
        <w:tab w:val="clear" w:pos="4082"/>
        <w:tab w:val="clear" w:pos="5131"/>
        <w:tab w:val="clear" w:pos="6293"/>
        <w:tab w:val="right" w:pos="595" w:leader="none"/>
        <w:tab w:val="right" w:pos="1757" w:leader="none"/>
        <w:tab w:val="right" w:pos="2523" w:leader="none"/>
        <w:tab w:val="right" w:pos="3288" w:leader="none"/>
        <w:tab w:val="right" w:pos="4054" w:leader="none"/>
        <w:tab w:val="right" w:pos="4791" w:leader="none"/>
        <w:tab w:val="right" w:pos="5556" w:leader="none"/>
        <w:tab w:val="right" w:pos="6321" w:leader="none"/>
      </w:tabs>
    </w:pPr>
    <w:rPr>
      <w:lang w:val="en-US"/>
    </w:rPr>
  </w:style>
  <w:style w:type="paragraph" w:styleId="-1">
    <w:name w:val="Таб-ин.акт"/>
    <w:basedOn w:val="Style25"/>
    <w:next w:val="Style25"/>
    <w:qFormat/>
    <w:pPr>
      <w:keepNext w:val="true"/>
      <w:tabs>
        <w:tab w:val="clear" w:pos="720"/>
        <w:tab w:val="left" w:pos="850" w:leader="none"/>
        <w:tab w:val="decimal" w:pos="4819" w:leader="none"/>
        <w:tab w:val="decimal" w:pos="5953" w:leader="none"/>
        <w:tab w:val="decimal" w:pos="7087" w:leader="none"/>
        <w:tab w:val="decimal" w:pos="8220" w:leader="none"/>
      </w:tabs>
      <w:spacing w:before="0" w:after="0"/>
      <w:ind w:hanging="0" w:start="57" w:end="57"/>
    </w:pPr>
    <w:rPr>
      <w:rFonts w:ascii="Pragmatica" w:hAnsi="Pragmatica" w:cs="Pragmatica"/>
      <w:lang w:val="en-US"/>
    </w:rPr>
  </w:style>
  <w:style w:type="paragraph" w:styleId="-2">
    <w:name w:val="Таб-акт."/>
    <w:basedOn w:val="Style25"/>
    <w:next w:val="Style25"/>
    <w:qFormat/>
    <w:pPr>
      <w:keepNext w:val="true"/>
      <w:tabs>
        <w:tab w:val="clear" w:pos="720"/>
        <w:tab w:val="decimal" w:pos="2324" w:leader="none"/>
        <w:tab w:val="decimal" w:pos="2891" w:leader="none"/>
        <w:tab w:val="decimal" w:pos="3515" w:leader="none"/>
        <w:tab w:val="decimal" w:pos="4025" w:leader="none"/>
        <w:tab w:val="decimal" w:pos="4649" w:leader="none"/>
        <w:tab w:val="decimal" w:pos="5159" w:leader="none"/>
        <w:tab w:val="decimal" w:pos="5726" w:leader="none"/>
        <w:tab w:val="decimal" w:pos="6293" w:leader="none"/>
        <w:tab w:val="decimal" w:pos="6917" w:leader="none"/>
        <w:tab w:val="decimal" w:pos="7427" w:leader="none"/>
        <w:tab w:val="decimal" w:pos="7994" w:leader="none"/>
        <w:tab w:val="decimal" w:pos="8561" w:leader="none"/>
      </w:tabs>
      <w:spacing w:before="113" w:after="0"/>
      <w:ind w:hanging="0" w:start="57" w:end="57"/>
    </w:pPr>
    <w:rPr>
      <w:rFonts w:ascii="Pragmatica" w:hAnsi="Pragmatica" w:cs="Pragmatica"/>
      <w:lang w:val="en-US"/>
    </w:rPr>
  </w:style>
  <w:style w:type="paragraph" w:styleId="--2">
    <w:name w:val="Таб-акт-шапка2"/>
    <w:basedOn w:val="Style25"/>
    <w:next w:val="Style25"/>
    <w:qFormat/>
    <w:pPr>
      <w:keepNext w:val="true"/>
      <w:tabs>
        <w:tab w:val="clear" w:pos="720"/>
        <w:tab w:val="center" w:pos="2268" w:leader="none"/>
        <w:tab w:val="center" w:pos="2835" w:leader="none"/>
        <w:tab w:val="center" w:pos="3402" w:leader="none"/>
        <w:tab w:val="center" w:pos="3969" w:leader="none"/>
        <w:tab w:val="center" w:pos="4535" w:leader="none"/>
        <w:tab w:val="center" w:pos="5102" w:leader="none"/>
        <w:tab w:val="center" w:pos="5669" w:leader="none"/>
        <w:tab w:val="center" w:pos="6236" w:leader="none"/>
        <w:tab w:val="center" w:pos="6803" w:leader="none"/>
        <w:tab w:val="center" w:pos="7370" w:leader="none"/>
        <w:tab w:val="center" w:pos="7937" w:leader="none"/>
        <w:tab w:val="center" w:pos="8504" w:leader="none"/>
      </w:tabs>
      <w:spacing w:before="0" w:after="0"/>
      <w:ind w:hanging="0" w:start="57" w:end="57"/>
    </w:pPr>
    <w:rPr>
      <w:rFonts w:ascii="Pragmatica" w:hAnsi="Pragmatica" w:cs="Pragmatica"/>
      <w:lang w:val="en-US"/>
    </w:rPr>
  </w:style>
  <w:style w:type="paragraph" w:styleId="--1">
    <w:name w:val="Таб-акт-шапка1"/>
    <w:basedOn w:val="Style25"/>
    <w:next w:val="Style25"/>
    <w:qFormat/>
    <w:pPr>
      <w:keepNext w:val="true"/>
      <w:tabs>
        <w:tab w:val="clear" w:pos="720"/>
        <w:tab w:val="center" w:pos="2551" w:leader="none"/>
        <w:tab w:val="center" w:pos="3685" w:leader="none"/>
        <w:tab w:val="center" w:pos="4791" w:leader="none"/>
        <w:tab w:val="center" w:pos="5924" w:leader="none"/>
        <w:tab w:val="center" w:pos="7058" w:leader="none"/>
        <w:tab w:val="center" w:pos="8220" w:leader="none"/>
      </w:tabs>
      <w:spacing w:before="0" w:after="57"/>
      <w:ind w:hanging="0" w:start="57" w:end="57"/>
    </w:pPr>
    <w:rPr>
      <w:rFonts w:ascii="Pragmatica" w:hAnsi="Pragmatica" w:cs="Pragmatica"/>
      <w:lang w:val="en-US"/>
    </w:rPr>
  </w:style>
  <w:style w:type="paragraph" w:styleId="21">
    <w:name w:val="Таблица верт ш2"/>
    <w:basedOn w:val="Style25"/>
    <w:next w:val="Style25"/>
    <w:qFormat/>
    <w:pPr>
      <w:keepNext w:val="true"/>
      <w:tabs>
        <w:tab w:val="clear" w:pos="720"/>
        <w:tab w:val="left" w:pos="283" w:leader="none"/>
        <w:tab w:val="left" w:pos="567" w:leader="none"/>
        <w:tab w:val="left" w:pos="850" w:leader="none"/>
        <w:tab w:val="left" w:pos="1134" w:leader="none"/>
        <w:tab w:val="left" w:pos="1417" w:leader="none"/>
        <w:tab w:val="left" w:pos="1701" w:leader="none"/>
        <w:tab w:val="left" w:pos="1984" w:leader="none"/>
        <w:tab w:val="center" w:pos="5953" w:leader="none"/>
        <w:tab w:val="center" w:pos="7087" w:leader="none"/>
        <w:tab w:val="center" w:pos="8220" w:leader="none"/>
      </w:tabs>
      <w:spacing w:before="0" w:after="85"/>
      <w:ind w:hanging="0" w:start="57" w:end="57"/>
    </w:pPr>
    <w:rPr>
      <w:rFonts w:ascii="Pragmatica" w:hAnsi="Pragmatica" w:cs="Pragmatica"/>
      <w:lang w:val="en-US"/>
    </w:rPr>
  </w:style>
  <w:style w:type="paragraph" w:styleId="Style40">
    <w:name w:val="Таблица верт."/>
    <w:basedOn w:val="Style25"/>
    <w:next w:val="Style25"/>
    <w:qFormat/>
    <w:pPr>
      <w:keepNext w:val="true"/>
      <w:tabs>
        <w:tab w:val="clear" w:pos="720"/>
        <w:tab w:val="left" w:pos="283" w:leader="none"/>
        <w:tab w:val="left" w:pos="567" w:leader="none"/>
        <w:tab w:val="left" w:pos="850" w:leader="none"/>
        <w:tab w:val="left" w:pos="1134" w:leader="none"/>
        <w:tab w:val="left" w:pos="1417" w:leader="none"/>
        <w:tab w:val="left" w:pos="1701" w:leader="none"/>
        <w:tab w:val="left" w:pos="1984" w:leader="none"/>
        <w:tab w:val="left" w:pos="2268" w:leader="none"/>
        <w:tab w:val="decimal" w:pos="6236" w:leader="none"/>
        <w:tab w:val="decimal" w:pos="7370" w:leader="none"/>
        <w:tab w:val="decimal" w:pos="8447" w:leader="none"/>
      </w:tabs>
      <w:spacing w:before="0" w:after="0"/>
      <w:ind w:hanging="0" w:start="57" w:end="57"/>
    </w:pPr>
    <w:rPr>
      <w:rFonts w:ascii="Pragmatica" w:hAnsi="Pragmatica" w:cs="Pragmatica"/>
      <w:lang w:val="en-US"/>
    </w:rPr>
  </w:style>
  <w:style w:type="paragraph" w:styleId="1">
    <w:name w:val="Таблица верт ш1"/>
    <w:basedOn w:val="Style40"/>
    <w:next w:val="Style40"/>
    <w:qFormat/>
    <w:pPr>
      <w:tabs>
        <w:tab w:val="clear" w:pos="2268"/>
        <w:tab w:val="clear" w:pos="6236"/>
        <w:tab w:val="clear" w:pos="7370"/>
        <w:tab w:val="center" w:pos="7058" w:leader="none"/>
      </w:tabs>
      <w:spacing w:before="0" w:after="57"/>
    </w:pPr>
    <w:rPr/>
  </w:style>
  <w:style w:type="paragraph" w:styleId="006302">
    <w:name w:val="Таб006+30%+2 кол."/>
    <w:basedOn w:val="00630"/>
    <w:next w:val="00630"/>
    <w:qFormat/>
    <w:pPr>
      <w:tabs>
        <w:tab w:val="clear" w:pos="794"/>
        <w:tab w:val="clear" w:pos="1956"/>
        <w:tab w:val="clear" w:pos="2976"/>
        <w:tab w:val="clear" w:pos="4082"/>
        <w:tab w:val="clear" w:pos="5131"/>
        <w:tab w:val="clear" w:pos="6293"/>
        <w:tab w:val="right" w:pos="595" w:leader="none"/>
        <w:tab w:val="right" w:pos="1757" w:leader="none"/>
        <w:tab w:val="right" w:pos="2494" w:leader="none"/>
        <w:tab w:val="right" w:pos="3288" w:leader="none"/>
        <w:tab w:val="right" w:pos="4025" w:leader="none"/>
        <w:tab w:val="right" w:pos="4791" w:leader="none"/>
        <w:tab w:val="right" w:pos="5528" w:leader="none"/>
        <w:tab w:val="right" w:pos="6321" w:leader="none"/>
      </w:tabs>
    </w:pPr>
    <w:rPr>
      <w:lang w:val="en-US"/>
    </w:rPr>
  </w:style>
  <w:style w:type="paragraph" w:styleId="0062">
    <w:name w:val="Таб006+2 кол."/>
    <w:basedOn w:val="006"/>
    <w:next w:val="006"/>
    <w:qFormat/>
    <w:pPr>
      <w:tabs>
        <w:tab w:val="clear" w:pos="794"/>
        <w:tab w:val="clear" w:pos="1956"/>
        <w:tab w:val="clear" w:pos="2976"/>
        <w:tab w:val="clear" w:pos="4082"/>
        <w:tab w:val="clear" w:pos="5131"/>
        <w:tab w:val="clear" w:pos="6293"/>
        <w:tab w:val="right" w:pos="595" w:leader="none"/>
        <w:tab w:val="right" w:pos="1757" w:leader="none"/>
        <w:tab w:val="right" w:pos="2494" w:leader="none"/>
        <w:tab w:val="right" w:pos="3288" w:leader="none"/>
        <w:tab w:val="right" w:pos="4025" w:leader="none"/>
        <w:tab w:val="right" w:pos="4791" w:leader="none"/>
        <w:tab w:val="right" w:pos="5528" w:leader="none"/>
        <w:tab w:val="right" w:pos="6321" w:leader="none"/>
      </w:tabs>
    </w:pPr>
    <w:rPr>
      <w:lang w:val="en-US"/>
    </w:rPr>
  </w:style>
  <w:style w:type="paragraph" w:styleId="-1-">
    <w:name w:val="Табл-прил.1-черта"/>
    <w:basedOn w:val="Style25"/>
    <w:next w:val="Style25"/>
    <w:qFormat/>
    <w:pPr>
      <w:keepNext w:val="true"/>
      <w:pBdr>
        <w:top w:val="single" w:sz="2" w:space="0" w:color="000000"/>
      </w:pBdr>
      <w:tabs>
        <w:tab w:val="clear" w:pos="720"/>
        <w:tab w:val="center" w:pos="4649" w:leader="none"/>
        <w:tab w:val="center" w:pos="5669" w:leader="none"/>
        <w:tab w:val="center" w:pos="6690" w:leader="none"/>
      </w:tabs>
      <w:spacing w:before="113" w:after="0"/>
      <w:ind w:hanging="0" w:start="850" w:end="57"/>
    </w:pPr>
    <w:rPr>
      <w:rFonts w:ascii="Pragmatica" w:hAnsi="Pragmatica" w:cs="Pragmatica"/>
      <w:lang w:val="en-US"/>
    </w:rPr>
  </w:style>
  <w:style w:type="paragraph" w:styleId="-11">
    <w:name w:val="Табл-прил.1"/>
    <w:basedOn w:val="Style25"/>
    <w:next w:val="Style25"/>
    <w:qFormat/>
    <w:pPr>
      <w:keepNext w:val="true"/>
      <w:tabs>
        <w:tab w:val="clear" w:pos="720"/>
        <w:tab w:val="center" w:pos="4649" w:leader="none"/>
        <w:tab w:val="center" w:pos="5669" w:leader="none"/>
        <w:tab w:val="center" w:pos="6690" w:leader="none"/>
      </w:tabs>
      <w:spacing w:before="113" w:after="0"/>
      <w:ind w:hanging="0" w:start="57" w:end="57"/>
    </w:pPr>
    <w:rPr>
      <w:rFonts w:ascii="Pragmatica" w:hAnsi="Pragmatica" w:cs="Pragmatica"/>
      <w:lang w:val="en-US"/>
    </w:rPr>
  </w:style>
  <w:style w:type="paragraph" w:styleId="Style41">
    <w:name w:val="Таблица+ПРЕЙСКУРАНТ"/>
    <w:basedOn w:val="Style25"/>
    <w:next w:val="Style25"/>
    <w:qFormat/>
    <w:pPr>
      <w:keepNext w:val="true"/>
      <w:tabs>
        <w:tab w:val="clear" w:pos="720"/>
        <w:tab w:val="left" w:pos="2608" w:leader="none"/>
        <w:tab w:val="left" w:pos="4876" w:leader="none"/>
        <w:tab w:val="center" w:pos="7795" w:leader="none"/>
      </w:tabs>
      <w:spacing w:before="0" w:after="0"/>
      <w:ind w:hanging="0" w:start="57" w:end="28"/>
    </w:pPr>
    <w:rPr>
      <w:rFonts w:ascii="Pragmatica" w:hAnsi="Pragmatica" w:cs="Pragmatica"/>
      <w:lang w:val="en-US"/>
    </w:rPr>
  </w:style>
  <w:style w:type="paragraph" w:styleId="029">
    <w:name w:val="Таб029"/>
    <w:basedOn w:val="Style25"/>
    <w:next w:val="Style25"/>
    <w:qFormat/>
    <w:pPr>
      <w:keepNext w:val="true"/>
      <w:tabs>
        <w:tab w:val="clear" w:pos="720"/>
        <w:tab w:val="center" w:pos="283" w:leader="none"/>
        <w:tab w:val="left" w:pos="680" w:leader="none"/>
        <w:tab w:val="decimal" w:pos="4309" w:leader="none"/>
        <w:tab w:val="right" w:pos="5272" w:leader="none"/>
        <w:tab w:val="right" w:pos="6123" w:leader="none"/>
        <w:tab w:val="left" w:pos="6350" w:leader="none"/>
      </w:tabs>
      <w:spacing w:before="0" w:after="0"/>
      <w:ind w:hanging="0" w:start="57" w:end="28"/>
    </w:pPr>
    <w:rPr>
      <w:rFonts w:ascii="Pragmatica" w:hAnsi="Pragmatica" w:cs="Pragmatica"/>
      <w:lang w:val="en-US"/>
    </w:rPr>
  </w:style>
  <w:style w:type="paragraph" w:styleId="--3">
    <w:name w:val="Таблица-воп-отв"/>
    <w:basedOn w:val="Style25"/>
    <w:qFormat/>
    <w:pPr>
      <w:keepNext w:val="true"/>
      <w:tabs>
        <w:tab w:val="clear" w:pos="720"/>
        <w:tab w:val="left" w:pos="567" w:leader="none"/>
      </w:tabs>
      <w:spacing w:before="113" w:after="0"/>
      <w:ind w:hanging="0" w:start="85" w:end="85"/>
      <w:jc w:val="both"/>
    </w:pPr>
    <w:rPr>
      <w:sz w:val="16"/>
      <w:lang w:val="en-US"/>
    </w:rPr>
  </w:style>
  <w:style w:type="paragraph" w:styleId="02630-2">
    <w:name w:val="Таб026+30%-2стр"/>
    <w:basedOn w:val="02630"/>
    <w:next w:val="02630"/>
    <w:qFormat/>
    <w:pPr>
      <w:tabs>
        <w:tab w:val="clear" w:pos="765"/>
        <w:tab w:val="clear" w:pos="1417"/>
        <w:tab w:val="clear" w:pos="1559"/>
        <w:tab w:val="left" w:pos="850" w:leader="none"/>
        <w:tab w:val="left" w:pos="1134" w:leader="none"/>
        <w:tab w:val="left" w:pos="1304" w:leader="none"/>
        <w:tab w:val="left" w:pos="1474" w:leader="none"/>
      </w:tabs>
    </w:pPr>
    <w:rPr>
      <w:color w:val="000000"/>
    </w:rPr>
  </w:style>
  <w:style w:type="paragraph" w:styleId="02630-3">
    <w:name w:val="Таб026+30%-3стр"/>
    <w:basedOn w:val="02630-2"/>
    <w:next w:val="02630-2"/>
    <w:qFormat/>
    <w:pPr/>
    <w:rPr/>
  </w:style>
  <w:style w:type="paragraph" w:styleId="030">
    <w:name w:val="Таб030"/>
    <w:basedOn w:val="Style25"/>
    <w:next w:val="Style25"/>
    <w:qFormat/>
    <w:pPr>
      <w:keepNext w:val="true"/>
      <w:tabs>
        <w:tab w:val="clear" w:pos="720"/>
        <w:tab w:val="left" w:pos="510" w:leader="none"/>
        <w:tab w:val="left" w:pos="907" w:leader="none"/>
        <w:tab w:val="decimal" w:pos="7257" w:leader="none"/>
        <w:tab w:val="decimal" w:pos="8391" w:leader="none"/>
      </w:tabs>
      <w:spacing w:before="0" w:after="0"/>
      <w:ind w:hanging="397" w:start="510" w:end="57"/>
    </w:pPr>
    <w:rPr>
      <w:rFonts w:ascii="Pragmatica" w:hAnsi="Pragmatica" w:cs="Pragmatica"/>
      <w:lang w:val="en-US"/>
    </w:rPr>
  </w:style>
  <w:style w:type="paragraph" w:styleId="03030">
    <w:name w:val="Таб030+30%"/>
    <w:basedOn w:val="030"/>
    <w:next w:val="030"/>
    <w:qFormat/>
    <w:pPr>
      <w:pBdr>
        <w:top w:val="single" w:sz="12" w:space="0" w:color="000000"/>
      </w:pBdr>
    </w:pPr>
    <w:rPr>
      <w:color w:val="000000"/>
    </w:rPr>
  </w:style>
  <w:style w:type="paragraph" w:styleId="03060">
    <w:name w:val="Таб030+60%"/>
    <w:basedOn w:val="030"/>
    <w:next w:val="030"/>
    <w:qFormat/>
    <w:pPr>
      <w:pBdr>
        <w:top w:val="single" w:sz="12" w:space="0" w:color="000000"/>
      </w:pBdr>
      <w:ind w:hanging="0" w:start="113" w:end="57"/>
    </w:pPr>
    <w:rPr>
      <w:b/>
      <w:color w:val="000000"/>
    </w:rPr>
  </w:style>
  <w:style w:type="paragraph" w:styleId="006304">
    <w:name w:val="Таб006+30%+4дн"/>
    <w:basedOn w:val="00630"/>
    <w:next w:val="00630"/>
    <w:qFormat/>
    <w:pPr>
      <w:tabs>
        <w:tab w:val="clear" w:pos="1956"/>
        <w:tab w:val="clear" w:pos="2976"/>
        <w:tab w:val="clear" w:pos="4082"/>
        <w:tab w:val="clear" w:pos="5131"/>
        <w:tab w:val="clear" w:pos="6293"/>
        <w:tab w:val="right" w:pos="2041" w:leader="none"/>
        <w:tab w:val="right" w:pos="3430" w:leader="none"/>
        <w:tab w:val="right" w:pos="4706" w:leader="none"/>
        <w:tab w:val="right" w:pos="6066" w:leader="none"/>
      </w:tabs>
    </w:pPr>
    <w:rPr/>
  </w:style>
  <w:style w:type="paragraph" w:styleId="0064">
    <w:name w:val="Таб006+4дн"/>
    <w:basedOn w:val="006"/>
    <w:next w:val="006"/>
    <w:qFormat/>
    <w:pPr>
      <w:tabs>
        <w:tab w:val="clear" w:pos="1956"/>
        <w:tab w:val="clear" w:pos="2976"/>
        <w:tab w:val="clear" w:pos="4082"/>
        <w:tab w:val="clear" w:pos="5131"/>
        <w:tab w:val="clear" w:pos="6293"/>
        <w:tab w:val="right" w:pos="2041" w:leader="none"/>
        <w:tab w:val="right" w:pos="3430" w:leader="none"/>
        <w:tab w:val="right" w:pos="4706" w:leader="none"/>
        <w:tab w:val="right" w:pos="6066" w:leader="none"/>
      </w:tabs>
    </w:pPr>
    <w:rPr/>
  </w:style>
  <w:style w:type="paragraph" w:styleId="0063014">
    <w:name w:val="Таб006+30%+1кол+4дн"/>
    <w:basedOn w:val="006301"/>
    <w:next w:val="006301"/>
    <w:qFormat/>
    <w:pPr>
      <w:tabs>
        <w:tab w:val="clear" w:pos="595"/>
        <w:tab w:val="clear" w:pos="1814"/>
        <w:tab w:val="clear" w:pos="2693"/>
        <w:tab w:val="clear" w:pos="3543"/>
        <w:tab w:val="clear" w:pos="4479"/>
        <w:tab w:val="clear" w:pos="5386"/>
        <w:tab w:val="clear" w:pos="6520"/>
        <w:tab w:val="right" w:pos="794" w:leader="none"/>
        <w:tab w:val="right" w:pos="1928" w:leader="none"/>
        <w:tab w:val="right" w:pos="3033" w:leader="none"/>
        <w:tab w:val="right" w:pos="4224" w:leader="none"/>
        <w:tab w:val="right" w:pos="5329" w:leader="none"/>
        <w:tab w:val="right" w:pos="6491" w:leader="none"/>
      </w:tabs>
    </w:pPr>
    <w:rPr>
      <w:lang w:val="ru-RU"/>
    </w:rPr>
  </w:style>
  <w:style w:type="paragraph" w:styleId="00614">
    <w:name w:val="Таб006+1кол+4дн"/>
    <w:basedOn w:val="0061"/>
    <w:next w:val="0061"/>
    <w:qFormat/>
    <w:pPr>
      <w:tabs>
        <w:tab w:val="clear" w:pos="595"/>
        <w:tab w:val="clear" w:pos="1814"/>
        <w:tab w:val="clear" w:pos="2693"/>
        <w:tab w:val="clear" w:pos="3543"/>
        <w:tab w:val="clear" w:pos="4479"/>
        <w:tab w:val="clear" w:pos="5386"/>
        <w:tab w:val="clear" w:pos="6520"/>
        <w:tab w:val="right" w:pos="794" w:leader="none"/>
        <w:tab w:val="right" w:pos="1928" w:leader="none"/>
        <w:tab w:val="right" w:pos="3033" w:leader="none"/>
        <w:tab w:val="right" w:pos="4224" w:leader="none"/>
        <w:tab w:val="right" w:pos="5329" w:leader="none"/>
        <w:tab w:val="right" w:pos="6491" w:leader="none"/>
      </w:tabs>
    </w:pPr>
    <w:rPr>
      <w:lang w:val="ru-RU"/>
    </w:rPr>
  </w:style>
  <w:style w:type="paragraph" w:styleId="0301">
    <w:name w:val="Таб030+загол"/>
    <w:basedOn w:val="Style25"/>
    <w:next w:val="Style25"/>
    <w:qFormat/>
    <w:pPr>
      <w:keepNext w:val="true"/>
      <w:tabs>
        <w:tab w:val="clear" w:pos="720"/>
        <w:tab w:val="center" w:pos="3402" w:leader="none"/>
        <w:tab w:val="center" w:pos="7228" w:leader="none"/>
        <w:tab w:val="center" w:pos="8220" w:leader="none"/>
      </w:tabs>
      <w:spacing w:before="0" w:after="0"/>
      <w:ind w:hanging="0" w:start="57" w:end="57"/>
    </w:pPr>
    <w:rPr>
      <w:rFonts w:ascii="Pragmatica" w:hAnsi="Pragmatica" w:cs="Pragmatica"/>
      <w:color w:val="000000"/>
    </w:rPr>
  </w:style>
  <w:style w:type="paragraph" w:styleId="015303">
    <w:name w:val="Таб015+30%+3стр"/>
    <w:basedOn w:val="01530"/>
    <w:next w:val="01530"/>
    <w:qFormat/>
    <w:pPr>
      <w:tabs>
        <w:tab w:val="clear" w:pos="1729"/>
        <w:tab w:val="left" w:pos="1587" w:leader="none"/>
      </w:tabs>
    </w:pPr>
    <w:rPr>
      <w:lang w:val="ru-RU"/>
    </w:rPr>
  </w:style>
  <w:style w:type="paragraph" w:styleId="015302">
    <w:name w:val="Таб015+30%+2стр"/>
    <w:basedOn w:val="01530"/>
    <w:next w:val="01530"/>
    <w:qFormat/>
    <w:pPr>
      <w:tabs>
        <w:tab w:val="clear" w:pos="1729"/>
        <w:tab w:val="left" w:pos="1587" w:leader="none"/>
      </w:tabs>
    </w:pPr>
    <w:rPr>
      <w:lang w:val="ru-RU"/>
    </w:rPr>
  </w:style>
  <w:style w:type="paragraph" w:styleId="034">
    <w:name w:val="Таб034"/>
    <w:basedOn w:val="Style25"/>
    <w:next w:val="Style25"/>
    <w:qFormat/>
    <w:pPr>
      <w:keepNext w:val="true"/>
      <w:tabs>
        <w:tab w:val="clear" w:pos="720"/>
        <w:tab w:val="decimal" w:pos="3572" w:leader="none"/>
        <w:tab w:val="decimal" w:pos="4706" w:leader="none"/>
        <w:tab w:val="decimal" w:pos="5839" w:leader="none"/>
        <w:tab w:val="decimal" w:pos="6973" w:leader="none"/>
        <w:tab w:val="decimal" w:pos="8107" w:leader="none"/>
      </w:tabs>
      <w:spacing w:before="0" w:after="0"/>
      <w:ind w:hanging="0" w:start="57" w:end="57"/>
    </w:pPr>
    <w:rPr>
      <w:rFonts w:ascii="Pragmatica" w:hAnsi="Pragmatica" w:cs="Pragmatica"/>
      <w:color w:val="000000"/>
    </w:rPr>
  </w:style>
  <w:style w:type="paragraph" w:styleId="03430">
    <w:name w:val="Таб034+30%"/>
    <w:basedOn w:val="034"/>
    <w:next w:val="034"/>
    <w:qFormat/>
    <w:pPr>
      <w:pBdr>
        <w:top w:val="single" w:sz="12" w:space="0" w:color="000000"/>
      </w:pBdr>
    </w:pPr>
    <w:rPr/>
  </w:style>
  <w:style w:type="paragraph" w:styleId="018-60">
    <w:name w:val="Таб018-60%"/>
    <w:basedOn w:val="Style25"/>
    <w:next w:val="Style25"/>
    <w:qFormat/>
    <w:pPr>
      <w:keepNext w:val="true"/>
      <w:pBdr>
        <w:top w:val="single" w:sz="12" w:space="0" w:color="000000"/>
      </w:pBdr>
      <w:tabs>
        <w:tab w:val="clear" w:pos="720"/>
        <w:tab w:val="center" w:pos="850" w:leader="none"/>
        <w:tab w:val="center" w:pos="2551" w:leader="none"/>
        <w:tab w:val="center" w:pos="4252" w:leader="none"/>
      </w:tabs>
      <w:spacing w:before="0" w:after="227"/>
      <w:ind w:hanging="0" w:start="57" w:end="57"/>
    </w:pPr>
    <w:rPr>
      <w:rFonts w:ascii="Pragmatica" w:hAnsi="Pragmatica" w:cs="Pragmatica"/>
      <w:color w:val="000000"/>
    </w:rPr>
  </w:style>
  <w:style w:type="paragraph" w:styleId="31">
    <w:name w:val="Таб31"/>
    <w:basedOn w:val="Style25"/>
    <w:next w:val="Style25"/>
    <w:qFormat/>
    <w:pPr>
      <w:keepNext w:val="true"/>
      <w:tabs>
        <w:tab w:val="clear" w:pos="720"/>
        <w:tab w:val="right" w:pos="1134" w:leader="none"/>
        <w:tab w:val="decimal" w:pos="2494" w:leader="none"/>
        <w:tab w:val="decimal" w:pos="3628" w:leader="none"/>
        <w:tab w:val="decimal" w:pos="4706" w:leader="none"/>
        <w:tab w:val="decimal" w:pos="5839" w:leader="none"/>
        <w:tab w:val="decimal" w:pos="7030" w:leader="none"/>
        <w:tab w:val="decimal" w:pos="8164" w:leader="none"/>
      </w:tabs>
      <w:spacing w:before="0" w:after="0"/>
      <w:ind w:hanging="0" w:start="57" w:end="57"/>
    </w:pPr>
    <w:rPr>
      <w:rFonts w:ascii="Pragmatica" w:hAnsi="Pragmatica" w:cs="Pragmatica"/>
      <w:color w:val="000000"/>
    </w:rPr>
  </w:style>
  <w:style w:type="paragraph" w:styleId="3130">
    <w:name w:val="Таб31+30%"/>
    <w:basedOn w:val="31"/>
    <w:next w:val="31"/>
    <w:qFormat/>
    <w:pPr>
      <w:pBdr>
        <w:top w:val="single" w:sz="12" w:space="0" w:color="000000"/>
      </w:pBdr>
    </w:pPr>
    <w:rPr/>
  </w:style>
  <w:style w:type="paragraph" w:styleId="MainText">
    <w:name w:val="MainText"/>
    <w:qFormat/>
    <w:pPr>
      <w:widowControl/>
      <w:overflowPunct w:val="false"/>
      <w:autoSpaceDE w:val="false"/>
      <w:bidi w:val="0"/>
      <w:ind w:firstLine="567" w:start="0" w:end="0"/>
      <w:jc w:val="both"/>
      <w:textAlignment w:val="baseline"/>
    </w:pPr>
    <w:rPr>
      <w:rFonts w:ascii="PragmaticaC" w:hAnsi="PragmaticaC" w:eastAsia="Times New Roman" w:cs="PragmaticaC"/>
      <w:color w:val="000000"/>
      <w:sz w:val="19"/>
      <w:szCs w:val="20"/>
      <w:lang w:val="en-US" w:bidi="ar-SA" w:eastAsia="zh-CN"/>
    </w:rPr>
  </w:style>
  <w:style w:type="paragraph" w:styleId="Data">
    <w:name w:val="Data"/>
    <w:basedOn w:val="MainText"/>
    <w:qFormat/>
    <w:pPr>
      <w:tabs>
        <w:tab w:val="clear" w:pos="720"/>
        <w:tab w:val="right" w:pos="8787" w:leader="none"/>
      </w:tabs>
      <w:spacing w:before="57" w:after="0"/>
      <w:ind w:hanging="0" w:start="0" w:end="0"/>
      <w:jc w:val="start"/>
    </w:pPr>
    <w:rPr/>
  </w:style>
  <w:style w:type="paragraph" w:styleId="Podpis">
    <w:name w:val="Podpis"/>
    <w:basedOn w:val="MainText"/>
    <w:qFormat/>
    <w:pPr>
      <w:tabs>
        <w:tab w:val="clear" w:pos="720"/>
        <w:tab w:val="right" w:pos="4195" w:leader="none"/>
      </w:tabs>
      <w:spacing w:before="180" w:after="0"/>
      <w:ind w:hanging="0" w:start="567" w:end="0"/>
      <w:jc w:val="start"/>
    </w:pPr>
    <w:rPr>
      <w:caps/>
    </w:rPr>
  </w:style>
  <w:style w:type="paragraph" w:styleId="Prikaz">
    <w:name w:val="Prikaz"/>
    <w:basedOn w:val="MainText"/>
    <w:qFormat/>
    <w:pPr>
      <w:spacing w:before="113" w:after="0"/>
      <w:ind w:hanging="0" w:start="0" w:end="0"/>
      <w:jc w:val="end"/>
    </w:pPr>
    <w:rPr/>
  </w:style>
  <w:style w:type="paragraph" w:styleId="Zagolovok">
    <w:name w:val="Zagolovok"/>
    <w:qFormat/>
    <w:pPr>
      <w:widowControl/>
      <w:overflowPunct w:val="false"/>
      <w:autoSpaceDE w:val="false"/>
      <w:bidi w:val="0"/>
      <w:spacing w:before="170" w:after="227"/>
      <w:textAlignment w:val="baseline"/>
    </w:pPr>
    <w:rPr>
      <w:rFonts w:ascii="PragmaticaCondC" w:hAnsi="PragmaticaCondC" w:eastAsia="Times New Roman" w:cs="PragmaticaCondC"/>
      <w:b/>
      <w:color w:val="0000FF"/>
      <w:sz w:val="24"/>
      <w:szCs w:val="20"/>
      <w:lang w:val="en-US" w:bidi="ar-SA" w:eastAsia="zh-CN"/>
    </w:rPr>
  </w:style>
  <w:style w:type="paragraph" w:styleId="Tablica">
    <w:name w:val="Tablica"/>
    <w:basedOn w:val="MainText"/>
    <w:qFormat/>
    <w:pPr>
      <w:keepNext w:val="true"/>
      <w:keepLines/>
      <w:ind w:hanging="0" w:start="57" w:end="57"/>
      <w:jc w:val="start"/>
    </w:pPr>
    <w:rPr>
      <w:sz w:val="18"/>
    </w:rPr>
  </w:style>
  <w:style w:type="paragraph" w:styleId="ListBullet">
    <w:name w:val="List Bullet"/>
    <w:basedOn w:val="Normal"/>
    <w:qFormat/>
    <w:pPr>
      <w:numPr>
        <w:ilvl w:val="0"/>
        <w:numId w:val="2"/>
      </w:numPr>
      <w:ind w:hanging="283" w:start="283" w:end="0"/>
    </w:pPr>
    <w:rPr/>
  </w:style>
  <w:style w:type="paragraph" w:styleId="Glavnyi">
    <w:name w:val="Glavnyi"/>
    <w:basedOn w:val="Zagolovok"/>
    <w:next w:val="MainText"/>
    <w:qFormat/>
    <w:pPr>
      <w:spacing w:before="170" w:after="0"/>
    </w:pPr>
    <w:rPr>
      <w:rFonts w:ascii="AGOpus" w:hAnsi="AGOpus" w:cs="AGOpus"/>
      <w:b w:val="false"/>
      <w:color w:val="000000"/>
      <w:sz w:val="36"/>
    </w:rPr>
  </w:style>
  <w:style w:type="paragraph" w:styleId="Spisok-Telo">
    <w:name w:val="Spisok-Telo"/>
    <w:basedOn w:val="Normal"/>
    <w:next w:val="Normal"/>
    <w:qFormat/>
    <w:pPr>
      <w:keepNext w:val="true"/>
      <w:keepLines/>
      <w:tabs>
        <w:tab w:val="clear" w:pos="720"/>
        <w:tab w:val="right" w:pos="8504" w:leader="none"/>
      </w:tabs>
      <w:spacing w:before="0" w:after="227"/>
      <w:ind w:hanging="0" w:start="57" w:end="57"/>
    </w:pPr>
    <w:rPr>
      <w:rFonts w:ascii="PragmaticaC" w:hAnsi="PragmaticaC" w:cs="PragmaticaC"/>
      <w:color w:val="000000"/>
      <w:sz w:val="18"/>
      <w:lang w:val="en-US"/>
    </w:rPr>
  </w:style>
  <w:style w:type="paragraph" w:styleId="ZenBum">
    <w:name w:val="ZenBum"/>
    <w:basedOn w:val="Spisok-Telo"/>
    <w:next w:val="Spisok-Telo"/>
    <w:qFormat/>
    <w:pPr>
      <w:pBdr>
        <w:bottom w:val="single" w:sz="2" w:space="0" w:color="000000"/>
      </w:pBdr>
      <w:spacing w:before="85" w:after="28"/>
      <w:ind w:hanging="0" w:start="227" w:end="57"/>
    </w:pPr>
    <w:rPr/>
  </w:style>
  <w:style w:type="paragraph" w:styleId="Spisok">
    <w:name w:val="Spisok"/>
    <w:basedOn w:val="Tablica"/>
    <w:next w:val="Tablica"/>
    <w:qFormat/>
    <w:pPr>
      <w:tabs>
        <w:tab w:val="clear" w:pos="720"/>
        <w:tab w:val="center" w:pos="3969" w:leader="none"/>
        <w:tab w:val="right" w:pos="8674" w:leader="none"/>
      </w:tabs>
      <w:spacing w:before="0" w:after="227"/>
    </w:pPr>
    <w:rPr/>
  </w:style>
  <w:style w:type="paragraph" w:styleId="Snoska">
    <w:name w:val="Snoska"/>
    <w:basedOn w:val="MainText"/>
    <w:next w:val="Tablica"/>
    <w:qFormat/>
    <w:pPr>
      <w:tabs>
        <w:tab w:val="clear" w:pos="720"/>
        <w:tab w:val="left" w:pos="567" w:leader="none"/>
      </w:tabs>
      <w:spacing w:before="113" w:after="0"/>
      <w:ind w:hanging="0" w:start="0" w:end="0"/>
    </w:pPr>
    <w:rPr>
      <w:rFonts w:ascii="PragmaticaCondC" w:hAnsi="PragmaticaCondC" w:cs="PragmaticaCondC"/>
      <w:sz w:val="18"/>
    </w:rPr>
  </w:style>
  <w:style w:type="paragraph" w:styleId="DepozitnieOperacii">
    <w:name w:val="DepozitnieOperacii"/>
    <w:basedOn w:val="Tablica"/>
    <w:next w:val="Tablica"/>
    <w:qFormat/>
    <w:pPr>
      <w:tabs>
        <w:tab w:val="clear" w:pos="720"/>
        <w:tab w:val="right" w:pos="907" w:leader="none"/>
        <w:tab w:val="left" w:pos="1417" w:leader="none"/>
        <w:tab w:val="right" w:pos="5726" w:leader="none"/>
        <w:tab w:val="left" w:pos="7427" w:leader="none"/>
      </w:tabs>
      <w:spacing w:before="113" w:after="0"/>
    </w:pPr>
    <w:rPr/>
  </w:style>
  <w:style w:type="paragraph" w:styleId="Tab006">
    <w:name w:val="Tab006"/>
    <w:basedOn w:val="Tablica"/>
    <w:next w:val="Tab00630"/>
    <w:qFormat/>
    <w:pPr>
      <w:tabs>
        <w:tab w:val="clear" w:pos="720"/>
        <w:tab w:val="right" w:pos="794" w:leader="none"/>
        <w:tab w:val="right" w:pos="1956" w:leader="none"/>
        <w:tab w:val="right" w:pos="2976" w:leader="none"/>
        <w:tab w:val="right" w:pos="4082" w:leader="none"/>
        <w:tab w:val="right" w:pos="5131" w:leader="none"/>
        <w:tab w:val="right" w:pos="6293" w:leader="none"/>
        <w:tab w:val="right" w:pos="7398" w:leader="none"/>
        <w:tab w:val="decimal" w:pos="8192" w:leader="none"/>
      </w:tabs>
      <w:ind w:hanging="0" w:start="57" w:end="0"/>
    </w:pPr>
    <w:rPr/>
  </w:style>
  <w:style w:type="paragraph" w:styleId="Tab00630">
    <w:name w:val="Tab006+30%"/>
    <w:basedOn w:val="Tab006"/>
    <w:next w:val="Tab006"/>
    <w:qFormat/>
    <w:pPr>
      <w:pBdr>
        <w:top w:val="single" w:sz="12" w:space="0" w:color="000000"/>
      </w:pBdr>
    </w:pPr>
    <w:rPr/>
  </w:style>
  <w:style w:type="paragraph" w:styleId="Tab0061kol">
    <w:name w:val="Tab006+1kol"/>
    <w:basedOn w:val="Tab006"/>
    <w:next w:val="Tab006"/>
    <w:qFormat/>
    <w:pPr>
      <w:tabs>
        <w:tab w:val="clear" w:pos="1956"/>
        <w:tab w:val="clear" w:pos="2976"/>
        <w:tab w:val="clear" w:pos="4082"/>
        <w:tab w:val="clear" w:pos="5131"/>
        <w:tab w:val="clear" w:pos="6293"/>
        <w:tab w:val="clear" w:pos="7398"/>
        <w:tab w:val="clear" w:pos="8192"/>
        <w:tab w:val="right" w:pos="1814" w:leader="none"/>
        <w:tab w:val="right" w:pos="2693" w:leader="none"/>
        <w:tab w:val="right" w:pos="3543" w:leader="none"/>
        <w:tab w:val="right" w:pos="4479" w:leader="none"/>
        <w:tab w:val="right" w:pos="5386" w:leader="none"/>
        <w:tab w:val="right" w:pos="6520" w:leader="none"/>
        <w:tab w:val="decimal" w:pos="7370" w:leader="none"/>
        <w:tab w:val="decimal" w:pos="8334" w:leader="none"/>
      </w:tabs>
    </w:pPr>
    <w:rPr/>
  </w:style>
  <w:style w:type="paragraph" w:styleId="Tab006301kol">
    <w:name w:val="Tab006+30%+1kol"/>
    <w:basedOn w:val="Tab0061kol"/>
    <w:next w:val="Tab0061kol"/>
    <w:qFormat/>
    <w:pPr>
      <w:pBdr>
        <w:top w:val="single" w:sz="12" w:space="0" w:color="000000"/>
      </w:pBdr>
    </w:pPr>
    <w:rPr/>
  </w:style>
  <w:style w:type="paragraph" w:styleId="Tab034">
    <w:name w:val="Tab034"/>
    <w:basedOn w:val="Tablica"/>
    <w:next w:val="Tablica"/>
    <w:qFormat/>
    <w:pPr>
      <w:tabs>
        <w:tab w:val="clear" w:pos="720"/>
        <w:tab w:val="decimal" w:pos="3572" w:leader="none"/>
        <w:tab w:val="decimal" w:pos="4706" w:leader="none"/>
        <w:tab w:val="decimal" w:pos="5839" w:leader="none"/>
        <w:tab w:val="decimal" w:pos="6973" w:leader="none"/>
        <w:tab w:val="decimal" w:pos="8107" w:leader="none"/>
      </w:tabs>
    </w:pPr>
    <w:rPr/>
  </w:style>
  <w:style w:type="paragraph" w:styleId="Tab03430">
    <w:name w:val="Tab034+30%"/>
    <w:basedOn w:val="Tab034"/>
    <w:next w:val="Tab034"/>
    <w:qFormat/>
    <w:pPr>
      <w:pBdr>
        <w:top w:val="single" w:sz="12" w:space="0" w:color="000000"/>
      </w:pBdr>
    </w:pPr>
    <w:rPr/>
  </w:style>
  <w:style w:type="paragraph" w:styleId="TabValuti">
    <w:name w:val="TabValuti"/>
    <w:basedOn w:val="Tab034"/>
    <w:next w:val="Tab034"/>
    <w:qFormat/>
    <w:pPr>
      <w:tabs>
        <w:tab w:val="clear" w:pos="3572"/>
        <w:tab w:val="clear" w:pos="4706"/>
        <w:tab w:val="clear" w:pos="5839"/>
        <w:tab w:val="clear" w:pos="6973"/>
        <w:tab w:val="clear" w:pos="8107"/>
        <w:tab w:val="decimal" w:pos="3685" w:leader="none"/>
        <w:tab w:val="left" w:pos="4592" w:leader="none"/>
        <w:tab w:val="decimal" w:pos="8220" w:leader="none"/>
      </w:tabs>
    </w:pPr>
    <w:rPr/>
  </w:style>
  <w:style w:type="paragraph" w:styleId="Tab010">
    <w:name w:val="Tab010"/>
    <w:basedOn w:val="Tablica"/>
    <w:next w:val="Tablica"/>
    <w:qFormat/>
    <w:pPr>
      <w:tabs>
        <w:tab w:val="clear" w:pos="720"/>
        <w:tab w:val="right" w:pos="907" w:leader="none"/>
        <w:tab w:val="decimal" w:pos="1531" w:leader="none"/>
        <w:tab w:val="decimal" w:pos="2778" w:leader="none"/>
        <w:tab w:val="decimal" w:pos="4139" w:leader="none"/>
        <w:tab w:val="decimal" w:pos="5499" w:leader="none"/>
        <w:tab w:val="decimal" w:pos="6860" w:leader="none"/>
        <w:tab w:val="decimal" w:pos="8277" w:leader="none"/>
      </w:tabs>
      <w:ind w:hanging="0" w:start="113" w:end="57"/>
    </w:pPr>
    <w:rPr/>
  </w:style>
  <w:style w:type="paragraph" w:styleId="Tab01030">
    <w:name w:val="Tab010+30%"/>
    <w:basedOn w:val="Tab010"/>
    <w:next w:val="Tab010"/>
    <w:qFormat/>
    <w:pPr>
      <w:pBdr>
        <w:top w:val="single" w:sz="12" w:space="0" w:color="000000"/>
      </w:pBdr>
    </w:pPr>
    <w:rPr/>
  </w:style>
  <w:style w:type="paragraph" w:styleId="Tab009">
    <w:name w:val="Tab009"/>
    <w:basedOn w:val="Tablica"/>
    <w:next w:val="Tablica"/>
    <w:qFormat/>
    <w:pPr>
      <w:tabs>
        <w:tab w:val="clear" w:pos="720"/>
        <w:tab w:val="decimal" w:pos="2494" w:leader="none"/>
        <w:tab w:val="decimal" w:pos="3628" w:leader="none"/>
        <w:tab w:val="decimal" w:pos="4876" w:leader="none"/>
        <w:tab w:val="decimal" w:pos="6123" w:leader="none"/>
        <w:tab w:val="decimal" w:pos="7483" w:leader="none"/>
        <w:tab w:val="center" w:pos="8617" w:leader="none"/>
      </w:tabs>
      <w:ind w:hanging="0" w:start="227" w:end="57"/>
    </w:pPr>
    <w:rPr/>
  </w:style>
  <w:style w:type="paragraph" w:styleId="Tab00930">
    <w:name w:val="Tab009+30%"/>
    <w:basedOn w:val="Tab009"/>
    <w:next w:val="Tab009"/>
    <w:qFormat/>
    <w:pPr>
      <w:pBdr>
        <w:top w:val="single" w:sz="12" w:space="0" w:color="000000"/>
      </w:pBdr>
    </w:pPr>
    <w:rPr>
      <w:color w:val="000000"/>
    </w:rPr>
  </w:style>
  <w:style w:type="paragraph" w:styleId="Tab01060">
    <w:name w:val="Tab010+60%"/>
    <w:basedOn w:val="Tab010"/>
    <w:next w:val="Tab010"/>
    <w:qFormat/>
    <w:pPr>
      <w:pBdr>
        <w:top w:val="single" w:sz="12" w:space="0" w:color="000000"/>
      </w:pBdr>
      <w:ind w:hanging="0" w:start="0" w:end="57"/>
      <w:jc w:val="center"/>
    </w:pPr>
    <w:rPr/>
  </w:style>
  <w:style w:type="paragraph" w:styleId="Tab018">
    <w:name w:val="Tab018"/>
    <w:basedOn w:val="Tablica"/>
    <w:next w:val="Tablica"/>
    <w:qFormat/>
    <w:pPr>
      <w:tabs>
        <w:tab w:val="clear" w:pos="720"/>
        <w:tab w:val="right" w:pos="1304" w:leader="none"/>
        <w:tab w:val="decimal" w:pos="2438" w:leader="none"/>
        <w:tab w:val="decimal" w:pos="4139" w:leader="none"/>
      </w:tabs>
    </w:pPr>
    <w:rPr/>
  </w:style>
  <w:style w:type="paragraph" w:styleId="Tab01830">
    <w:name w:val="Tab018+30%"/>
    <w:basedOn w:val="Tab018"/>
    <w:next w:val="Tab018"/>
    <w:qFormat/>
    <w:pPr>
      <w:pBdr>
        <w:top w:val="single" w:sz="12" w:space="0" w:color="000000"/>
      </w:pBdr>
    </w:pPr>
    <w:rPr/>
  </w:style>
  <w:style w:type="paragraph" w:styleId="Tab31">
    <w:name w:val="Tab31"/>
    <w:basedOn w:val="Tablica"/>
    <w:next w:val="Tablica"/>
    <w:qFormat/>
    <w:pPr>
      <w:tabs>
        <w:tab w:val="clear" w:pos="720"/>
        <w:tab w:val="right" w:pos="1134" w:leader="none"/>
        <w:tab w:val="decimal" w:pos="2494" w:leader="none"/>
        <w:tab w:val="decimal" w:pos="3628" w:leader="none"/>
        <w:tab w:val="decimal" w:pos="4706" w:leader="none"/>
        <w:tab w:val="decimal" w:pos="5839" w:leader="none"/>
        <w:tab w:val="decimal" w:pos="7030" w:leader="none"/>
        <w:tab w:val="decimal" w:pos="8164" w:leader="none"/>
      </w:tabs>
    </w:pPr>
    <w:rPr/>
  </w:style>
  <w:style w:type="paragraph" w:styleId="Tab3130">
    <w:name w:val="Tab31+30%"/>
    <w:basedOn w:val="Tab31"/>
    <w:next w:val="Tab31"/>
    <w:qFormat/>
    <w:pPr>
      <w:pBdr>
        <w:top w:val="single" w:sz="12" w:space="0" w:color="000000"/>
      </w:pBdr>
    </w:pPr>
    <w:rPr/>
  </w:style>
  <w:style w:type="paragraph" w:styleId="Tab012">
    <w:name w:val="Tab012"/>
    <w:basedOn w:val="Tablica"/>
    <w:next w:val="Tablica"/>
    <w:qFormat/>
    <w:pPr>
      <w:tabs>
        <w:tab w:val="clear" w:pos="720"/>
        <w:tab w:val="right" w:pos="794" w:leader="none"/>
        <w:tab w:val="right" w:pos="1786" w:leader="none"/>
        <w:tab w:val="decimal" w:pos="2324" w:leader="none"/>
        <w:tab w:val="decimal" w:pos="3543" w:leader="none"/>
        <w:tab w:val="decimal" w:pos="4337" w:leader="none"/>
        <w:tab w:val="decimal" w:pos="5046" w:leader="none"/>
        <w:tab w:val="decimal" w:pos="6094" w:leader="none"/>
        <w:tab w:val="decimal" w:pos="7398" w:leader="none"/>
        <w:tab w:val="center" w:pos="8334" w:leader="none"/>
      </w:tabs>
      <w:ind w:hanging="0" w:start="0" w:end="0"/>
    </w:pPr>
    <w:rPr/>
  </w:style>
  <w:style w:type="paragraph" w:styleId="Tab01260">
    <w:name w:val="Tab012+60%"/>
    <w:basedOn w:val="Tab012"/>
    <w:next w:val="Tab012"/>
    <w:qFormat/>
    <w:pPr>
      <w:pBdr>
        <w:top w:val="single" w:sz="12" w:space="0" w:color="000000"/>
      </w:pBdr>
      <w:tabs>
        <w:tab w:val="clear" w:pos="794"/>
        <w:tab w:val="right" w:pos="907" w:leader="none"/>
      </w:tabs>
    </w:pPr>
    <w:rPr/>
  </w:style>
  <w:style w:type="paragraph" w:styleId="Tab012x">
    <w:name w:val="Tab012x"/>
    <w:basedOn w:val="Tab012"/>
    <w:next w:val="Tab012"/>
    <w:qFormat/>
    <w:pPr>
      <w:tabs>
        <w:tab w:val="clear" w:pos="1786"/>
        <w:tab w:val="clear" w:pos="2324"/>
        <w:tab w:val="clear" w:pos="3543"/>
        <w:tab w:val="clear" w:pos="4337"/>
        <w:tab w:val="clear" w:pos="5046"/>
        <w:tab w:val="clear" w:pos="6094"/>
        <w:tab w:val="clear" w:pos="7398"/>
        <w:tab w:val="clear" w:pos="8334"/>
        <w:tab w:val="right" w:pos="1729" w:leader="none"/>
        <w:tab w:val="decimal" w:pos="2381" w:leader="none"/>
        <w:tab w:val="decimal" w:pos="3600" w:leader="none"/>
        <w:tab w:val="decimal" w:pos="4394" w:leader="none"/>
        <w:tab w:val="decimal" w:pos="5074" w:leader="none"/>
        <w:tab w:val="decimal" w:pos="5896" w:leader="none"/>
        <w:tab w:val="decimal" w:pos="7058" w:leader="none"/>
        <w:tab w:val="center" w:pos="8164" w:leader="none"/>
      </w:tabs>
    </w:pPr>
    <w:rPr/>
  </w:style>
  <w:style w:type="paragraph" w:styleId="Tab012x60">
    <w:name w:val="Tab012x+60%"/>
    <w:basedOn w:val="Tab012x"/>
    <w:next w:val="Tab01260"/>
    <w:qFormat/>
    <w:pPr>
      <w:pBdr>
        <w:top w:val="single" w:sz="12" w:space="0" w:color="000000"/>
      </w:pBdr>
      <w:tabs>
        <w:tab w:val="clear" w:pos="794"/>
        <w:tab w:val="right" w:pos="737" w:leader="none"/>
        <w:tab w:val="decimal" w:pos="1729" w:leader="none"/>
      </w:tabs>
    </w:pPr>
    <w:rPr/>
  </w:style>
  <w:style w:type="paragraph" w:styleId="Tab013">
    <w:name w:val="Tab013"/>
    <w:basedOn w:val="Tablica"/>
    <w:next w:val="Tablica"/>
    <w:qFormat/>
    <w:pPr>
      <w:tabs>
        <w:tab w:val="clear" w:pos="720"/>
        <w:tab w:val="right" w:pos="2948" w:leader="none"/>
        <w:tab w:val="decimal" w:pos="4564" w:leader="none"/>
        <w:tab w:val="decimal" w:pos="6208" w:leader="none"/>
        <w:tab w:val="decimal" w:pos="8249" w:leader="none"/>
      </w:tabs>
      <w:ind w:hanging="0" w:start="454" w:end="57"/>
    </w:pPr>
    <w:rPr/>
  </w:style>
  <w:style w:type="paragraph" w:styleId="Tab01330">
    <w:name w:val="Tab013+30%"/>
    <w:basedOn w:val="Tab013"/>
    <w:next w:val="Tab013"/>
    <w:qFormat/>
    <w:pPr>
      <w:pBdr>
        <w:top w:val="single" w:sz="12" w:space="0" w:color="000000"/>
      </w:pBdr>
    </w:pPr>
    <w:rPr/>
  </w:style>
  <w:style w:type="paragraph" w:styleId="Tab014">
    <w:name w:val="Tab014"/>
    <w:basedOn w:val="Tablica"/>
    <w:next w:val="Tablica"/>
    <w:qFormat/>
    <w:pPr>
      <w:tabs>
        <w:tab w:val="clear" w:pos="720"/>
        <w:tab w:val="right" w:pos="709" w:leader="none"/>
        <w:tab w:val="right" w:pos="1786" w:leader="none"/>
        <w:tab w:val="right" w:pos="2778" w:leader="none"/>
        <w:tab w:val="right" w:pos="3402" w:leader="none"/>
        <w:tab w:val="right" w:pos="4224" w:leader="none"/>
        <w:tab w:val="right" w:pos="5216" w:leader="none"/>
        <w:tab w:val="right" w:pos="6321" w:leader="none"/>
        <w:tab w:val="right" w:pos="7597" w:leader="none"/>
        <w:tab w:val="right" w:pos="8646" w:leader="none"/>
      </w:tabs>
      <w:ind w:hanging="0" w:start="57" w:end="1"/>
    </w:pPr>
    <w:rPr/>
  </w:style>
  <w:style w:type="paragraph" w:styleId="Tab01430">
    <w:name w:val="Tab014+30%"/>
    <w:basedOn w:val="Tab014"/>
    <w:next w:val="Tab014"/>
    <w:qFormat/>
    <w:pPr>
      <w:pBdr>
        <w:top w:val="single" w:sz="12" w:space="0" w:color="000000"/>
      </w:pBdr>
      <w:ind w:hanging="0" w:start="57" w:end="0"/>
    </w:pPr>
    <w:rPr/>
  </w:style>
  <w:style w:type="paragraph" w:styleId="Tab019">
    <w:name w:val="Tab019"/>
    <w:basedOn w:val="Tablica"/>
    <w:next w:val="Tablica"/>
    <w:qFormat/>
    <w:pPr>
      <w:tabs>
        <w:tab w:val="clear" w:pos="720"/>
        <w:tab w:val="right" w:pos="1077" w:leader="none"/>
        <w:tab w:val="decimal" w:pos="2324" w:leader="none"/>
        <w:tab w:val="decimal" w:pos="3402" w:leader="none"/>
        <w:tab w:val="decimal" w:pos="4365" w:leader="none"/>
        <w:tab w:val="decimal" w:pos="5726" w:leader="none"/>
        <w:tab w:val="right" w:pos="8022" w:leader="none"/>
      </w:tabs>
    </w:pPr>
    <w:rPr/>
  </w:style>
  <w:style w:type="paragraph" w:styleId="Tab01960">
    <w:name w:val="Tab019+60%"/>
    <w:basedOn w:val="Tab019"/>
    <w:next w:val="Tab019"/>
    <w:qFormat/>
    <w:pPr>
      <w:pBdr>
        <w:top w:val="single" w:sz="12" w:space="0" w:color="000000"/>
      </w:pBdr>
      <w:jc w:val="center"/>
    </w:pPr>
    <w:rPr/>
  </w:style>
  <w:style w:type="paragraph" w:styleId="Tab01930">
    <w:name w:val="Tab019+30%"/>
    <w:basedOn w:val="Tab019"/>
    <w:next w:val="Tab019"/>
    <w:qFormat/>
    <w:pPr>
      <w:pBdr>
        <w:top w:val="single" w:sz="12" w:space="0" w:color="000000"/>
      </w:pBdr>
    </w:pPr>
    <w:rPr>
      <w:color w:val="000000"/>
    </w:rPr>
  </w:style>
  <w:style w:type="paragraph" w:styleId="Tab015">
    <w:name w:val="Tab015"/>
    <w:basedOn w:val="Tablica"/>
    <w:next w:val="Tablica"/>
    <w:qFormat/>
    <w:pPr>
      <w:tabs>
        <w:tab w:val="clear" w:pos="720"/>
        <w:tab w:val="left" w:pos="1587" w:leader="none"/>
        <w:tab w:val="decimal" w:pos="4224" w:leader="none"/>
        <w:tab w:val="decimal" w:pos="5556" w:leader="none"/>
        <w:tab w:val="decimal" w:pos="6917" w:leader="none"/>
        <w:tab w:val="decimal" w:pos="8249" w:leader="none"/>
      </w:tabs>
      <w:ind w:hanging="0" w:start="113" w:end="57"/>
    </w:pPr>
    <w:rPr/>
  </w:style>
  <w:style w:type="paragraph" w:styleId="Tab01530">
    <w:name w:val="Tab015+30%"/>
    <w:basedOn w:val="Tab015"/>
    <w:next w:val="Tab015"/>
    <w:qFormat/>
    <w:pPr>
      <w:pBdr>
        <w:top w:val="single" w:sz="12" w:space="0" w:color="000000"/>
      </w:pBdr>
    </w:pPr>
    <w:rPr/>
  </w:style>
  <w:style w:type="paragraph" w:styleId="Tab015302">
    <w:name w:val="Tab015+30%+2"/>
    <w:basedOn w:val="Tab01530"/>
    <w:next w:val="Tab01530"/>
    <w:qFormat/>
    <w:pPr/>
    <w:rPr/>
  </w:style>
  <w:style w:type="paragraph" w:styleId="Tab015shapka">
    <w:name w:val="Tab015+shapka"/>
    <w:basedOn w:val="Tab015"/>
    <w:next w:val="Tab015"/>
    <w:qFormat/>
    <w:pPr>
      <w:tabs>
        <w:tab w:val="clear" w:pos="1587"/>
        <w:tab w:val="clear" w:pos="4224"/>
        <w:tab w:val="clear" w:pos="5556"/>
        <w:tab w:val="clear" w:pos="6917"/>
        <w:tab w:val="clear" w:pos="8249"/>
        <w:tab w:val="left" w:pos="1729" w:leader="none"/>
        <w:tab w:val="center" w:pos="4252" w:leader="none"/>
        <w:tab w:val="center" w:pos="5613" w:leader="none"/>
        <w:tab w:val="center" w:pos="6973" w:leader="none"/>
        <w:tab w:val="center" w:pos="8277" w:leader="none"/>
      </w:tabs>
      <w:spacing w:before="0" w:after="113"/>
    </w:pPr>
    <w:rPr/>
  </w:style>
  <w:style w:type="paragraph" w:styleId="Tab016-shapka">
    <w:name w:val="Tab016-shapka"/>
    <w:basedOn w:val="Tablica"/>
    <w:next w:val="Tablica"/>
    <w:qFormat/>
    <w:pPr>
      <w:tabs>
        <w:tab w:val="clear" w:pos="720"/>
        <w:tab w:val="center" w:pos="4394" w:leader="none"/>
        <w:tab w:val="center" w:pos="5754" w:leader="none"/>
        <w:tab w:val="center" w:pos="7002" w:leader="none"/>
        <w:tab w:val="center" w:pos="8164" w:leader="none"/>
      </w:tabs>
      <w:spacing w:before="0" w:after="142"/>
    </w:pPr>
    <w:rPr/>
  </w:style>
  <w:style w:type="paragraph" w:styleId="Tab016">
    <w:name w:val="Tab016"/>
    <w:basedOn w:val="Tablica"/>
    <w:next w:val="Tablica"/>
    <w:qFormat/>
    <w:pPr>
      <w:tabs>
        <w:tab w:val="clear" w:pos="720"/>
        <w:tab w:val="left" w:pos="1389" w:leader="none"/>
        <w:tab w:val="decimal" w:pos="4025" w:leader="none"/>
        <w:tab w:val="decimal" w:pos="5272" w:leader="none"/>
        <w:tab w:val="decimal" w:pos="6576" w:leader="none"/>
        <w:tab w:val="decimal" w:pos="7994" w:leader="none"/>
      </w:tabs>
    </w:pPr>
    <w:rPr/>
  </w:style>
  <w:style w:type="paragraph" w:styleId="Tab01630">
    <w:name w:val="Tab016+30%"/>
    <w:basedOn w:val="Tab016"/>
    <w:next w:val="Tab016"/>
    <w:qFormat/>
    <w:pPr>
      <w:pBdr>
        <w:top w:val="single" w:sz="12" w:space="0" w:color="000000"/>
      </w:pBdr>
    </w:pPr>
    <w:rPr>
      <w:color w:val="000000"/>
    </w:rPr>
  </w:style>
  <w:style w:type="paragraph" w:styleId="Tab01660">
    <w:name w:val="Tab016+60%"/>
    <w:basedOn w:val="Tab016"/>
    <w:next w:val="Tab016"/>
    <w:qFormat/>
    <w:pPr>
      <w:pBdr>
        <w:top w:val="single" w:sz="12" w:space="0" w:color="000000"/>
      </w:pBdr>
    </w:pPr>
    <w:rPr/>
  </w:style>
  <w:style w:type="paragraph" w:styleId="StatusDepositaria">
    <w:name w:val="Status Depositaria"/>
    <w:basedOn w:val="MainText"/>
    <w:next w:val="MainText"/>
    <w:qFormat/>
    <w:pPr>
      <w:tabs>
        <w:tab w:val="clear" w:pos="720"/>
        <w:tab w:val="right" w:pos="567" w:leader="none"/>
        <w:tab w:val="left" w:pos="737" w:leader="none"/>
      </w:tabs>
      <w:ind w:hanging="567" w:start="737" w:end="0"/>
    </w:pPr>
    <w:rPr/>
  </w:style>
  <w:style w:type="paragraph" w:styleId="Tab033">
    <w:name w:val="Tab033"/>
    <w:basedOn w:val="Tablica"/>
    <w:next w:val="Tablica"/>
    <w:qFormat/>
    <w:pPr>
      <w:tabs>
        <w:tab w:val="clear" w:pos="720"/>
        <w:tab w:val="right" w:pos="454" w:leader="none"/>
        <w:tab w:val="left" w:pos="907" w:leader="none"/>
        <w:tab w:val="decimal" w:pos="4876" w:leader="none"/>
        <w:tab w:val="decimal" w:pos="5613" w:leader="none"/>
        <w:tab w:val="decimal" w:pos="6576" w:leader="none"/>
        <w:tab w:val="decimal" w:pos="7597" w:leader="none"/>
        <w:tab w:val="decimal" w:pos="8731" w:leader="none"/>
        <w:tab w:val="decimal" w:pos="9751" w:leader="none"/>
        <w:tab w:val="decimal" w:pos="11112" w:leader="none"/>
        <w:tab w:val="decimal" w:pos="12246" w:leader="none"/>
        <w:tab w:val="decimal" w:pos="13493" w:leader="none"/>
      </w:tabs>
    </w:pPr>
    <w:rPr/>
  </w:style>
  <w:style w:type="paragraph" w:styleId="Tab033obl">
    <w:name w:val="Tab033obl"/>
    <w:basedOn w:val="Tab033"/>
    <w:qFormat/>
    <w:pPr>
      <w:spacing w:before="57" w:after="57"/>
      <w:jc w:val="center"/>
    </w:pPr>
    <w:rPr/>
  </w:style>
  <w:style w:type="paragraph" w:styleId="Tema">
    <w:name w:val="Tema"/>
    <w:next w:val="Schertoi"/>
    <w:qFormat/>
    <w:pPr>
      <w:widowControl/>
      <w:pBdr>
        <w:top w:val="single" w:sz="6" w:space="0" w:color="000000"/>
      </w:pBdr>
      <w:tabs>
        <w:tab w:val="clear" w:pos="720"/>
        <w:tab w:val="right" w:pos="10148" w:leader="dot"/>
      </w:tabs>
      <w:overflowPunct w:val="false"/>
      <w:autoSpaceDE w:val="false"/>
      <w:bidi w:val="0"/>
      <w:spacing w:before="120" w:after="0"/>
      <w:textAlignment w:val="baseline"/>
    </w:pPr>
    <w:rPr>
      <w:rFonts w:ascii="AGOpus" w:hAnsi="AGOpus" w:eastAsia="Times New Roman" w:cs="AGOpus"/>
      <w:b/>
      <w:color w:val="0000FF"/>
      <w:spacing w:val="200"/>
      <w:sz w:val="24"/>
      <w:szCs w:val="20"/>
      <w:lang w:val="en-US" w:bidi="ar-SA" w:eastAsia="zh-CN"/>
    </w:rPr>
  </w:style>
  <w:style w:type="paragraph" w:styleId="Schertoi">
    <w:name w:val="S chertoi"/>
    <w:basedOn w:val="Style39"/>
    <w:next w:val="Style27"/>
    <w:qFormat/>
    <w:pPr>
      <w:spacing w:before="170" w:after="0"/>
    </w:pPr>
    <w:rPr>
      <w:lang w:val="en-US"/>
    </w:rPr>
  </w:style>
  <w:style w:type="paragraph" w:styleId="MainText1">
    <w:name w:val="!MainText"/>
    <w:qFormat/>
    <w:pPr>
      <w:widowControl/>
      <w:overflowPunct w:val="false"/>
      <w:autoSpaceDE w:val="false"/>
      <w:bidi w:val="0"/>
      <w:ind w:firstLine="567" w:start="0" w:end="0"/>
      <w:jc w:val="both"/>
      <w:textAlignment w:val="baseline"/>
    </w:pPr>
    <w:rPr>
      <w:rFonts w:ascii="Pragmatica" w:hAnsi="Pragmatica" w:eastAsia="Times New Roman" w:cs="Pragmatica"/>
      <w:color w:val="000000"/>
      <w:sz w:val="18"/>
      <w:szCs w:val="20"/>
      <w:lang w:val="en-US" w:bidi="ar-SA" w:eastAsia="zh-CN"/>
    </w:rPr>
  </w:style>
  <w:style w:type="paragraph" w:styleId="Tab00960">
    <w:name w:val="Tab009+60%"/>
    <w:basedOn w:val="Tab009"/>
    <w:next w:val="Tab009"/>
    <w:qFormat/>
    <w:pPr>
      <w:pBdr>
        <w:top w:val="single" w:sz="12" w:space="0" w:color="000000"/>
      </w:pBdr>
      <w:tabs>
        <w:tab w:val="clear" w:pos="2494"/>
        <w:tab w:val="clear" w:pos="3628"/>
        <w:tab w:val="clear" w:pos="4876"/>
        <w:tab w:val="clear" w:pos="6123"/>
        <w:tab w:val="clear" w:pos="7483"/>
        <w:tab w:val="center" w:pos="2608" w:leader="none"/>
        <w:tab w:val="center" w:pos="3798" w:leader="none"/>
        <w:tab w:val="center" w:pos="5046" w:leader="none"/>
        <w:tab w:val="center" w:pos="6293" w:leader="none"/>
        <w:tab w:val="center" w:pos="7597" w:leader="none"/>
      </w:tabs>
      <w:spacing w:before="0" w:after="227"/>
    </w:pPr>
    <w:rPr/>
  </w:style>
  <w:style w:type="paragraph" w:styleId="Tab01460">
    <w:name w:val="Tab014+60%"/>
    <w:basedOn w:val="Tab01430"/>
    <w:next w:val="Tab01430"/>
    <w:qFormat/>
    <w:pPr/>
    <w:rPr>
      <w:color w:val="000000"/>
    </w:rPr>
  </w:style>
  <w:style w:type="paragraph" w:styleId="Podp3">
    <w:name w:val="Podp3"/>
    <w:basedOn w:val="Podpis"/>
    <w:next w:val="Podpis"/>
    <w:qFormat/>
    <w:pPr>
      <w:tabs>
        <w:tab w:val="clear" w:pos="4195"/>
        <w:tab w:val="left" w:pos="3118" w:leader="none"/>
        <w:tab w:val="left" w:pos="5953" w:leader="none"/>
      </w:tabs>
      <w:spacing w:before="454" w:after="0"/>
      <w:ind w:hanging="0" w:start="0" w:end="0"/>
    </w:pPr>
    <w:rPr/>
  </w:style>
  <w:style w:type="paragraph" w:styleId="12345">
    <w:name w:val="12345"/>
    <w:basedOn w:val="Data"/>
    <w:next w:val="Data"/>
    <w:qFormat/>
    <w:pPr>
      <w:tabs>
        <w:tab w:val="center" w:pos="1361" w:leader="none"/>
        <w:tab w:val="center" w:pos="4592" w:leader="none"/>
        <w:tab w:val="center" w:pos="7370" w:leader="none"/>
      </w:tabs>
    </w:pPr>
    <w:rPr/>
  </w:style>
  <w:style w:type="paragraph" w:styleId="Glava">
    <w:name w:val="Glava"/>
    <w:basedOn w:val="MainText"/>
    <w:next w:val="MainText"/>
    <w:qFormat/>
    <w:pPr>
      <w:keepNext w:val="true"/>
      <w:spacing w:before="113" w:after="113"/>
      <w:ind w:hanging="0" w:start="567" w:end="0"/>
      <w:jc w:val="start"/>
    </w:pPr>
    <w:rPr>
      <w:b/>
    </w:rPr>
  </w:style>
  <w:style w:type="paragraph" w:styleId="Prilozhenie">
    <w:name w:val="Prilozhenie"/>
    <w:basedOn w:val="MainText"/>
    <w:next w:val="MainText"/>
    <w:qFormat/>
    <w:pPr>
      <w:spacing w:before="0" w:after="170"/>
      <w:jc w:val="end"/>
    </w:pPr>
    <w:rPr/>
  </w:style>
  <w:style w:type="paragraph" w:styleId="Ostatki">
    <w:name w:val="Ostatki"/>
    <w:basedOn w:val="Tablica"/>
    <w:next w:val="Tablica"/>
    <w:qFormat/>
    <w:pPr>
      <w:tabs>
        <w:tab w:val="clear" w:pos="720"/>
        <w:tab w:val="center" w:pos="850" w:leader="none"/>
        <w:tab w:val="center" w:pos="2551" w:leader="none"/>
        <w:tab w:val="center" w:pos="4252" w:leader="none"/>
        <w:tab w:val="center" w:pos="5953" w:leader="none"/>
        <w:tab w:val="center" w:pos="7824" w:leader="none"/>
      </w:tabs>
      <w:spacing w:before="0" w:after="113"/>
    </w:pPr>
    <w:rPr/>
  </w:style>
  <w:style w:type="paragraph" w:styleId="Tab0630-4days">
    <w:name w:val="Tab06+30-4days"/>
    <w:qFormat/>
    <w:pPr>
      <w:keepNext w:val="true"/>
      <w:keepLines/>
      <w:widowControl/>
      <w:pBdr>
        <w:top w:val="single" w:sz="12" w:space="0" w:color="000000"/>
      </w:pBdr>
      <w:tabs>
        <w:tab w:val="clear" w:pos="720"/>
        <w:tab w:val="right" w:pos="794" w:leader="none"/>
        <w:tab w:val="right" w:pos="2098" w:leader="none"/>
        <w:tab w:val="right" w:pos="3430" w:leader="none"/>
        <w:tab w:val="right" w:pos="4819" w:leader="none"/>
        <w:tab w:val="right" w:pos="6123" w:leader="none"/>
        <w:tab w:val="right" w:pos="7313" w:leader="none"/>
        <w:tab w:val="decimal" w:pos="8192" w:leader="none"/>
      </w:tabs>
      <w:overflowPunct w:val="false"/>
      <w:autoSpaceDE w:val="false"/>
      <w:bidi w:val="0"/>
      <w:ind w:hanging="0" w:start="57" w:end="0"/>
      <w:textAlignment w:val="baseline"/>
    </w:pPr>
    <w:rPr>
      <w:rFonts w:ascii="PragmaticaC" w:hAnsi="PragmaticaC" w:eastAsia="Times New Roman" w:cs="PragmaticaC"/>
      <w:color w:val="auto"/>
      <w:sz w:val="18"/>
      <w:szCs w:val="20"/>
      <w:lang w:val="en-US" w:bidi="ar-SA" w:eastAsia="zh-CN"/>
    </w:rPr>
  </w:style>
  <w:style w:type="paragraph" w:styleId="Tab06-4days">
    <w:name w:val="Tab06-4days"/>
    <w:basedOn w:val="Tab006"/>
    <w:next w:val="Tab006"/>
    <w:qFormat/>
    <w:pPr>
      <w:tabs>
        <w:tab w:val="clear" w:pos="1956"/>
        <w:tab w:val="clear" w:pos="2976"/>
        <w:tab w:val="clear" w:pos="4082"/>
        <w:tab w:val="clear" w:pos="5131"/>
        <w:tab w:val="clear" w:pos="6293"/>
        <w:tab w:val="clear" w:pos="7398"/>
        <w:tab w:val="right" w:pos="2098" w:leader="none"/>
        <w:tab w:val="right" w:pos="3430" w:leader="none"/>
        <w:tab w:val="right" w:pos="4819" w:leader="none"/>
        <w:tab w:val="right" w:pos="6123" w:leader="none"/>
        <w:tab w:val="right" w:pos="7313" w:leader="none"/>
      </w:tabs>
    </w:pPr>
    <w:rPr/>
  </w:style>
  <w:style w:type="paragraph" w:styleId="BulletsMain">
    <w:name w:val="BulletsMain"/>
    <w:basedOn w:val="MainText"/>
    <w:next w:val="MainText"/>
    <w:qFormat/>
    <w:pPr>
      <w:tabs>
        <w:tab w:val="clear" w:pos="720"/>
        <w:tab w:val="left" w:pos="567" w:leader="none"/>
      </w:tabs>
      <w:ind w:hanging="567" w:start="567" w:end="0"/>
    </w:pPr>
    <w:rPr/>
  </w:style>
  <w:style w:type="paragraph" w:styleId="Material">
    <w:name w:val="Material"/>
    <w:qFormat/>
    <w:pPr>
      <w:widowControl/>
      <w:overflowPunct w:val="false"/>
      <w:autoSpaceDE w:val="false"/>
      <w:bidi w:val="0"/>
      <w:spacing w:lineRule="atLeast" w:line="220"/>
      <w:jc w:val="end"/>
      <w:textAlignment w:val="baseline"/>
    </w:pPr>
    <w:rPr>
      <w:rFonts w:ascii="PragmaticaC" w:hAnsi="PragmaticaC" w:eastAsia="Times New Roman" w:cs="PragmaticaC"/>
      <w:color w:val="000000"/>
      <w:sz w:val="16"/>
      <w:szCs w:val="20"/>
      <w:lang w:val="en-US" w:bidi="ar-SA" w:eastAsia="zh-CN"/>
    </w:rPr>
  </w:style>
  <w:style w:type="paragraph" w:styleId="Miacr-4-clean">
    <w:name w:val="Miacr-4-clean"/>
    <w:basedOn w:val="Tab0061kol"/>
    <w:next w:val="Tab006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style>
  <w:style w:type="paragraph" w:styleId="Miacr-4">
    <w:name w:val="Miacr-4"/>
    <w:basedOn w:val="Tab006301kol"/>
    <w:next w:val="Tab00630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color w:val="000000"/>
    </w:rPr>
  </w:style>
  <w:style w:type="paragraph" w:styleId="Tab03430-4days">
    <w:name w:val="Tab034+30%-4days"/>
    <w:basedOn w:val="Tab03430"/>
    <w:next w:val="Tab03430"/>
    <w:qFormat/>
    <w:pPr>
      <w:tabs>
        <w:tab w:val="clear" w:pos="3572"/>
        <w:tab w:val="clear" w:pos="4706"/>
        <w:tab w:val="clear" w:pos="5839"/>
        <w:tab w:val="clear" w:pos="6973"/>
        <w:tab w:val="clear" w:pos="8107"/>
        <w:tab w:val="decimal" w:pos="3713" w:leader="none"/>
        <w:tab w:val="decimal" w:pos="5159" w:leader="none"/>
        <w:tab w:val="decimal" w:pos="6576" w:leader="none"/>
        <w:tab w:val="decimal" w:pos="7909" w:leader="none"/>
      </w:tabs>
    </w:pPr>
    <w:rPr/>
  </w:style>
  <w:style w:type="paragraph" w:styleId="Tab034-4days">
    <w:name w:val="Tab034-4days"/>
    <w:basedOn w:val="Tab034"/>
    <w:next w:val="Tab034"/>
    <w:qFormat/>
    <w:pPr>
      <w:tabs>
        <w:tab w:val="clear" w:pos="3572"/>
        <w:tab w:val="clear" w:pos="4706"/>
        <w:tab w:val="clear" w:pos="5839"/>
        <w:tab w:val="clear" w:pos="6973"/>
        <w:tab w:val="clear" w:pos="8107"/>
        <w:tab w:val="decimal" w:pos="3713" w:leader="none"/>
        <w:tab w:val="decimal" w:pos="5159" w:leader="none"/>
        <w:tab w:val="decimal" w:pos="6576" w:leader="none"/>
        <w:tab w:val="decimal" w:pos="7909" w:leader="none"/>
      </w:tabs>
    </w:pPr>
    <w:rPr/>
  </w:style>
  <w:style w:type="paragraph" w:styleId="Reestr">
    <w:name w:val="Reestr"/>
    <w:basedOn w:val="Tablica"/>
    <w:qFormat/>
    <w:pPr>
      <w:keepNext w:val="false"/>
      <w:tabs>
        <w:tab w:val="clear" w:pos="720"/>
        <w:tab w:val="center" w:pos="283" w:leader="none"/>
        <w:tab w:val="left" w:pos="709" w:leader="none"/>
        <w:tab w:val="center" w:pos="4706" w:leader="none"/>
        <w:tab w:val="right" w:pos="5981" w:leader="none"/>
        <w:tab w:val="decimal" w:pos="6973" w:leader="none"/>
        <w:tab w:val="right" w:pos="8617" w:leader="none"/>
      </w:tabs>
      <w:spacing w:before="28" w:after="0"/>
    </w:pPr>
    <w:rPr/>
  </w:style>
  <w:style w:type="paragraph" w:styleId="ReestrName">
    <w:name w:val="Reestr Name"/>
    <w:basedOn w:val="Tablica"/>
    <w:qFormat/>
    <w:pPr>
      <w:keepNext w:val="false"/>
      <w:pBdr>
        <w:top w:val="single" w:sz="12" w:space="0" w:color="000000"/>
        <w:bottom w:val="single" w:sz="2" w:space="0" w:color="000000"/>
      </w:pBdr>
      <w:spacing w:before="0" w:after="57"/>
      <w:jc w:val="center"/>
    </w:pPr>
    <w:rPr>
      <w:b/>
    </w:rPr>
  </w:style>
  <w:style w:type="paragraph" w:styleId="ReestrUnderlined">
    <w:name w:val="Reestr Underlined"/>
    <w:basedOn w:val="Reestr"/>
    <w:next w:val="Reestr"/>
    <w:qFormat/>
    <w:pPr>
      <w:pBdr>
        <w:bottom w:val="single" w:sz="2" w:space="0" w:color="000000"/>
      </w:pBdr>
    </w:pPr>
    <w:rPr/>
  </w:style>
  <w:style w:type="paragraph" w:styleId="ReestrHoriz">
    <w:name w:val="Reestr Horiz"/>
    <w:basedOn w:val="Tablica"/>
    <w:qFormat/>
    <w:pPr>
      <w:keepNext w:val="false"/>
      <w:tabs>
        <w:tab w:val="clear" w:pos="720"/>
        <w:tab w:val="center" w:pos="283" w:leader="none"/>
        <w:tab w:val="left" w:pos="709" w:leader="none"/>
        <w:tab w:val="left" w:pos="6406" w:leader="none"/>
        <w:tab w:val="right" w:pos="9734" w:leader="none"/>
        <w:tab w:val="decimal" w:pos="10658" w:leader="none"/>
        <w:tab w:val="center" w:pos="11735" w:leader="none"/>
        <w:tab w:val="right" w:pos="13776" w:leader="none"/>
      </w:tabs>
      <w:spacing w:before="28" w:after="0"/>
    </w:pPr>
    <w:rPr/>
  </w:style>
  <w:style w:type="paragraph" w:styleId="ReestrHorizUnderlined">
    <w:name w:val="Reestr Horiz Underlined"/>
    <w:basedOn w:val="ReestrHoriz"/>
    <w:next w:val="ReestrHoriz"/>
    <w:qFormat/>
    <w:pPr>
      <w:pBdr>
        <w:bottom w:val="single" w:sz="2" w:space="0" w:color="000000"/>
      </w:pBdr>
    </w:pPr>
    <w:rPr/>
  </w:style>
  <w:style w:type="paragraph" w:styleId="Reestr-MainText">
    <w:name w:val="Reestr-MainText"/>
    <w:basedOn w:val="MainText"/>
    <w:next w:val="MainText"/>
    <w:qFormat/>
    <w:pPr>
      <w:spacing w:before="170" w:after="113"/>
    </w:pPr>
    <w:rPr/>
  </w:style>
  <w:style w:type="paragraph" w:styleId="ReestrDop">
    <w:name w:val="Reestr Dop"/>
    <w:basedOn w:val="Reestr"/>
    <w:qFormat/>
    <w:pPr>
      <w:tabs>
        <w:tab w:val="clear" w:pos="4706"/>
        <w:tab w:val="clear" w:pos="5981"/>
        <w:tab w:val="clear" w:pos="6973"/>
        <w:tab w:val="left" w:pos="4620" w:leader="none"/>
      </w:tabs>
    </w:pPr>
    <w:rPr/>
  </w:style>
  <w:style w:type="paragraph" w:styleId="ReestrDopHead">
    <w:name w:val="Reestr Dop Head"/>
    <w:basedOn w:val="ReestrDop"/>
    <w:next w:val="ReestrDop"/>
    <w:qFormat/>
    <w:pPr>
      <w:pBdr>
        <w:bottom w:val="single" w:sz="2" w:space="0" w:color="000000"/>
      </w:pBdr>
      <w:tabs>
        <w:tab w:val="clear" w:pos="709"/>
        <w:tab w:val="clear" w:pos="4620"/>
        <w:tab w:val="clear" w:pos="8617"/>
        <w:tab w:val="center" w:pos="2523" w:leader="none"/>
        <w:tab w:val="center" w:pos="6208" w:leader="none"/>
        <w:tab w:val="center" w:pos="8328" w:leader="none"/>
      </w:tabs>
    </w:pPr>
    <w:rPr/>
  </w:style>
  <w:style w:type="paragraph" w:styleId="ReestrDopUnderlined">
    <w:name w:val="Reestr Dop Underlined"/>
    <w:basedOn w:val="ReestrDop"/>
    <w:next w:val="ReestrDop"/>
    <w:qFormat/>
    <w:pPr>
      <w:pBdr>
        <w:bottom w:val="single" w:sz="2" w:space="0" w:color="000000"/>
      </w:pBdr>
    </w:pPr>
    <w:rPr/>
  </w:style>
  <w:style w:type="paragraph" w:styleId="MainText-BezOtstupa">
    <w:name w:val="MainText-BezOtstupa"/>
    <w:basedOn w:val="MainText"/>
    <w:next w:val="MainText"/>
    <w:qFormat/>
    <w:pPr>
      <w:ind w:hanging="0" w:start="0" w:end="0"/>
    </w:pPr>
    <w:rPr/>
  </w:style>
  <w:style w:type="paragraph" w:styleId="MZagolovok">
    <w:name w:val="MZagolovok"/>
    <w:qFormat/>
    <w:pPr>
      <w:widowControl/>
      <w:overflowPunct w:val="false"/>
      <w:autoSpaceDE w:val="false"/>
      <w:bidi w:val="0"/>
      <w:spacing w:before="170" w:after="227"/>
      <w:textAlignment w:val="baseline"/>
    </w:pPr>
    <w:rPr>
      <w:rFonts w:ascii="PragmaticaCondC" w:hAnsi="PragmaticaCondC" w:eastAsia="Times New Roman" w:cs="PragmaticaCondC"/>
      <w:b/>
      <w:color w:val="0000FF"/>
      <w:sz w:val="24"/>
      <w:szCs w:val="20"/>
      <w:lang w:val="en-US" w:bidi="ar-SA" w:eastAsia="zh-CN"/>
    </w:rPr>
  </w:style>
  <w:style w:type="paragraph" w:styleId="Ramka-s">
    <w:name w:val="Ramka-s"/>
    <w:basedOn w:val="MainText"/>
    <w:next w:val="MainText"/>
    <w:qFormat/>
    <w:pPr>
      <w:ind w:hanging="0" w:start="113" w:end="113"/>
    </w:pPr>
    <w:rPr>
      <w:i/>
    </w:rPr>
  </w:style>
  <w:style w:type="paragraph" w:styleId="Registered">
    <w:name w:val="Registered"/>
    <w:basedOn w:val="Tablica"/>
    <w:next w:val="Tablica"/>
    <w:qFormat/>
    <w:pPr>
      <w:pBdr>
        <w:bottom w:val="single" w:sz="2" w:space="0" w:color="000000"/>
      </w:pBdr>
      <w:tabs>
        <w:tab w:val="clear" w:pos="720"/>
        <w:tab w:val="right" w:pos="6803" w:leader="none"/>
      </w:tabs>
      <w:spacing w:before="85" w:after="0"/>
      <w:ind w:hanging="0" w:start="567" w:end="57"/>
    </w:pPr>
    <w:rPr/>
  </w:style>
  <w:style w:type="paragraph" w:styleId="Tab9">
    <w:name w:val="Tab9"/>
    <w:basedOn w:val="Tab009"/>
    <w:next w:val="Tab009"/>
    <w:qFormat/>
    <w:pPr>
      <w:tabs>
        <w:tab w:val="clear" w:pos="2494"/>
        <w:tab w:val="clear" w:pos="3628"/>
        <w:tab w:val="clear" w:pos="4876"/>
        <w:tab w:val="clear" w:pos="6123"/>
        <w:tab w:val="clear" w:pos="7483"/>
        <w:tab w:val="center" w:pos="2608" w:leader="none"/>
        <w:tab w:val="center" w:pos="4365" w:leader="none"/>
        <w:tab w:val="center" w:pos="6066" w:leader="none"/>
        <w:tab w:val="center" w:pos="7710" w:leader="none"/>
      </w:tabs>
    </w:pPr>
    <w:rPr/>
  </w:style>
  <w:style w:type="paragraph" w:styleId="Tab930">
    <w:name w:val="Tab9+30%"/>
    <w:basedOn w:val="Tab00930"/>
    <w:next w:val="Tab00930"/>
    <w:qFormat/>
    <w:pPr>
      <w:tabs>
        <w:tab w:val="clear" w:pos="2494"/>
        <w:tab w:val="clear" w:pos="3628"/>
        <w:tab w:val="clear" w:pos="4876"/>
        <w:tab w:val="clear" w:pos="6123"/>
        <w:tab w:val="clear" w:pos="7483"/>
        <w:tab w:val="center" w:pos="2608" w:leader="none"/>
        <w:tab w:val="center" w:pos="4365" w:leader="none"/>
        <w:tab w:val="center" w:pos="6066" w:leader="none"/>
        <w:tab w:val="center" w:pos="7710" w:leader="none"/>
      </w:tabs>
    </w:pPr>
    <w:rPr/>
  </w:style>
  <w:style w:type="paragraph" w:styleId="1-60">
    <w:name w:val="1-60"/>
    <w:basedOn w:val="Tablica"/>
    <w:next w:val="Tablica"/>
    <w:qFormat/>
    <w:pPr>
      <w:keepNext w:val="false"/>
      <w:pBdr>
        <w:top w:val="single" w:sz="12" w:space="0" w:color="000000"/>
      </w:pBdr>
      <w:tabs>
        <w:tab w:val="clear" w:pos="720"/>
        <w:tab w:val="left" w:pos="113" w:leader="none"/>
        <w:tab w:val="left" w:pos="425" w:leader="none"/>
        <w:tab w:val="center" w:pos="8249" w:leader="none"/>
      </w:tabs>
      <w:ind w:hanging="0" w:start="0" w:end="0"/>
    </w:pPr>
    <w:rPr>
      <w:b/>
    </w:rPr>
  </w:style>
  <w:style w:type="paragraph" w:styleId="Tablica-30">
    <w:name w:val="Tablica-30"/>
    <w:basedOn w:val="1-60"/>
    <w:qFormat/>
    <w:pPr/>
    <w:rPr>
      <w:b w:val="false"/>
    </w:rPr>
  </w:style>
  <w:style w:type="paragraph" w:styleId="32">
    <w:name w:val="3"/>
    <w:basedOn w:val="Tablica"/>
    <w:next w:val="Tablica"/>
    <w:qFormat/>
    <w:pPr>
      <w:keepNext w:val="false"/>
      <w:pBdr>
        <w:bottom w:val="single" w:sz="2" w:space="0" w:color="000000"/>
      </w:pBdr>
      <w:tabs>
        <w:tab w:val="clear" w:pos="720"/>
        <w:tab w:val="right" w:pos="340" w:leader="none"/>
        <w:tab w:val="left" w:pos="425" w:leader="none"/>
        <w:tab w:val="center" w:pos="8249" w:leader="none"/>
      </w:tabs>
      <w:spacing w:before="57" w:after="0"/>
      <w:ind w:hanging="0" w:start="0" w:end="0"/>
    </w:pPr>
    <w:rPr>
      <w:b/>
    </w:rPr>
  </w:style>
  <w:style w:type="paragraph" w:styleId="360">
    <w:name w:val="3+60"/>
    <w:basedOn w:val="32"/>
    <w:qFormat/>
    <w:pPr>
      <w:pBdr>
        <w:top w:val="single" w:sz="12" w:space="0" w:color="000000"/>
        <w:bottom w:val="nil"/>
      </w:pBdr>
      <w:spacing w:before="0" w:after="0"/>
    </w:pPr>
    <w:rPr/>
  </w:style>
  <w:style w:type="paragraph" w:styleId="390">
    <w:name w:val="3+90"/>
    <w:basedOn w:val="360"/>
    <w:next w:val="360"/>
    <w:qFormat/>
    <w:pPr/>
    <w:rPr/>
  </w:style>
  <w:style w:type="paragraph" w:styleId="Spravka30">
    <w:name w:val="Spravka+30"/>
    <w:basedOn w:val="Tablica"/>
    <w:next w:val="Tablica"/>
    <w:qFormat/>
    <w:pPr>
      <w:keepNext w:val="false"/>
      <w:pBdr>
        <w:top w:val="single" w:sz="12" w:space="0" w:color="000000"/>
      </w:pBdr>
      <w:tabs>
        <w:tab w:val="clear" w:pos="720"/>
        <w:tab w:val="left" w:pos="283" w:leader="none"/>
        <w:tab w:val="center" w:pos="3969" w:leader="none"/>
        <w:tab w:val="center" w:pos="4989" w:leader="none"/>
        <w:tab w:val="center" w:pos="5811" w:leader="none"/>
        <w:tab w:val="center" w:pos="6661" w:leader="none"/>
        <w:tab w:val="center" w:pos="7512" w:leader="none"/>
        <w:tab w:val="center" w:pos="8362" w:leader="none"/>
      </w:tabs>
      <w:ind w:hanging="0" w:start="0" w:end="0"/>
    </w:pPr>
    <w:rPr>
      <w:caps/>
    </w:rPr>
  </w:style>
  <w:style w:type="paragraph" w:styleId="Spravka">
    <w:name w:val="Spravka"/>
    <w:basedOn w:val="Tablica"/>
    <w:next w:val="Tablica"/>
    <w:qFormat/>
    <w:pPr>
      <w:keepNext w:val="false"/>
      <w:tabs>
        <w:tab w:val="clear" w:pos="720"/>
        <w:tab w:val="left" w:pos="283" w:leader="none"/>
        <w:tab w:val="center" w:pos="3969" w:leader="none"/>
        <w:tab w:val="center" w:pos="4989" w:leader="none"/>
        <w:tab w:val="center" w:pos="5811" w:leader="none"/>
        <w:tab w:val="center" w:pos="6661" w:leader="none"/>
        <w:tab w:val="center" w:pos="7512" w:leader="none"/>
        <w:tab w:val="center" w:pos="8362" w:leader="none"/>
      </w:tabs>
      <w:ind w:hanging="0" w:start="0" w:end="0"/>
    </w:pPr>
    <w:rPr/>
  </w:style>
  <w:style w:type="paragraph" w:styleId="Bashka">
    <w:name w:val="Bashka"/>
    <w:basedOn w:val="Tablica"/>
    <w:next w:val="Tablica"/>
    <w:qFormat/>
    <w:pPr>
      <w:jc w:val="center"/>
    </w:pPr>
    <w:rPr/>
  </w:style>
  <w:style w:type="paragraph" w:styleId="Moneti">
    <w:name w:val="Moneti"/>
    <w:basedOn w:val="Tablica"/>
    <w:next w:val="Tablica"/>
    <w:qFormat/>
    <w:pPr>
      <w:pBdr>
        <w:top w:val="single" w:sz="2" w:space="0" w:color="000000"/>
      </w:pBdr>
      <w:tabs>
        <w:tab w:val="clear" w:pos="720"/>
        <w:tab w:val="decimal" w:pos="3458" w:leader="none"/>
        <w:tab w:val="decimal" w:pos="4819" w:leader="none"/>
        <w:tab w:val="decimal" w:pos="6066" w:leader="none"/>
        <w:tab w:val="decimal" w:pos="7483" w:leader="none"/>
        <w:tab w:val="decimal" w:pos="9241" w:leader="none"/>
      </w:tabs>
    </w:pPr>
    <w:rPr/>
  </w:style>
  <w:style w:type="paragraph" w:styleId="2-30">
    <w:name w:val="2-30"/>
    <w:basedOn w:val="Tab01630"/>
    <w:next w:val="Tab01630"/>
    <w:qFormat/>
    <w:pPr>
      <w:tabs>
        <w:tab w:val="clear" w:pos="4025"/>
        <w:tab w:val="clear" w:pos="5272"/>
        <w:tab w:val="clear" w:pos="6576"/>
        <w:tab w:val="clear" w:pos="7994"/>
        <w:tab w:val="decimal" w:pos="4309" w:leader="none"/>
        <w:tab w:val="decimal" w:pos="6293" w:leader="none"/>
        <w:tab w:val="decimal" w:pos="8050" w:leader="none"/>
      </w:tabs>
    </w:pPr>
    <w:rPr>
      <w:color w:val="000000"/>
    </w:rPr>
  </w:style>
  <w:style w:type="paragraph" w:styleId="2-0">
    <w:name w:val="2-0"/>
    <w:basedOn w:val="Tab016"/>
    <w:next w:val="Tab016"/>
    <w:qFormat/>
    <w:pPr>
      <w:tabs>
        <w:tab w:val="clear" w:pos="4025"/>
        <w:tab w:val="clear" w:pos="5272"/>
        <w:tab w:val="clear" w:pos="6576"/>
        <w:tab w:val="clear" w:pos="7994"/>
        <w:tab w:val="decimal" w:pos="4309" w:leader="none"/>
        <w:tab w:val="decimal" w:pos="6293" w:leader="none"/>
        <w:tab w:val="decimal" w:pos="8050" w:leader="none"/>
      </w:tabs>
    </w:pPr>
    <w:rPr/>
  </w:style>
  <w:style w:type="paragraph" w:styleId="2-60">
    <w:name w:val="2-60"/>
    <w:basedOn w:val="Tab01660"/>
    <w:next w:val="Tab01660"/>
    <w:qFormat/>
    <w:pPr>
      <w:tabs>
        <w:tab w:val="clear" w:pos="4025"/>
        <w:tab w:val="clear" w:pos="5272"/>
        <w:tab w:val="clear" w:pos="6576"/>
        <w:tab w:val="clear" w:pos="7994"/>
        <w:tab w:val="decimal" w:pos="4309" w:leader="none"/>
        <w:tab w:val="decimal" w:pos="6293" w:leader="none"/>
        <w:tab w:val="decimal" w:pos="8050" w:leader="none"/>
      </w:tabs>
    </w:pPr>
    <w:rPr/>
  </w:style>
  <w:style w:type="paragraph" w:styleId="TelePodpis">
    <w:name w:val="TelePodpis"/>
    <w:basedOn w:val="Podpis"/>
    <w:next w:val="Podpis"/>
    <w:qFormat/>
    <w:pPr>
      <w:tabs>
        <w:tab w:val="clear" w:pos="4195"/>
        <w:tab w:val="right" w:pos="8787" w:leader="none"/>
      </w:tabs>
      <w:spacing w:before="227" w:after="0"/>
    </w:pPr>
    <w:rPr/>
  </w:style>
  <w:style w:type="paragraph" w:styleId="TeleNomer">
    <w:name w:val="TeleNomer"/>
    <w:basedOn w:val="MainText"/>
    <w:next w:val="MainText"/>
    <w:qFormat/>
    <w:pPr>
      <w:tabs>
        <w:tab w:val="clear" w:pos="720"/>
        <w:tab w:val="center" w:pos="4728" w:leader="none"/>
        <w:tab w:val="right" w:pos="8787" w:leader="none"/>
      </w:tabs>
    </w:pPr>
    <w:rPr/>
  </w:style>
  <w:style w:type="paragraph" w:styleId="111">
    <w:name w:val="111"/>
    <w:basedOn w:val="Tablica"/>
    <w:next w:val="Tablica"/>
    <w:qFormat/>
    <w:pPr>
      <w:tabs>
        <w:tab w:val="clear" w:pos="720"/>
        <w:tab w:val="left" w:pos="3118" w:leader="none"/>
        <w:tab w:val="left" w:pos="3742" w:leader="none"/>
        <w:tab w:val="left" w:pos="5386" w:leader="none"/>
        <w:tab w:val="left" w:pos="5783" w:leader="none"/>
        <w:tab w:val="left" w:pos="6746" w:leader="none"/>
        <w:tab w:val="right" w:pos="8561" w:leader="none"/>
      </w:tabs>
    </w:pPr>
    <w:rPr/>
  </w:style>
  <w:style w:type="paragraph" w:styleId="Publications">
    <w:name w:val="Publications"/>
    <w:basedOn w:val="Tablica"/>
    <w:next w:val="Tablica"/>
    <w:qFormat/>
    <w:pPr>
      <w:pBdr>
        <w:bottom w:val="single" w:sz="2" w:space="0" w:color="000000"/>
      </w:pBdr>
      <w:tabs>
        <w:tab w:val="clear" w:pos="720"/>
        <w:tab w:val="center" w:pos="340" w:leader="none"/>
        <w:tab w:val="right" w:pos="1417" w:leader="none"/>
        <w:tab w:val="left" w:pos="1701" w:leader="none"/>
        <w:tab w:val="right" w:pos="8674" w:leader="none"/>
      </w:tabs>
      <w:spacing w:before="57" w:after="0"/>
      <w:ind w:hanging="1701" w:start="1701" w:end="57"/>
    </w:pPr>
    <w:rPr/>
  </w:style>
  <w:style w:type="paragraph" w:styleId="Style42">
    <w:name w:val="!!!"/>
    <w:basedOn w:val="Glavnyi"/>
    <w:next w:val="Glavnyi"/>
    <w:qFormat/>
    <w:pPr>
      <w:spacing w:before="57" w:after="0"/>
    </w:pPr>
    <w:rPr>
      <w:color w:val="000000"/>
      <w:sz w:val="24"/>
    </w:rPr>
  </w:style>
  <w:style w:type="paragraph" w:styleId="PublishedShapka">
    <w:name w:val="PublishedShapka"/>
    <w:basedOn w:val="Publications"/>
    <w:next w:val="Publications"/>
    <w:qFormat/>
    <w:pPr>
      <w:tabs>
        <w:tab w:val="clear" w:pos="340"/>
        <w:tab w:val="clear" w:pos="1417"/>
        <w:tab w:val="clear" w:pos="1701"/>
        <w:tab w:val="clear" w:pos="8674"/>
        <w:tab w:val="center" w:pos="3969" w:leader="none"/>
        <w:tab w:val="center" w:pos="8334" w:leader="none"/>
      </w:tabs>
    </w:pPr>
    <w:rPr/>
  </w:style>
  <w:style w:type="paragraph" w:styleId="Published">
    <w:name w:val="Published"/>
    <w:basedOn w:val="Publications"/>
    <w:next w:val="Publications"/>
    <w:qFormat/>
    <w:pPr>
      <w:tabs>
        <w:tab w:val="clear" w:pos="340"/>
        <w:tab w:val="clear" w:pos="1417"/>
        <w:tab w:val="clear" w:pos="1701"/>
      </w:tabs>
      <w:ind w:hanging="0" w:start="113" w:end="57"/>
    </w:pPr>
    <w:rPr/>
  </w:style>
  <w:style w:type="paragraph" w:styleId="P2-1center">
    <w:name w:val="P2-1center"/>
    <w:basedOn w:val="Tablica"/>
    <w:qFormat/>
    <w:pPr>
      <w:tabs>
        <w:tab w:val="clear" w:pos="720"/>
        <w:tab w:val="center" w:pos="255" w:leader="none"/>
        <w:tab w:val="center" w:pos="850" w:leader="none"/>
        <w:tab w:val="center" w:pos="3260" w:leader="none"/>
        <w:tab w:val="center" w:pos="5839" w:leader="none"/>
        <w:tab w:val="center" w:pos="7087" w:leader="none"/>
        <w:tab w:val="center" w:pos="8220" w:leader="none"/>
      </w:tabs>
      <w:ind w:hanging="0" w:start="0" w:end="0"/>
    </w:pPr>
    <w:rPr/>
  </w:style>
  <w:style w:type="paragraph" w:styleId="25-Head">
    <w:name w:val="25-Head"/>
    <w:basedOn w:val="P2-1center"/>
    <w:qFormat/>
    <w:pPr>
      <w:pBdr>
        <w:bottom w:val="single" w:sz="2" w:space="0" w:color="000000"/>
      </w:pBdr>
      <w:tabs>
        <w:tab w:val="clear" w:pos="255"/>
        <w:tab w:val="clear" w:pos="850"/>
        <w:tab w:val="clear" w:pos="3260"/>
        <w:tab w:val="clear" w:pos="5839"/>
        <w:tab w:val="clear" w:pos="7087"/>
        <w:tab w:val="center" w:pos="340" w:leader="none"/>
        <w:tab w:val="center" w:pos="3061" w:leader="none"/>
        <w:tab w:val="center" w:pos="5953" w:leader="none"/>
        <w:tab w:val="center" w:pos="7115" w:leader="none"/>
      </w:tabs>
      <w:spacing w:before="0" w:after="57"/>
    </w:pPr>
    <w:rPr/>
  </w:style>
  <w:style w:type="paragraph" w:styleId="25-Text">
    <w:name w:val="25-Text"/>
    <w:basedOn w:val="P2-1center"/>
    <w:qFormat/>
    <w:pPr>
      <w:pBdr>
        <w:bottom w:val="single" w:sz="2" w:space="0" w:color="000000"/>
      </w:pBdr>
      <w:tabs>
        <w:tab w:val="clear" w:pos="255"/>
        <w:tab w:val="clear" w:pos="850"/>
        <w:tab w:val="clear" w:pos="3260"/>
        <w:tab w:val="clear" w:pos="5839"/>
        <w:tab w:val="clear" w:pos="7087"/>
        <w:tab w:val="clear" w:pos="8220"/>
        <w:tab w:val="center" w:pos="340" w:leader="none"/>
        <w:tab w:val="left" w:pos="794" w:leader="none"/>
        <w:tab w:val="center" w:pos="5953" w:leader="none"/>
        <w:tab w:val="right" w:pos="7483" w:leader="none"/>
        <w:tab w:val="right" w:pos="8589" w:leader="none"/>
      </w:tabs>
      <w:spacing w:before="0" w:after="57"/>
    </w:pPr>
    <w:rPr/>
  </w:style>
  <w:style w:type="paragraph" w:styleId="25-Text-Line">
    <w:name w:val="25-Text-Line"/>
    <w:basedOn w:val="25-Text"/>
    <w:next w:val="25-Text"/>
    <w:qFormat/>
    <w:pPr>
      <w:pBdr>
        <w:bottom w:val="nil"/>
      </w:pBdr>
    </w:pPr>
    <w:rPr/>
  </w:style>
  <w:style w:type="paragraph" w:styleId="Style43">
    <w:name w:val="!!"/>
    <w:basedOn w:val="Normal"/>
    <w:next w:val="Normal"/>
    <w:qFormat/>
    <w:pPr>
      <w:keepNext w:val="true"/>
      <w:keepLines/>
      <w:pBdr>
        <w:top w:val="single" w:sz="12" w:space="0" w:color="000000"/>
      </w:pBdr>
      <w:tabs>
        <w:tab w:val="clear" w:pos="720"/>
        <w:tab w:val="left" w:pos="1134" w:leader="none"/>
        <w:tab w:val="decimal" w:pos="3827" w:leader="none"/>
        <w:tab w:val="decimal" w:pos="4961" w:leader="none"/>
        <w:tab w:val="decimal" w:pos="6094" w:leader="none"/>
        <w:tab w:val="decimal" w:pos="7200" w:leader="none"/>
        <w:tab w:val="decimal" w:pos="8306" w:leader="none"/>
      </w:tabs>
      <w:ind w:hanging="0" w:start="57" w:end="57"/>
    </w:pPr>
    <w:rPr>
      <w:rFonts w:ascii="PragmaticaC" w:hAnsi="PragmaticaC" w:cs="PragmaticaC"/>
      <w:sz w:val="18"/>
      <w:lang w:val="en-US"/>
    </w:rPr>
  </w:style>
  <w:style w:type="paragraph" w:styleId="Style44">
    <w:name w:val="!!!!"/>
    <w:basedOn w:val="Style43"/>
    <w:next w:val="Style43"/>
    <w:qFormat/>
    <w:pPr>
      <w:pBdr>
        <w:top w:val="nil"/>
      </w:pBdr>
    </w:pPr>
    <w:rPr/>
  </w:style>
  <w:style w:type="paragraph" w:styleId="MZagolvok-Center">
    <w:name w:val="MZagolvok - Center"/>
    <w:basedOn w:val="MZagolovok"/>
    <w:next w:val="MZagolovok"/>
    <w:qFormat/>
    <w:pPr>
      <w:spacing w:before="170" w:after="113"/>
      <w:jc w:val="center"/>
    </w:pPr>
    <w:rPr/>
  </w:style>
  <w:style w:type="paragraph" w:styleId="MainText-BezOtstupa1">
    <w:name w:val="MainText - BezOtstupa"/>
    <w:basedOn w:val="MainText"/>
    <w:next w:val="MainText"/>
    <w:qFormat/>
    <w:pPr>
      <w:ind w:hanging="0" w:start="0" w:end="0"/>
    </w:pPr>
    <w:rPr/>
  </w:style>
  <w:style w:type="paragraph" w:styleId="MGlava">
    <w:name w:val="MGlava"/>
    <w:basedOn w:val="MainText"/>
    <w:next w:val="MainText"/>
    <w:qFormat/>
    <w:pPr>
      <w:keepNext w:val="true"/>
      <w:spacing w:before="113" w:after="113"/>
      <w:ind w:hanging="0" w:start="567" w:end="0"/>
      <w:jc w:val="start"/>
    </w:pPr>
    <w:rPr>
      <w:b/>
    </w:rPr>
  </w:style>
  <w:style w:type="paragraph" w:styleId="MainText-13">
    <w:name w:val="MainText - 13"/>
    <w:basedOn w:val="MainText"/>
    <w:next w:val="MainText"/>
    <w:qFormat/>
    <w:pPr>
      <w:ind w:firstLine="737" w:start="0" w:end="0"/>
    </w:pPr>
    <w:rPr/>
  </w:style>
  <w:style w:type="paragraph" w:styleId="MainText-DebetKredit">
    <w:name w:val="MainText - DebetKredit"/>
    <w:basedOn w:val="MainText"/>
    <w:next w:val="MainText"/>
    <w:qFormat/>
    <w:pPr>
      <w:tabs>
        <w:tab w:val="clear" w:pos="720"/>
        <w:tab w:val="left" w:pos="737" w:leader="none"/>
      </w:tabs>
      <w:ind w:hanging="737" w:start="737" w:end="0"/>
    </w:pPr>
    <w:rPr/>
  </w:style>
  <w:style w:type="paragraph" w:styleId="MData">
    <w:name w:val="MData"/>
    <w:basedOn w:val="MainText"/>
    <w:qFormat/>
    <w:pPr>
      <w:tabs>
        <w:tab w:val="clear" w:pos="720"/>
        <w:tab w:val="right" w:pos="8787" w:leader="none"/>
      </w:tabs>
      <w:ind w:hanging="0" w:start="0" w:end="0"/>
      <w:jc w:val="start"/>
    </w:pPr>
    <w:rPr/>
  </w:style>
  <w:style w:type="paragraph" w:styleId="MacroTab30">
    <w:name w:val="MacroTab_30"/>
    <w:basedOn w:val="Normal"/>
    <w:next w:val="Normal"/>
    <w:qFormat/>
    <w:pPr>
      <w:keepNext w:val="true"/>
      <w:keepLines/>
      <w:pBdr>
        <w:top w:val="single" w:sz="12" w:space="0" w:color="000000"/>
      </w:pBdr>
      <w:tabs>
        <w:tab w:val="clear" w:pos="720"/>
        <w:tab w:val="left" w:pos="1134" w:leader="none"/>
        <w:tab w:val="decimal" w:pos="3827" w:leader="none"/>
        <w:tab w:val="decimal" w:pos="4961" w:leader="none"/>
        <w:tab w:val="decimal" w:pos="6094" w:leader="none"/>
        <w:tab w:val="decimal" w:pos="7200" w:leader="none"/>
        <w:tab w:val="decimal" w:pos="8306" w:leader="none"/>
      </w:tabs>
      <w:ind w:hanging="0" w:start="57" w:end="57"/>
    </w:pPr>
    <w:rPr>
      <w:rFonts w:ascii="PragmaticaC" w:hAnsi="PragmaticaC" w:cs="PragmaticaC"/>
      <w:sz w:val="18"/>
      <w:lang w:val="en-US"/>
    </w:rPr>
  </w:style>
  <w:style w:type="paragraph" w:styleId="MacroTab0">
    <w:name w:val="MacroTab_0"/>
    <w:basedOn w:val="MacroTab30"/>
    <w:next w:val="MacroTab30"/>
    <w:qFormat/>
    <w:pPr>
      <w:pBdr>
        <w:top w:val="nil"/>
      </w:pBdr>
    </w:pPr>
    <w:rPr/>
  </w:style>
  <w:style w:type="paragraph" w:styleId="MacroTab60">
    <w:name w:val="MacroTab_60"/>
    <w:basedOn w:val="Normal"/>
    <w:next w:val="Normal"/>
    <w:qFormat/>
    <w:pPr>
      <w:keepNext w:val="true"/>
      <w:keepLines/>
      <w:pBdr>
        <w:top w:val="single" w:sz="12" w:space="0" w:color="000000"/>
      </w:pBdr>
      <w:tabs>
        <w:tab w:val="clear" w:pos="720"/>
        <w:tab w:val="left" w:pos="1134" w:leader="none"/>
        <w:tab w:val="decimal" w:pos="3827" w:leader="none"/>
        <w:tab w:val="decimal" w:pos="4961" w:leader="none"/>
        <w:tab w:val="decimal" w:pos="6094" w:leader="none"/>
        <w:tab w:val="decimal" w:pos="7200" w:leader="none"/>
        <w:tab w:val="decimal" w:pos="8306" w:leader="none"/>
      </w:tabs>
      <w:ind w:hanging="0" w:start="57" w:end="57"/>
    </w:pPr>
    <w:rPr>
      <w:rFonts w:ascii="PragmaticaC" w:hAnsi="PragmaticaC" w:cs="PragmaticaC"/>
      <w:sz w:val="18"/>
      <w:lang w:val="en-US"/>
    </w:rPr>
  </w:style>
  <w:style w:type="paragraph" w:styleId="26-TextBold">
    <w:name w:val="26-TextBold"/>
    <w:basedOn w:val="25-Text"/>
    <w:next w:val="25-Text"/>
    <w:qFormat/>
    <w:pPr>
      <w:pBdr>
        <w:bottom w:val="nil"/>
      </w:pBdr>
      <w:tabs>
        <w:tab w:val="clear" w:pos="340"/>
        <w:tab w:val="clear" w:pos="794"/>
        <w:tab w:val="clear" w:pos="5953"/>
        <w:tab w:val="clear" w:pos="7483"/>
        <w:tab w:val="clear" w:pos="8589"/>
        <w:tab w:val="left" w:pos="397" w:leader="none"/>
        <w:tab w:val="left" w:pos="7824" w:leader="none"/>
      </w:tabs>
      <w:spacing w:before="0" w:after="198"/>
      <w:ind w:hanging="397" w:start="397" w:end="1134"/>
    </w:pPr>
    <w:rPr>
      <w:b/>
    </w:rPr>
  </w:style>
  <w:style w:type="paragraph" w:styleId="26-text">
    <w:name w:val="26-text"/>
    <w:basedOn w:val="25-Text"/>
    <w:next w:val="25-Text"/>
    <w:qFormat/>
    <w:pPr>
      <w:tabs>
        <w:tab w:val="clear" w:pos="340"/>
        <w:tab w:val="clear" w:pos="794"/>
        <w:tab w:val="clear" w:pos="5953"/>
        <w:tab w:val="clear" w:pos="7483"/>
        <w:tab w:val="clear" w:pos="8589"/>
        <w:tab w:val="right" w:pos="224" w:leader="none"/>
        <w:tab w:val="left" w:pos="397" w:leader="none"/>
        <w:tab w:val="left" w:pos="7824" w:leader="none"/>
      </w:tabs>
      <w:ind w:hanging="397" w:start="397" w:end="0"/>
    </w:pPr>
    <w:rPr/>
  </w:style>
  <w:style w:type="paragraph" w:styleId="Style45">
    <w:name w:val="!!!!!!"/>
    <w:basedOn w:val="Tablica"/>
    <w:next w:val="Tablica"/>
    <w:qFormat/>
    <w:pPr>
      <w:pBdr>
        <w:bottom w:val="single" w:sz="2" w:space="0" w:color="000000"/>
      </w:pBdr>
      <w:tabs>
        <w:tab w:val="clear" w:pos="720"/>
        <w:tab w:val="right" w:pos="8504" w:leader="none"/>
      </w:tabs>
      <w:spacing w:before="57" w:after="0"/>
      <w:ind w:hanging="0" w:start="283" w:end="0"/>
    </w:pPr>
    <w:rPr/>
  </w:style>
  <w:style w:type="paragraph" w:styleId="Mlist">
    <w:name w:val="Mlist"/>
    <w:basedOn w:val="BulletsMain"/>
    <w:next w:val="BulletsMain"/>
    <w:qFormat/>
    <w:pPr>
      <w:tabs>
        <w:tab w:val="clear" w:pos="567"/>
        <w:tab w:val="left" w:pos="283" w:leader="none"/>
        <w:tab w:val="right" w:pos="8504" w:leader="none"/>
      </w:tabs>
      <w:ind w:hanging="283" w:start="283" w:end="283"/>
      <w:jc w:val="start"/>
    </w:pPr>
    <w:rPr/>
  </w:style>
  <w:style w:type="paragraph" w:styleId="Sprav2">
    <w:name w:val="Sprav2"/>
    <w:basedOn w:val="Spravka"/>
    <w:next w:val="Spravka"/>
    <w:qFormat/>
    <w:pPr>
      <w:tabs>
        <w:tab w:val="clear" w:pos="3969"/>
        <w:tab w:val="center" w:pos="3345" w:leader="none"/>
        <w:tab w:val="center" w:pos="4167" w:leader="none"/>
      </w:tabs>
      <w:ind w:hanging="0" w:start="113" w:end="0"/>
    </w:pPr>
    <w:rPr/>
  </w:style>
  <w:style w:type="paragraph" w:styleId="27-text">
    <w:name w:val="27-text"/>
    <w:basedOn w:val="25-Text"/>
    <w:next w:val="25-Text"/>
    <w:qFormat/>
    <w:pPr>
      <w:tabs>
        <w:tab w:val="clear" w:pos="340"/>
        <w:tab w:val="clear" w:pos="794"/>
        <w:tab w:val="clear" w:pos="5953"/>
        <w:tab w:val="clear" w:pos="7483"/>
        <w:tab w:val="clear" w:pos="8589"/>
        <w:tab w:val="right" w:pos="312" w:leader="none"/>
        <w:tab w:val="left" w:pos="567" w:leader="none"/>
        <w:tab w:val="center" w:pos="7115" w:leader="none"/>
        <w:tab w:val="decimal" w:pos="8277" w:leader="none"/>
      </w:tabs>
    </w:pPr>
    <w:rPr/>
  </w:style>
  <w:style w:type="paragraph" w:styleId="MZZagolovok">
    <w:name w:val="MZZagolovok"/>
    <w:qFormat/>
    <w:pPr>
      <w:widowControl/>
      <w:overflowPunct w:val="false"/>
      <w:autoSpaceDE w:val="false"/>
      <w:bidi w:val="0"/>
      <w:spacing w:before="170" w:after="113"/>
      <w:textAlignment w:val="baseline"/>
    </w:pPr>
    <w:rPr>
      <w:rFonts w:ascii="PragmaticaCondC" w:hAnsi="PragmaticaCondC" w:eastAsia="Times New Roman" w:cs="PragmaticaCondC"/>
      <w:b/>
      <w:color w:val="0000FF"/>
      <w:sz w:val="24"/>
      <w:szCs w:val="20"/>
      <w:lang w:val="en-US" w:bidi="ar-SA" w:eastAsia="zh-CN"/>
    </w:rPr>
  </w:style>
  <w:style w:type="paragraph" w:styleId="MainTextTab">
    <w:name w:val="MainText+Tab"/>
    <w:basedOn w:val="MainText"/>
    <w:next w:val="MainText"/>
    <w:qFormat/>
    <w:pPr>
      <w:tabs>
        <w:tab w:val="clear" w:pos="720"/>
        <w:tab w:val="right" w:pos="9923" w:leader="none"/>
      </w:tabs>
    </w:pPr>
    <w:rPr/>
  </w:style>
  <w:style w:type="paragraph" w:styleId="Spravka-Fond-Cyan">
    <w:name w:val="Spravka-Fond-Cyan"/>
    <w:basedOn w:val="Spravka30"/>
    <w:next w:val="Spravka30"/>
    <w:qFormat/>
    <w:pPr>
      <w:tabs>
        <w:tab w:val="clear" w:pos="3969"/>
        <w:tab w:val="clear" w:pos="4989"/>
        <w:tab w:val="clear" w:pos="5811"/>
        <w:tab w:val="clear" w:pos="6661"/>
        <w:tab w:val="clear" w:pos="7512"/>
        <w:tab w:val="clear" w:pos="8362"/>
        <w:tab w:val="center" w:pos="3742" w:leader="none"/>
        <w:tab w:val="center" w:pos="4819" w:leader="none"/>
        <w:tab w:val="center" w:pos="5953" w:leader="none"/>
        <w:tab w:val="center" w:pos="7143" w:leader="none"/>
        <w:tab w:val="center" w:pos="8277" w:leader="none"/>
      </w:tabs>
      <w:ind w:firstLine="283" w:start="0" w:end="0"/>
    </w:pPr>
    <w:rPr/>
  </w:style>
  <w:style w:type="paragraph" w:styleId="Spravka-Fond">
    <w:name w:val="Spravka-Fond"/>
    <w:basedOn w:val="Spravka"/>
    <w:next w:val="Spravka"/>
    <w:qFormat/>
    <w:pPr>
      <w:tabs>
        <w:tab w:val="clear" w:pos="3969"/>
        <w:tab w:val="clear" w:pos="4989"/>
        <w:tab w:val="clear" w:pos="5811"/>
        <w:tab w:val="clear" w:pos="6661"/>
        <w:tab w:val="clear" w:pos="7512"/>
        <w:tab w:val="clear" w:pos="8362"/>
        <w:tab w:val="center" w:pos="3742" w:leader="none"/>
        <w:tab w:val="center" w:pos="4819" w:leader="none"/>
        <w:tab w:val="center" w:pos="5953" w:leader="none"/>
        <w:tab w:val="center" w:pos="7143" w:leader="none"/>
        <w:tab w:val="center" w:pos="8277" w:leader="none"/>
      </w:tabs>
      <w:ind w:firstLine="283" w:start="0" w:end="0"/>
    </w:pPr>
    <w:rPr/>
  </w:style>
  <w:style w:type="paragraph" w:styleId="MainTextLine">
    <w:name w:val="MainText + Line"/>
    <w:basedOn w:val="MainText-DebetKredit"/>
    <w:next w:val="MainText-DebetKredit"/>
    <w:qFormat/>
    <w:pPr>
      <w:tabs>
        <w:tab w:val="clear" w:pos="737"/>
        <w:tab w:val="right" w:pos="8787" w:leader="underscore"/>
      </w:tabs>
      <w:ind w:hanging="737" w:start="737" w:end="1"/>
    </w:pPr>
    <w:rPr/>
  </w:style>
  <w:style w:type="paragraph" w:styleId="lineno">
    <w:name w:val="!!lineno"/>
    <w:basedOn w:val="26-text"/>
    <w:next w:val="26-text"/>
    <w:qFormat/>
    <w:pPr>
      <w:pBdr>
        <w:bottom w:val="nil"/>
      </w:pBdr>
      <w:tabs>
        <w:tab w:val="clear" w:pos="224"/>
        <w:tab w:val="clear" w:pos="397"/>
        <w:tab w:val="clear" w:pos="7824"/>
        <w:tab w:val="left" w:pos="113" w:leader="none"/>
        <w:tab w:val="left" w:pos="794" w:leader="none"/>
        <w:tab w:val="right" w:pos="8674" w:leader="none"/>
      </w:tabs>
    </w:pPr>
    <w:rPr/>
  </w:style>
  <w:style w:type="paragraph" w:styleId="linenohead">
    <w:name w:val="!!linenohead"/>
    <w:basedOn w:val="26-text"/>
    <w:next w:val="26-text"/>
    <w:qFormat/>
    <w:pPr>
      <w:tabs>
        <w:tab w:val="clear" w:pos="224"/>
        <w:tab w:val="clear" w:pos="397"/>
        <w:tab w:val="clear" w:pos="7824"/>
        <w:tab w:val="center" w:pos="340" w:leader="none"/>
        <w:tab w:val="center" w:pos="4365" w:leader="none"/>
        <w:tab w:val="center" w:pos="8220" w:leader="none"/>
      </w:tabs>
    </w:pPr>
    <w:rPr>
      <w:b/>
    </w:rPr>
  </w:style>
  <w:style w:type="paragraph" w:styleId="Line">
    <w:name w:val="!!Line"/>
    <w:basedOn w:val="26-text"/>
    <w:next w:val="26-text"/>
    <w:qFormat/>
    <w:pPr>
      <w:tabs>
        <w:tab w:val="clear" w:pos="224"/>
        <w:tab w:val="clear" w:pos="397"/>
        <w:tab w:val="clear" w:pos="7824"/>
        <w:tab w:val="left" w:pos="113" w:leader="none"/>
        <w:tab w:val="left" w:pos="794" w:leader="none"/>
        <w:tab w:val="right" w:pos="8674" w:leader="none"/>
      </w:tabs>
    </w:pPr>
    <w:rPr/>
  </w:style>
  <w:style w:type="paragraph" w:styleId="00">
    <w:name w:val="!0!0"/>
    <w:basedOn w:val="Line"/>
    <w:next w:val="Line"/>
    <w:qFormat/>
    <w:pPr>
      <w:tabs>
        <w:tab w:val="clear" w:pos="113"/>
        <w:tab w:val="clear" w:pos="794"/>
        <w:tab w:val="clear" w:pos="8674"/>
        <w:tab w:val="right" w:pos="8561" w:leader="none"/>
      </w:tabs>
      <w:spacing w:before="0" w:after="0"/>
      <w:ind w:hanging="0" w:start="283" w:end="0"/>
    </w:pPr>
    <w:rPr/>
  </w:style>
  <w:style w:type="paragraph" w:styleId="11">
    <w:name w:val="!1!1"/>
    <w:basedOn w:val="Line"/>
    <w:next w:val="Line"/>
    <w:qFormat/>
    <w:pPr>
      <w:tabs>
        <w:tab w:val="clear" w:pos="113"/>
        <w:tab w:val="clear" w:pos="794"/>
        <w:tab w:val="clear" w:pos="8674"/>
        <w:tab w:val="right" w:pos="8561" w:leader="none"/>
      </w:tabs>
      <w:ind w:hanging="0" w:start="283" w:end="0"/>
    </w:pPr>
    <w:rPr/>
  </w:style>
  <w:style w:type="paragraph" w:styleId="Tab0000">
    <w:name w:val="Tab0000"/>
    <w:basedOn w:val="26-text"/>
    <w:next w:val="26-text"/>
    <w:qFormat/>
    <w:pPr>
      <w:tabs>
        <w:tab w:val="clear" w:pos="224"/>
        <w:tab w:val="clear" w:pos="397"/>
        <w:tab w:val="clear" w:pos="7824"/>
        <w:tab w:val="right" w:pos="2494" w:leader="none"/>
        <w:tab w:val="right" w:pos="3798" w:leader="none"/>
        <w:tab w:val="right" w:pos="5272" w:leader="none"/>
        <w:tab w:val="right" w:pos="7257" w:leader="none"/>
        <w:tab w:val="right" w:pos="8561" w:leader="none"/>
      </w:tabs>
      <w:ind w:hanging="0" w:start="283" w:end="0"/>
    </w:pPr>
    <w:rPr/>
  </w:style>
  <w:style w:type="paragraph" w:styleId="Podpis2">
    <w:name w:val="Podpis2"/>
    <w:basedOn w:val="Podpis"/>
    <w:next w:val="Podpis"/>
    <w:qFormat/>
    <w:pPr>
      <w:tabs>
        <w:tab w:val="clear" w:pos="4195"/>
        <w:tab w:val="left" w:pos="5102" w:leader="none"/>
      </w:tabs>
      <w:spacing w:before="454" w:after="0"/>
    </w:pPr>
    <w:rPr/>
  </w:style>
  <w:style w:type="paragraph" w:styleId="A-main">
    <w:name w:val="A-main"/>
    <w:basedOn w:val="Tablica"/>
    <w:next w:val="Tablica"/>
    <w:qFormat/>
    <w:pPr>
      <w:keepNext w:val="false"/>
      <w:keepLines w:val="false"/>
      <w:tabs>
        <w:tab w:val="clear" w:pos="720"/>
        <w:tab w:val="center" w:pos="992" w:leader="none"/>
        <w:tab w:val="left" w:pos="1474" w:leader="none"/>
        <w:tab w:val="center" w:pos="7370" w:leader="none"/>
        <w:tab w:val="left" w:pos="7710" w:leader="none"/>
      </w:tabs>
      <w:ind w:hanging="0" w:start="0" w:end="0"/>
    </w:pPr>
    <w:rPr>
      <w:sz w:val="20"/>
    </w:rPr>
  </w:style>
  <w:style w:type="paragraph" w:styleId="C-3-main">
    <w:name w:val="C-3-main"/>
    <w:basedOn w:val="A-main"/>
    <w:next w:val="A-main"/>
    <w:qFormat/>
    <w:pPr>
      <w:tabs>
        <w:tab w:val="clear" w:pos="992"/>
        <w:tab w:val="clear" w:pos="7710"/>
        <w:tab w:val="left" w:pos="454" w:leader="none"/>
        <w:tab w:val="left" w:pos="7370" w:leader="none"/>
      </w:tabs>
    </w:pPr>
    <w:rPr/>
  </w:style>
  <w:style w:type="paragraph" w:styleId="C-4-main">
    <w:name w:val="C-4-main"/>
    <w:basedOn w:val="A-main"/>
    <w:next w:val="A-main"/>
    <w:qFormat/>
    <w:pPr>
      <w:tabs>
        <w:tab w:val="clear" w:pos="992"/>
        <w:tab w:val="left" w:pos="454" w:leader="none"/>
      </w:tabs>
    </w:pPr>
    <w:rPr/>
  </w:style>
  <w:style w:type="paragraph" w:styleId="B-main">
    <w:name w:val="B-main"/>
    <w:basedOn w:val="Tablica"/>
    <w:next w:val="Tablica"/>
    <w:qFormat/>
    <w:pPr>
      <w:tabs>
        <w:tab w:val="clear" w:pos="720"/>
        <w:tab w:val="left" w:pos="1474" w:leader="none"/>
      </w:tabs>
      <w:ind w:hanging="1338" w:start="1474" w:end="1984"/>
    </w:pPr>
    <w:rPr>
      <w:b/>
      <w:sz w:val="20"/>
    </w:rPr>
  </w:style>
  <w:style w:type="paragraph" w:styleId="D-3-main">
    <w:name w:val="D-3-main"/>
    <w:basedOn w:val="B-main"/>
    <w:next w:val="B-main"/>
    <w:qFormat/>
    <w:pPr>
      <w:ind w:hanging="1015" w:start="1474" w:end="1984"/>
    </w:pPr>
    <w:rPr/>
  </w:style>
  <w:style w:type="paragraph" w:styleId="Zagolovok-Center">
    <w:name w:val="Zagolovok-Center"/>
    <w:basedOn w:val="Zagolovok"/>
    <w:next w:val="Zagolovok"/>
    <w:qFormat/>
    <w:pPr>
      <w:jc w:val="center"/>
    </w:pPr>
    <w:rPr>
      <w:color w:val="00FFFF"/>
    </w:rPr>
  </w:style>
  <w:style w:type="paragraph" w:styleId="Podzagolovok">
    <w:name w:val="Podzagolovok"/>
    <w:basedOn w:val="Zagolovok-Center"/>
    <w:qFormat/>
    <w:pPr>
      <w:spacing w:before="0" w:after="283"/>
    </w:pPr>
    <w:rPr>
      <w:rFonts w:ascii="PragmaticaC" w:hAnsi="PragmaticaC" w:cs="PragmaticaC"/>
      <w:sz w:val="22"/>
    </w:rPr>
  </w:style>
  <w:style w:type="paragraph" w:styleId="Header5">
    <w:name w:val="Header5"/>
    <w:basedOn w:val="Tablica"/>
    <w:next w:val="Tablica"/>
    <w:qFormat/>
    <w:pPr>
      <w:keepNext w:val="false"/>
      <w:keepLines w:val="false"/>
      <w:tabs>
        <w:tab w:val="clear" w:pos="720"/>
        <w:tab w:val="center" w:pos="283" w:leader="none"/>
        <w:tab w:val="center" w:pos="992" w:leader="none"/>
        <w:tab w:val="center" w:pos="4252" w:leader="none"/>
        <w:tab w:val="center" w:pos="7370" w:leader="none"/>
        <w:tab w:val="center" w:pos="8220" w:leader="none"/>
      </w:tabs>
      <w:ind w:hanging="0" w:start="0" w:end="0"/>
    </w:pPr>
    <w:rPr>
      <w:sz w:val="20"/>
    </w:rPr>
  </w:style>
  <w:style w:type="paragraph" w:styleId="MainTabulators">
    <w:name w:val="MainTabulators"/>
    <w:basedOn w:val="MainText"/>
    <w:next w:val="MainText"/>
    <w:qFormat/>
    <w:pPr>
      <w:tabs>
        <w:tab w:val="clear" w:pos="720"/>
        <w:tab w:val="right" w:pos="8232" w:leader="none"/>
      </w:tabs>
      <w:ind w:hanging="0" w:start="567" w:end="0"/>
      <w:jc w:val="start"/>
    </w:pPr>
    <w:rPr/>
  </w:style>
  <w:style w:type="paragraph" w:styleId="1234567">
    <w:name w:val="1234567"/>
    <w:basedOn w:val="25-Text"/>
    <w:next w:val="25-Text"/>
    <w:qFormat/>
    <w:pPr>
      <w:tabs>
        <w:tab w:val="clear" w:pos="340"/>
        <w:tab w:val="clear" w:pos="794"/>
        <w:tab w:val="clear" w:pos="5953"/>
        <w:tab w:val="clear" w:pos="7483"/>
        <w:tab w:val="clear" w:pos="8589"/>
        <w:tab w:val="right" w:pos="8674" w:leader="none"/>
      </w:tabs>
      <w:ind w:hanging="0" w:start="170" w:end="0"/>
    </w:pPr>
    <w:rPr/>
  </w:style>
  <w:style w:type="paragraph" w:styleId="MainTextThreeCol">
    <w:name w:val="MainTextThreeCol"/>
    <w:basedOn w:val="MainText-BezOtstupa1"/>
    <w:next w:val="MainText-BezOtstupa1"/>
    <w:qFormat/>
    <w:pPr>
      <w:tabs>
        <w:tab w:val="clear" w:pos="720"/>
        <w:tab w:val="left" w:pos="2551" w:leader="none"/>
        <w:tab w:val="left" w:pos="3969" w:leader="none"/>
      </w:tabs>
      <w:jc w:val="start"/>
    </w:pPr>
    <w:rPr/>
  </w:style>
  <w:style w:type="paragraph" w:styleId="BulletsInDebetCredit">
    <w:name w:val="BulletsInDebetCredit"/>
    <w:basedOn w:val="BulletsMain"/>
    <w:next w:val="BulletsMain"/>
    <w:qFormat/>
    <w:pPr>
      <w:tabs>
        <w:tab w:val="clear" w:pos="567"/>
        <w:tab w:val="left" w:pos="1134" w:leader="none"/>
      </w:tabs>
      <w:ind w:hanging="397" w:start="1134" w:end="0"/>
    </w:pPr>
    <w:rPr/>
  </w:style>
  <w:style w:type="paragraph" w:styleId="PrilZagolovok">
    <w:name w:val="PrilZagolovok"/>
    <w:qFormat/>
    <w:pPr>
      <w:widowControl/>
      <w:overflowPunct w:val="false"/>
      <w:autoSpaceDE w:val="false"/>
      <w:bidi w:val="0"/>
      <w:spacing w:before="113" w:after="113"/>
      <w:jc w:val="center"/>
      <w:textAlignment w:val="baseline"/>
    </w:pPr>
    <w:rPr>
      <w:rFonts w:ascii="PragmaticaCondC" w:hAnsi="PragmaticaCondC" w:eastAsia="Times New Roman" w:cs="PragmaticaCondC"/>
      <w:b/>
      <w:color w:val="0000FF"/>
      <w:sz w:val="24"/>
      <w:szCs w:val="20"/>
      <w:lang w:val="en-US" w:bidi="ar-SA" w:eastAsia="zh-CN"/>
    </w:rPr>
  </w:style>
  <w:style w:type="paragraph" w:styleId="112">
    <w:name w:val="!11!"/>
    <w:basedOn w:val="Normal"/>
    <w:next w:val="Normal"/>
    <w:qFormat/>
    <w:pPr>
      <w:keepLines/>
      <w:pBdr>
        <w:bottom w:val="single" w:sz="2" w:space="0" w:color="000000"/>
      </w:pBdr>
      <w:tabs>
        <w:tab w:val="clear" w:pos="720"/>
        <w:tab w:val="left" w:pos="85" w:leader="none"/>
        <w:tab w:val="left" w:pos="4309" w:leader="none"/>
        <w:tab w:val="center" w:pos="8702" w:leader="none"/>
        <w:tab w:val="right" w:pos="10176" w:leader="none"/>
        <w:tab w:val="center" w:pos="10913" w:leader="none"/>
        <w:tab w:val="center" w:pos="12076" w:leader="none"/>
        <w:tab w:val="left" w:pos="13294" w:leader="none"/>
      </w:tabs>
      <w:spacing w:before="53" w:after="0"/>
      <w:ind w:hanging="0" w:start="0" w:end="57"/>
    </w:pPr>
    <w:rPr>
      <w:rFonts w:ascii="PragmaticaC" w:hAnsi="PragmaticaC" w:cs="PragmaticaC"/>
      <w:color w:val="000000"/>
      <w:sz w:val="17"/>
      <w:lang w:val="en-US"/>
    </w:rPr>
  </w:style>
  <w:style w:type="paragraph" w:styleId="11Vert">
    <w:name w:val="11Vert"/>
    <w:basedOn w:val="112"/>
    <w:next w:val="112"/>
    <w:qFormat/>
    <w:pPr>
      <w:tabs>
        <w:tab w:val="clear" w:pos="85"/>
        <w:tab w:val="clear" w:pos="4309"/>
        <w:tab w:val="clear" w:pos="8702"/>
        <w:tab w:val="clear" w:pos="10176"/>
        <w:tab w:val="clear" w:pos="10913"/>
        <w:tab w:val="clear" w:pos="12076"/>
        <w:tab w:val="clear" w:pos="13294"/>
        <w:tab w:val="center" w:pos="164" w:leader="none"/>
        <w:tab w:val="left" w:pos="425" w:leader="none"/>
        <w:tab w:val="left" w:pos="3969" w:leader="none"/>
        <w:tab w:val="center" w:pos="9269" w:leader="none"/>
        <w:tab w:val="left" w:pos="9723" w:leader="none"/>
        <w:tab w:val="right" w:pos="13096" w:leader="none"/>
        <w:tab w:val="right" w:pos="14258" w:leader="none"/>
      </w:tabs>
    </w:pPr>
    <w:rPr/>
  </w:style>
  <w:style w:type="paragraph" w:styleId="StyleStyle">
    <w:name w:val="StyleStyle"/>
    <w:basedOn w:val="Normal"/>
    <w:next w:val="Normal"/>
    <w:qFormat/>
    <w:pPr>
      <w:keepLines/>
      <w:pBdr>
        <w:bottom w:val="single" w:sz="2" w:space="0" w:color="000000"/>
      </w:pBdr>
      <w:tabs>
        <w:tab w:val="clear" w:pos="720"/>
        <w:tab w:val="right" w:pos="340" w:leader="none"/>
        <w:tab w:val="left" w:pos="539" w:leader="none"/>
        <w:tab w:val="center" w:pos="3481" w:leader="none"/>
        <w:tab w:val="right" w:pos="4365" w:leader="none"/>
        <w:tab w:val="left" w:pos="4620" w:leader="none"/>
        <w:tab w:val="center" w:pos="7172" w:leader="none"/>
        <w:tab w:val="left" w:pos="7625" w:leader="none"/>
      </w:tabs>
      <w:spacing w:before="53" w:after="0"/>
      <w:ind w:hanging="0" w:start="0" w:end="57"/>
    </w:pPr>
    <w:rPr>
      <w:rFonts w:ascii="PragmaticaC" w:hAnsi="PragmaticaC" w:cs="PragmaticaC"/>
      <w:sz w:val="17"/>
      <w:lang w:val="en-US"/>
    </w:rPr>
  </w:style>
  <w:style w:type="paragraph" w:styleId="15">
    <w:name w:val="!15!"/>
    <w:basedOn w:val="StyleStyle"/>
    <w:next w:val="StyleStyle"/>
    <w:qFormat/>
    <w:pPr>
      <w:pBdr>
        <w:bottom w:val="nil"/>
      </w:pBdr>
      <w:tabs>
        <w:tab w:val="clear" w:pos="340"/>
        <w:tab w:val="clear" w:pos="539"/>
        <w:tab w:val="clear" w:pos="3481"/>
        <w:tab w:val="clear" w:pos="4365"/>
        <w:tab w:val="clear" w:pos="4620"/>
        <w:tab w:val="clear" w:pos="7172"/>
        <w:tab w:val="clear" w:pos="7625"/>
        <w:tab w:val="left" w:pos="130" w:leader="none"/>
        <w:tab w:val="left" w:pos="2750" w:leader="none"/>
        <w:tab w:val="center" w:pos="7058" w:leader="none"/>
        <w:tab w:val="center" w:pos="8192" w:leader="none"/>
        <w:tab w:val="center" w:pos="9326" w:leader="none"/>
        <w:tab w:val="center" w:pos="10431" w:leader="none"/>
        <w:tab w:val="left" w:pos="12416" w:leader="none"/>
      </w:tabs>
    </w:pPr>
    <w:rPr/>
  </w:style>
  <w:style w:type="paragraph" w:styleId="15Vert">
    <w:name w:val="15Vert"/>
    <w:basedOn w:val="15"/>
    <w:next w:val="15"/>
    <w:qFormat/>
    <w:pPr>
      <w:pBdr>
        <w:bottom w:val="single" w:sz="2" w:space="0" w:color="000000"/>
      </w:pBdr>
      <w:tabs>
        <w:tab w:val="clear" w:pos="130"/>
        <w:tab w:val="clear" w:pos="2750"/>
        <w:tab w:val="clear" w:pos="7058"/>
        <w:tab w:val="clear" w:pos="8192"/>
        <w:tab w:val="clear" w:pos="9326"/>
        <w:tab w:val="clear" w:pos="10431"/>
        <w:tab w:val="clear" w:pos="12416"/>
        <w:tab w:val="left" w:pos="85" w:leader="none"/>
        <w:tab w:val="left" w:pos="4309" w:leader="none"/>
        <w:tab w:val="center" w:pos="8702" w:leader="none"/>
        <w:tab w:val="right" w:pos="10176" w:leader="none"/>
        <w:tab w:val="center" w:pos="10913" w:leader="none"/>
        <w:tab w:val="center" w:pos="12076" w:leader="none"/>
        <w:tab w:val="left" w:pos="13294" w:leader="none"/>
      </w:tabs>
    </w:pPr>
    <w:rPr>
      <w:color w:val="000000"/>
    </w:rPr>
  </w:style>
  <w:style w:type="paragraph" w:styleId="1515Vert">
    <w:name w:val="1515Vert"/>
    <w:basedOn w:val="15"/>
    <w:next w:val="15"/>
    <w:qFormat/>
    <w:pPr>
      <w:pBdr>
        <w:bottom w:val="single" w:sz="2" w:space="0" w:color="000000"/>
      </w:pBdr>
      <w:tabs>
        <w:tab w:val="clear" w:pos="130"/>
        <w:tab w:val="clear" w:pos="2750"/>
        <w:tab w:val="clear" w:pos="7058"/>
        <w:tab w:val="clear" w:pos="8192"/>
        <w:tab w:val="clear" w:pos="9326"/>
        <w:tab w:val="clear" w:pos="10431"/>
        <w:tab w:val="clear" w:pos="12416"/>
        <w:tab w:val="right" w:pos="283" w:leader="none"/>
        <w:tab w:val="left" w:pos="340" w:leader="none"/>
        <w:tab w:val="center" w:pos="8617" w:leader="none"/>
        <w:tab w:val="center" w:pos="10998" w:leader="none"/>
        <w:tab w:val="center" w:pos="13323" w:leader="none"/>
      </w:tabs>
    </w:pPr>
    <w:rPr>
      <w:color w:val="000000"/>
    </w:rPr>
  </w:style>
  <w:style w:type="paragraph" w:styleId="Norman">
    <w:name w:val="Norman"/>
    <w:basedOn w:val="Normal"/>
    <w:next w:val="Normal"/>
    <w:qFormat/>
    <w:pPr>
      <w:jc w:val="center"/>
    </w:pPr>
    <w:rPr>
      <w:rFonts w:ascii="PragmaticaC" w:hAnsi="PragmaticaC" w:cs="PragmaticaC"/>
      <w:sz w:val="17"/>
      <w:lang w:val="en-US"/>
    </w:rPr>
  </w:style>
  <w:style w:type="paragraph" w:styleId="MainTextRightData">
    <w:name w:val="MainTextRightData"/>
    <w:basedOn w:val="MainText"/>
    <w:next w:val="MainText"/>
    <w:qFormat/>
    <w:pPr>
      <w:ind w:hanging="0" w:start="0" w:end="567"/>
      <w:jc w:val="end"/>
    </w:pPr>
    <w:rPr/>
  </w:style>
  <w:style w:type="paragraph" w:styleId="StySty">
    <w:name w:val="StySty"/>
    <w:basedOn w:val="StyleStyle"/>
    <w:next w:val="StyleStyle"/>
    <w:qFormat/>
    <w:pPr>
      <w:tabs>
        <w:tab w:val="clear" w:pos="4365"/>
        <w:tab w:val="clear" w:pos="4620"/>
        <w:tab w:val="clear" w:pos="7172"/>
        <w:tab w:val="right" w:pos="4450" w:leader="none"/>
        <w:tab w:val="left" w:pos="4535" w:leader="none"/>
        <w:tab w:val="center" w:pos="7143" w:leader="none"/>
      </w:tabs>
    </w:pPr>
    <w:rPr>
      <w:color w:val="000000"/>
    </w:rPr>
  </w:style>
  <w:style w:type="paragraph" w:styleId="12">
    <w:name w:val="?1"/>
    <w:basedOn w:val="25-Text"/>
    <w:next w:val="25-Text"/>
    <w:qFormat/>
    <w:pPr>
      <w:tabs>
        <w:tab w:val="clear" w:pos="340"/>
        <w:tab w:val="clear" w:pos="794"/>
        <w:tab w:val="clear" w:pos="5953"/>
        <w:tab w:val="clear" w:pos="7483"/>
        <w:tab w:val="clear" w:pos="8589"/>
        <w:tab w:val="right" w:pos="397" w:leader="none"/>
        <w:tab w:val="left" w:pos="850" w:leader="none"/>
        <w:tab w:val="center" w:pos="6066" w:leader="none"/>
        <w:tab w:val="center" w:pos="7994" w:leader="none"/>
      </w:tabs>
    </w:pPr>
    <w:rPr/>
  </w:style>
  <w:style w:type="paragraph" w:styleId="2noline">
    <w:name w:val="?2noline"/>
    <w:basedOn w:val="26-text"/>
    <w:next w:val="26-text"/>
    <w:qFormat/>
    <w:pPr>
      <w:pBdr>
        <w:bottom w:val="nil"/>
      </w:pBdr>
      <w:tabs>
        <w:tab w:val="clear" w:pos="224"/>
        <w:tab w:val="clear" w:pos="397"/>
        <w:tab w:val="clear" w:pos="7824"/>
        <w:tab w:val="left" w:pos="113" w:leader="none"/>
        <w:tab w:val="left" w:pos="794" w:leader="none"/>
        <w:tab w:val="right" w:pos="8674" w:leader="none"/>
      </w:tabs>
    </w:pPr>
    <w:rPr/>
  </w:style>
  <w:style w:type="paragraph" w:styleId="2line">
    <w:name w:val="?2line"/>
    <w:basedOn w:val="26-text"/>
    <w:next w:val="26-text"/>
    <w:qFormat/>
    <w:pPr>
      <w:tabs>
        <w:tab w:val="clear" w:pos="224"/>
        <w:tab w:val="clear" w:pos="397"/>
        <w:tab w:val="clear" w:pos="7824"/>
        <w:tab w:val="left" w:pos="113" w:leader="none"/>
        <w:tab w:val="left" w:pos="794" w:leader="none"/>
        <w:tab w:val="right" w:pos="8674" w:leader="none"/>
      </w:tabs>
    </w:pPr>
    <w:rPr/>
  </w:style>
  <w:style w:type="paragraph" w:styleId="3last">
    <w:name w:val="?3last"/>
    <w:basedOn w:val="11"/>
    <w:next w:val="11"/>
    <w:qFormat/>
    <w:pPr>
      <w:tabs>
        <w:tab w:val="clear" w:pos="8561"/>
        <w:tab w:val="right" w:pos="8277" w:leader="none"/>
      </w:tabs>
      <w:ind w:hanging="0" w:start="567" w:end="0"/>
    </w:pPr>
    <w:rPr/>
  </w:style>
  <w:style w:type="paragraph" w:styleId="9itogo">
    <w:name w:val="9itogo"/>
    <w:basedOn w:val="MainText-BezOtstupa1"/>
    <w:next w:val="MainText-BezOtstupa1"/>
    <w:qFormat/>
    <w:pPr>
      <w:pBdr>
        <w:top w:val="single" w:sz="2" w:space="0" w:color="000000"/>
      </w:pBdr>
      <w:tabs>
        <w:tab w:val="clear" w:pos="720"/>
        <w:tab w:val="right" w:pos="7370" w:leader="none"/>
        <w:tab w:val="right" w:pos="8504" w:leader="none"/>
      </w:tabs>
      <w:spacing w:before="57" w:after="0"/>
      <w:jc w:val="start"/>
    </w:pPr>
    <w:rPr/>
  </w:style>
  <w:style w:type="paragraph" w:styleId="9">
    <w:name w:val="9"/>
    <w:basedOn w:val="MainText-BezOtstupa1"/>
    <w:next w:val="MainText-BezOtstupa1"/>
    <w:qFormat/>
    <w:pPr>
      <w:tabs>
        <w:tab w:val="clear" w:pos="720"/>
        <w:tab w:val="right" w:pos="7370" w:leader="none"/>
        <w:tab w:val="right" w:pos="8504" w:leader="none"/>
      </w:tabs>
      <w:jc w:val="start"/>
    </w:pPr>
    <w:rPr/>
  </w:style>
  <w:style w:type="paragraph" w:styleId="14shadow">
    <w:name w:val="14shadow"/>
    <w:basedOn w:val="Spravka30"/>
    <w:next w:val="Spravka30"/>
    <w:qFormat/>
    <w:pPr>
      <w:tabs>
        <w:tab w:val="clear" w:pos="3969"/>
        <w:tab w:val="center" w:pos="3345" w:leader="none"/>
        <w:tab w:val="center" w:pos="4167" w:leader="none"/>
      </w:tabs>
      <w:ind w:hanging="0" w:start="113" w:end="0"/>
    </w:pPr>
    <w:rPr/>
  </w:style>
  <w:style w:type="paragraph" w:styleId="14">
    <w:name w:val="14"/>
    <w:qFormat/>
    <w:pPr>
      <w:keepLines/>
      <w:widowControl/>
      <w:tabs>
        <w:tab w:val="clear" w:pos="720"/>
        <w:tab w:val="left" w:pos="283" w:leader="none"/>
        <w:tab w:val="center" w:pos="3345" w:leader="none"/>
        <w:tab w:val="center" w:pos="4167" w:leader="none"/>
        <w:tab w:val="center" w:pos="4989" w:leader="none"/>
        <w:tab w:val="center" w:pos="5811" w:leader="none"/>
        <w:tab w:val="center" w:pos="6661" w:leader="none"/>
        <w:tab w:val="center" w:pos="7512" w:leader="none"/>
        <w:tab w:val="center" w:pos="8362" w:leader="none"/>
      </w:tabs>
      <w:overflowPunct w:val="false"/>
      <w:autoSpaceDE w:val="false"/>
      <w:bidi w:val="0"/>
      <w:ind w:hanging="0" w:start="113" w:end="0"/>
      <w:textAlignment w:val="baseline"/>
    </w:pPr>
    <w:rPr>
      <w:rFonts w:ascii="PragmaticaC" w:hAnsi="PragmaticaC" w:eastAsia="Times New Roman" w:cs="PragmaticaC"/>
      <w:color w:val="000000"/>
      <w:sz w:val="18"/>
      <w:szCs w:val="20"/>
      <w:lang w:val="en-US" w:bidi="ar-SA" w:eastAsia="zh-CN"/>
    </w:rPr>
  </w:style>
  <w:style w:type="paragraph" w:styleId="17">
    <w:name w:val="17"/>
    <w:basedOn w:val="25-Text"/>
    <w:next w:val="25-Text"/>
    <w:qFormat/>
    <w:pPr>
      <w:tabs>
        <w:tab w:val="clear" w:pos="340"/>
        <w:tab w:val="clear" w:pos="794"/>
        <w:tab w:val="clear" w:pos="5953"/>
        <w:tab w:val="clear" w:pos="7483"/>
        <w:tab w:val="clear" w:pos="8589"/>
        <w:tab w:val="right" w:pos="312" w:leader="none"/>
        <w:tab w:val="left" w:pos="567" w:leader="none"/>
        <w:tab w:val="center" w:pos="7115" w:leader="none"/>
        <w:tab w:val="decimal" w:pos="8277" w:leader="none"/>
      </w:tabs>
    </w:pPr>
    <w:rPr/>
  </w:style>
  <w:style w:type="paragraph" w:styleId="18">
    <w:name w:val="18"/>
    <w:basedOn w:val="27-text"/>
    <w:next w:val="27-text"/>
    <w:qFormat/>
    <w:pPr>
      <w:tabs>
        <w:tab w:val="clear" w:pos="567"/>
        <w:tab w:val="clear" w:pos="7115"/>
        <w:tab w:val="clear" w:pos="8277"/>
        <w:tab w:val="left" w:pos="539" w:leader="none"/>
        <w:tab w:val="center" w:pos="6860" w:leader="none"/>
        <w:tab w:val="left" w:pos="7427" w:leader="none"/>
      </w:tabs>
    </w:pPr>
    <w:rPr/>
  </w:style>
  <w:style w:type="paragraph" w:styleId="DKOtstup">
    <w:name w:val="DKOtstup"/>
    <w:basedOn w:val="25-Text"/>
    <w:next w:val="25-Text"/>
    <w:qFormat/>
    <w:pPr>
      <w:tabs>
        <w:tab w:val="clear" w:pos="340"/>
        <w:tab w:val="clear" w:pos="794"/>
        <w:tab w:val="clear" w:pos="5953"/>
        <w:tab w:val="clear" w:pos="7483"/>
        <w:tab w:val="clear" w:pos="8589"/>
      </w:tabs>
      <w:ind w:hanging="0" w:start="567" w:end="283"/>
      <w:jc w:val="end"/>
    </w:pPr>
    <w:rPr/>
  </w:style>
  <w:style w:type="paragraph" w:styleId="DK">
    <w:name w:val="DK"/>
    <w:basedOn w:val="25-Text"/>
    <w:next w:val="25-Text"/>
    <w:qFormat/>
    <w:pPr>
      <w:tabs>
        <w:tab w:val="clear" w:pos="340"/>
        <w:tab w:val="clear" w:pos="794"/>
        <w:tab w:val="clear" w:pos="5953"/>
        <w:tab w:val="clear" w:pos="7483"/>
        <w:tab w:val="clear" w:pos="8589"/>
      </w:tabs>
      <w:ind w:hanging="0" w:start="283" w:end="283"/>
      <w:jc w:val="end"/>
    </w:pPr>
    <w:rPr/>
  </w:style>
  <w:style w:type="paragraph" w:styleId="LikvidHead">
    <w:name w:val="LikvidHead"/>
    <w:basedOn w:val="Tablica"/>
    <w:next w:val="Tablica"/>
    <w:qFormat/>
    <w:pPr>
      <w:keepNext w:val="false"/>
      <w:pBdr>
        <w:bottom w:val="single" w:sz="2" w:space="0" w:color="000000"/>
      </w:pBdr>
      <w:tabs>
        <w:tab w:val="clear" w:pos="720"/>
        <w:tab w:val="center" w:pos="198" w:leader="none"/>
        <w:tab w:val="center" w:pos="1814" w:leader="none"/>
        <w:tab w:val="center" w:pos="3883" w:leader="none"/>
        <w:tab w:val="center" w:pos="5329" w:leader="none"/>
        <w:tab w:val="center" w:pos="6831" w:leader="none"/>
        <w:tab w:val="center" w:pos="10743" w:leader="none"/>
      </w:tabs>
      <w:spacing w:before="57" w:after="0"/>
      <w:ind w:hanging="0" w:start="0" w:end="57"/>
    </w:pPr>
    <w:rPr>
      <w:sz w:val="17"/>
    </w:rPr>
  </w:style>
  <w:style w:type="paragraph" w:styleId="LikvidBody">
    <w:name w:val="LikvidBody"/>
    <w:basedOn w:val="StySty"/>
    <w:next w:val="StySty"/>
    <w:qFormat/>
    <w:pPr>
      <w:tabs>
        <w:tab w:val="clear" w:pos="3481"/>
        <w:tab w:val="clear" w:pos="4450"/>
        <w:tab w:val="clear" w:pos="4535"/>
        <w:tab w:val="clear" w:pos="7143"/>
        <w:tab w:val="center" w:pos="3855" w:leader="none"/>
        <w:tab w:val="center" w:pos="5329" w:leader="none"/>
        <w:tab w:val="right" w:pos="7115" w:leader="none"/>
      </w:tabs>
    </w:pPr>
    <w:rPr/>
  </w:style>
  <w:style w:type="paragraph" w:styleId="Style46">
    <w:name w:val="??"/>
    <w:basedOn w:val="25-Text"/>
    <w:next w:val="25-Text"/>
    <w:qFormat/>
    <w:pPr>
      <w:pBdr>
        <w:bottom w:val="nil"/>
      </w:pBdr>
      <w:tabs>
        <w:tab w:val="clear" w:pos="794"/>
        <w:tab w:val="clear" w:pos="5953"/>
        <w:tab w:val="clear" w:pos="7483"/>
        <w:tab w:val="clear" w:pos="8589"/>
        <w:tab w:val="right" w:pos="340" w:leader="none"/>
        <w:tab w:val="left" w:pos="454" w:leader="none"/>
        <w:tab w:val="center" w:pos="7370" w:leader="none"/>
        <w:tab w:val="center" w:pos="10261" w:leader="none"/>
        <w:tab w:val="center" w:pos="13039" w:leader="none"/>
      </w:tabs>
    </w:pPr>
    <w:rPr/>
  </w:style>
  <w:style w:type="paragraph" w:styleId="Z30">
    <w:name w:val="Z+30%"/>
    <w:basedOn w:val="Tab006301kol"/>
    <w:next w:val="Tab00630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style>
  <w:style w:type="paragraph" w:styleId="Z">
    <w:name w:val="Z"/>
    <w:basedOn w:val="Tab0061kol"/>
    <w:next w:val="Tab006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style>
  <w:style w:type="paragraph" w:styleId="Inioaeno">
    <w:name w:val="Ini. oaeno"/>
    <w:qFormat/>
    <w:pPr>
      <w:widowControl/>
      <w:overflowPunct w:val="false"/>
      <w:autoSpaceDE w:val="false"/>
      <w:bidi w:val="0"/>
      <w:ind w:firstLine="567" w:start="0" w:end="0"/>
      <w:jc w:val="both"/>
      <w:textAlignment w:val="baseline"/>
    </w:pPr>
    <w:rPr>
      <w:rFonts w:ascii="Pragmatica" w:hAnsi="Pragmatica" w:eastAsia="Times New Roman" w:cs="Pragmatica"/>
      <w:color w:val="000000"/>
      <w:sz w:val="20"/>
      <w:szCs w:val="20"/>
      <w:lang w:val="en-US" w:bidi="ar-SA" w:eastAsia="zh-CN"/>
    </w:rPr>
  </w:style>
  <w:style w:type="paragraph" w:styleId="Style47">
    <w:name w:val="Обычный"/>
    <w:qFormat/>
    <w:pPr>
      <w:widowControl/>
      <w:overflowPunct w:val="false"/>
      <w:autoSpaceDE w:val="false"/>
      <w:bidi w:val="0"/>
      <w:textAlignment w:val="baseline"/>
    </w:pPr>
    <w:rPr>
      <w:rFonts w:ascii="Times New Roman" w:hAnsi="Times New Roman" w:eastAsia="Times New Roman" w:cs="Times New Roman"/>
      <w:color w:val="auto"/>
      <w:sz w:val="20"/>
      <w:szCs w:val="20"/>
      <w:lang w:bidi="ar-SA" w:val="ru-RU" w:eastAsia="zh-CN"/>
    </w:rPr>
  </w:style>
  <w:style w:type="paragraph" w:styleId="113">
    <w:name w:val="11"/>
    <w:qFormat/>
    <w:pPr>
      <w:widowControl/>
      <w:pBdr>
        <w:bottom w:val="single" w:sz="2" w:space="0" w:color="000000"/>
      </w:pBdr>
      <w:tabs>
        <w:tab w:val="clear" w:pos="720"/>
        <w:tab w:val="left" w:pos="6123" w:leader="none"/>
      </w:tabs>
      <w:overflowPunct w:val="false"/>
      <w:autoSpaceDE w:val="false"/>
      <w:bidi w:val="0"/>
      <w:ind w:hanging="0" w:start="567" w:end="0"/>
      <w:textAlignment w:val="baseline"/>
    </w:pPr>
    <w:rPr>
      <w:rFonts w:ascii="PragmaticaC" w:hAnsi="PragmaticaC" w:eastAsia="Times New Roman" w:cs="PragmaticaC"/>
      <w:color w:val="000000"/>
      <w:sz w:val="19"/>
      <w:szCs w:val="20"/>
      <w:lang w:val="en-US" w:bidi="ar-SA" w:eastAsia="zh-CN"/>
    </w:rPr>
  </w:style>
  <w:style w:type="paragraph" w:styleId="MZagolovok-LineAbove">
    <w:name w:val="MZagolovok-LineAbove"/>
    <w:basedOn w:val="MZagolvok-Center"/>
    <w:next w:val="MZagolvok-Center"/>
    <w:qFormat/>
    <w:pPr>
      <w:pBdr>
        <w:top w:val="single" w:sz="6" w:space="0" w:color="000000"/>
      </w:pBdr>
    </w:pPr>
    <w:rPr>
      <w:color w:val="00FFFF"/>
    </w:rPr>
  </w:style>
  <w:style w:type="paragraph" w:styleId="121">
    <w:name w:val="12"/>
    <w:basedOn w:val="StyleStyle"/>
    <w:next w:val="StyleStyle"/>
    <w:qFormat/>
    <w:pPr>
      <w:keepLines w:val="false"/>
      <w:tabs>
        <w:tab w:val="clear" w:pos="340"/>
        <w:tab w:val="clear" w:pos="4365"/>
        <w:tab w:val="clear" w:pos="4620"/>
        <w:tab w:val="clear" w:pos="7172"/>
        <w:tab w:val="clear" w:pos="7625"/>
        <w:tab w:val="right" w:pos="283" w:leader="none"/>
        <w:tab w:val="right" w:pos="4507" w:leader="none"/>
        <w:tab w:val="left" w:pos="4706" w:leader="none"/>
        <w:tab w:val="center" w:pos="7710" w:leader="none"/>
        <w:tab w:val="left" w:pos="8164" w:leader="none"/>
      </w:tabs>
    </w:pPr>
    <w:rPr>
      <w:color w:val="000000"/>
    </w:rPr>
  </w:style>
  <w:style w:type="paragraph" w:styleId="GU-Small">
    <w:name w:val="GU-Small"/>
    <w:basedOn w:val="MainText-BezOtstupa1"/>
    <w:next w:val="MainText-BezOtstupa1"/>
    <w:qFormat/>
    <w:pPr>
      <w:ind w:hanging="0" w:start="6520" w:end="0"/>
      <w:jc w:val="start"/>
    </w:pPr>
    <w:rPr/>
  </w:style>
  <w:style w:type="paragraph" w:styleId="GU-Big">
    <w:name w:val="GU-Big"/>
    <w:basedOn w:val="MainText-BezOtstupa1"/>
    <w:next w:val="MainText-BezOtstupa1"/>
    <w:qFormat/>
    <w:pPr>
      <w:ind w:hanging="0" w:start="6123" w:end="0"/>
      <w:jc w:val="start"/>
    </w:pPr>
    <w:rPr/>
  </w:style>
  <w:style w:type="paragraph" w:styleId="TwoLinesLeft">
    <w:name w:val="!!TwoLinesLeft"/>
    <w:basedOn w:val="Data"/>
    <w:next w:val="Data"/>
    <w:qFormat/>
    <w:pPr>
      <w:pBdr>
        <w:bottom w:val="single" w:sz="2" w:space="0" w:color="000000"/>
      </w:pBdr>
      <w:spacing w:before="85" w:after="0"/>
    </w:pPr>
    <w:rPr/>
  </w:style>
  <w:style w:type="paragraph" w:styleId="Forma">
    <w:name w:val="!!Forma"/>
    <w:basedOn w:val="Prilozhenie"/>
    <w:next w:val="Prilozhenie"/>
    <w:qFormat/>
    <w:pPr>
      <w:spacing w:before="0" w:after="0"/>
      <w:ind w:hanging="0" w:start="12387" w:end="0"/>
      <w:jc w:val="start"/>
    </w:pPr>
    <w:rPr/>
  </w:style>
  <w:style w:type="paragraph" w:styleId="1928">
    <w:name w:val="1928"/>
    <w:basedOn w:val="MainText-BezOtstupa1"/>
    <w:next w:val="MainText-BezOtstupa1"/>
    <w:qFormat/>
    <w:pPr>
      <w:tabs>
        <w:tab w:val="clear" w:pos="720"/>
        <w:tab w:val="center" w:pos="3855" w:leader="none"/>
        <w:tab w:val="center" w:pos="6236" w:leader="none"/>
        <w:tab w:val="left" w:pos="7948" w:leader="none"/>
      </w:tabs>
    </w:pPr>
    <w:rPr/>
  </w:style>
  <w:style w:type="paragraph" w:styleId="MGlavaCenter">
    <w:name w:val="MGlavaCenter"/>
    <w:qFormat/>
    <w:pPr>
      <w:keepNext w:val="true"/>
      <w:widowControl/>
      <w:overflowPunct w:val="false"/>
      <w:autoSpaceDE w:val="false"/>
      <w:bidi w:val="0"/>
      <w:spacing w:before="113" w:after="113"/>
      <w:jc w:val="center"/>
      <w:textAlignment w:val="baseline"/>
    </w:pPr>
    <w:rPr>
      <w:rFonts w:ascii="PragmaticaC" w:hAnsi="PragmaticaC" w:eastAsia="Times New Roman" w:cs="PragmaticaC"/>
      <w:b/>
      <w:color w:val="000000"/>
      <w:sz w:val="19"/>
      <w:szCs w:val="20"/>
      <w:lang w:val="en-US" w:bidi="ar-SA" w:eastAsia="zh-CN"/>
    </w:rPr>
  </w:style>
  <w:style w:type="paragraph" w:styleId="dkp2">
    <w:name w:val="dkp2"/>
    <w:basedOn w:val="25-Text"/>
    <w:next w:val="25-Text"/>
    <w:qFormat/>
    <w:pPr>
      <w:keepNext w:val="false"/>
      <w:keepLines w:val="false"/>
      <w:tabs>
        <w:tab w:val="clear" w:pos="340"/>
        <w:tab w:val="clear" w:pos="794"/>
        <w:tab w:val="clear" w:pos="5953"/>
        <w:tab w:val="clear" w:pos="7483"/>
        <w:tab w:val="clear" w:pos="8589"/>
      </w:tabs>
      <w:ind w:hanging="0" w:start="283" w:end="283"/>
      <w:jc w:val="end"/>
    </w:pPr>
    <w:rPr/>
  </w:style>
  <w:style w:type="paragraph" w:styleId="MzagolovkText">
    <w:name w:val="MzagolovkText"/>
    <w:basedOn w:val="MZagolovok"/>
    <w:next w:val="MZagolovok"/>
    <w:qFormat/>
    <w:pPr>
      <w:spacing w:before="113" w:after="113"/>
    </w:pPr>
    <w:rPr>
      <w:b w:val="false"/>
      <w:color w:val="000000"/>
    </w:rPr>
  </w:style>
  <w:style w:type="paragraph" w:styleId="BulletsNumbers">
    <w:name w:val="BulletsNumbers"/>
    <w:basedOn w:val="BulletsMain"/>
    <w:next w:val="BulletsMain"/>
    <w:qFormat/>
    <w:pPr>
      <w:tabs>
        <w:tab w:val="clear" w:pos="567"/>
        <w:tab w:val="left" w:pos="283" w:leader="none"/>
      </w:tabs>
      <w:ind w:hanging="283" w:start="283" w:end="0"/>
    </w:pPr>
    <w:rPr/>
  </w:style>
  <w:style w:type="paragraph" w:styleId="00000">
    <w:name w:val="00000"/>
    <w:basedOn w:val="MainText"/>
    <w:next w:val="MainText"/>
    <w:qFormat/>
    <w:pPr>
      <w:tabs>
        <w:tab w:val="clear" w:pos="720"/>
        <w:tab w:val="right" w:pos="567" w:leader="none"/>
        <w:tab w:val="left" w:pos="1247" w:leader="none"/>
        <w:tab w:val="center" w:pos="7087" w:leader="none"/>
      </w:tabs>
      <w:spacing w:before="17" w:after="0"/>
      <w:ind w:hanging="0" w:start="0" w:end="0"/>
      <w:jc w:val="start"/>
    </w:pPr>
    <w:rPr/>
  </w:style>
  <w:style w:type="paragraph" w:styleId="UTparts">
    <w:name w:val="U_Tparts"/>
    <w:basedOn w:val="MainText"/>
    <w:next w:val="MainText"/>
    <w:qFormat/>
    <w:pPr>
      <w:pBdr>
        <w:top w:val="single" w:sz="2" w:space="0" w:color="000000"/>
      </w:pBdr>
      <w:tabs>
        <w:tab w:val="clear" w:pos="720"/>
        <w:tab w:val="center" w:pos="425" w:leader="none"/>
        <w:tab w:val="center" w:pos="4394" w:leader="none"/>
        <w:tab w:val="center" w:pos="8362" w:leader="none"/>
      </w:tabs>
      <w:spacing w:before="113" w:after="57"/>
      <w:ind w:hanging="0" w:start="0" w:end="0"/>
      <w:jc w:val="start"/>
    </w:pPr>
    <w:rPr>
      <w:b/>
    </w:rPr>
  </w:style>
  <w:style w:type="paragraph" w:styleId="Utext">
    <w:name w:val="U_text"/>
    <w:basedOn w:val="MainText"/>
    <w:next w:val="MainText"/>
    <w:qFormat/>
    <w:pPr>
      <w:ind w:firstLine="283" w:start="964" w:end="964"/>
      <w:jc w:val="start"/>
    </w:pPr>
    <w:rPr/>
  </w:style>
  <w:style w:type="paragraph" w:styleId="Unumbers">
    <w:name w:val="U_numbers"/>
    <w:basedOn w:val="MainText"/>
    <w:next w:val="MainText"/>
    <w:qFormat/>
    <w:pPr>
      <w:tabs>
        <w:tab w:val="clear" w:pos="720"/>
        <w:tab w:val="right" w:pos="1247" w:leader="none"/>
        <w:tab w:val="left" w:pos="1304" w:leader="none"/>
      </w:tabs>
      <w:ind w:hanging="1304" w:start="1304" w:end="964"/>
      <w:jc w:val="start"/>
    </w:pPr>
    <w:rPr/>
  </w:style>
  <w:style w:type="paragraph" w:styleId="Inter2">
    <w:name w:val="Inter2"/>
    <w:basedOn w:val="17"/>
    <w:next w:val="17"/>
    <w:qFormat/>
    <w:pPr>
      <w:keepNext w:val="false"/>
      <w:keepLines w:val="false"/>
      <w:tabs>
        <w:tab w:val="clear" w:pos="8277"/>
        <w:tab w:val="decimal" w:pos="8504" w:leader="none"/>
      </w:tabs>
    </w:pPr>
    <w:rPr/>
  </w:style>
  <w:style w:type="paragraph" w:styleId="Inter3">
    <w:name w:val="Inter3"/>
    <w:basedOn w:val="17"/>
    <w:next w:val="17"/>
    <w:qFormat/>
    <w:pPr>
      <w:keepNext w:val="false"/>
      <w:keepLines w:val="false"/>
      <w:tabs>
        <w:tab w:val="clear" w:pos="8277"/>
        <w:tab w:val="decimal" w:pos="8504" w:leader="none"/>
      </w:tabs>
    </w:pPr>
    <w:rPr/>
  </w:style>
  <w:style w:type="paragraph" w:styleId="30-1">
    <w:name w:val="?30-1"/>
    <w:basedOn w:val="12"/>
    <w:qFormat/>
    <w:pPr>
      <w:keepNext w:val="false"/>
      <w:keepLines w:val="false"/>
      <w:pBdr>
        <w:bottom w:val="single" w:sz="2" w:space="0" w:color="000000"/>
      </w:pBdr>
      <w:spacing w:before="0" w:after="43"/>
    </w:pPr>
    <w:rPr/>
  </w:style>
  <w:style w:type="paragraph" w:styleId="MainTextTabCommRight">
    <w:name w:val="MainTextTabCommRight"/>
    <w:basedOn w:val="MainText"/>
    <w:next w:val="MainText"/>
    <w:qFormat/>
    <w:pPr>
      <w:tabs>
        <w:tab w:val="clear" w:pos="720"/>
        <w:tab w:val="right" w:pos="4224" w:leader="dot"/>
      </w:tabs>
    </w:pPr>
    <w:rPr/>
  </w:style>
  <w:style w:type="paragraph" w:styleId="Caaieiaie2">
    <w:name w:val="Caaieiaie 2"/>
    <w:basedOn w:val="Normal"/>
    <w:next w:val="Normal"/>
    <w:qFormat/>
    <w:pPr>
      <w:keepNext w:val="true"/>
      <w:spacing w:lineRule="atLeast" w:line="360" w:before="240" w:after="60"/>
      <w:ind w:firstLine="720" w:start="0" w:end="0"/>
      <w:jc w:val="both"/>
    </w:pPr>
    <w:rPr>
      <w:rFonts w:ascii="TimesET" w:hAnsi="TimesET" w:cs="TimesET"/>
      <w:b/>
      <w:color w:val="00FFFF"/>
      <w:sz w:val="24"/>
      <w:lang w:val="en-US"/>
    </w:rPr>
  </w:style>
  <w:style w:type="paragraph" w:styleId="SnoskaWithLineAbove">
    <w:name w:val="SnoskaWithLineAbove"/>
    <w:basedOn w:val="Snoska"/>
    <w:next w:val="Snoska"/>
    <w:qFormat/>
    <w:pPr>
      <w:pBdr>
        <w:top w:val="single" w:sz="2" w:space="0" w:color="000000"/>
      </w:pBdr>
    </w:pPr>
    <w:rPr/>
  </w:style>
  <w:style w:type="paragraph" w:styleId="Caaieiaie3">
    <w:name w:val="Caaieiaie 3"/>
    <w:basedOn w:val="Normal"/>
    <w:next w:val="Normal"/>
    <w:qFormat/>
    <w:pPr>
      <w:keepNext w:val="true"/>
      <w:spacing w:before="113" w:after="0"/>
      <w:jc w:val="center"/>
    </w:pPr>
    <w:rPr>
      <w:rFonts w:ascii="Times New Roman" w:hAnsi="Times New Roman" w:cs="Times New Roman"/>
      <w:b/>
      <w:color w:val="000000"/>
      <w:sz w:val="32"/>
      <w:lang w:val="en-US"/>
    </w:rPr>
  </w:style>
  <w:style w:type="paragraph" w:styleId="BulletsNumbers2">
    <w:name w:val="BulletsNumbers2"/>
    <w:basedOn w:val="BulletsMain"/>
    <w:next w:val="BulletsMain"/>
    <w:qFormat/>
    <w:pPr>
      <w:tabs>
        <w:tab w:val="clear" w:pos="567"/>
        <w:tab w:val="left" w:pos="737" w:leader="none"/>
      </w:tabs>
      <w:ind w:hanging="454" w:start="737" w:end="0"/>
    </w:pPr>
    <w:rPr/>
  </w:style>
  <w:style w:type="paragraph" w:styleId="Iauiue">
    <w:name w:val="Iau?iue"/>
    <w:qFormat/>
    <w:pPr>
      <w:keepLines/>
      <w:widowControl/>
      <w:overflowPunct w:val="false"/>
      <w:autoSpaceDE w:val="false"/>
      <w:bidi w:val="0"/>
      <w:spacing w:before="113" w:after="0"/>
      <w:jc w:val="end"/>
      <w:textAlignment w:val="baseline"/>
    </w:pPr>
    <w:rPr>
      <w:rFonts w:ascii="PragmaticaC" w:hAnsi="PragmaticaC" w:eastAsia="Times New Roman" w:cs="PragmaticaC"/>
      <w:color w:val="000000"/>
      <w:sz w:val="20"/>
      <w:szCs w:val="20"/>
      <w:lang w:val="en-US" w:bidi="ar-SA" w:eastAsia="zh-CN"/>
    </w:rPr>
  </w:style>
  <w:style w:type="paragraph" w:styleId="PublishedDocs">
    <w:name w:val="PublishedDocs"/>
    <w:basedOn w:val="26-text"/>
    <w:next w:val="26-text"/>
    <w:qFormat/>
    <w:pPr>
      <w:keepNext w:val="false"/>
      <w:keepLines w:val="false"/>
      <w:tabs>
        <w:tab w:val="clear" w:pos="224"/>
        <w:tab w:val="clear" w:pos="397"/>
        <w:tab w:val="clear" w:pos="7824"/>
        <w:tab w:val="center" w:pos="527" w:leader="none"/>
        <w:tab w:val="right" w:pos="1729" w:leader="none"/>
        <w:tab w:val="left" w:pos="1871" w:leader="none"/>
        <w:tab w:val="center" w:pos="8759" w:leader="none"/>
        <w:tab w:val="right" w:pos="9893" w:leader="none"/>
      </w:tabs>
      <w:ind w:hanging="1871" w:start="1871" w:end="0"/>
    </w:pPr>
    <w:rPr/>
  </w:style>
  <w:style w:type="paragraph" w:styleId="PublishedSpravStat">
    <w:name w:val="PublishedSprav&amp;Stat"/>
    <w:basedOn w:val="1234567"/>
    <w:next w:val="1234567"/>
    <w:qFormat/>
    <w:pPr>
      <w:keepNext w:val="false"/>
      <w:keepLines w:val="false"/>
      <w:tabs>
        <w:tab w:val="center" w:pos="7512" w:leader="none"/>
      </w:tabs>
    </w:pPr>
    <w:rPr/>
  </w:style>
  <w:style w:type="paragraph" w:styleId="SpisokAM">
    <w:name w:val="SpisokAM"/>
    <w:basedOn w:val="1234567"/>
    <w:next w:val="1234567"/>
    <w:qFormat/>
    <w:pPr>
      <w:keepNext w:val="false"/>
      <w:keepLines w:val="false"/>
      <w:tabs>
        <w:tab w:val="center" w:pos="7512" w:leader="none"/>
      </w:tabs>
    </w:pPr>
    <w:rPr/>
  </w:style>
  <w:style w:type="paragraph" w:styleId="MainText-PrPr">
    <w:name w:val="MainText - PrPr"/>
    <w:basedOn w:val="MainText-BezOtstupa1"/>
    <w:next w:val="MainText-BezOtstupa1"/>
    <w:qFormat/>
    <w:pPr>
      <w:tabs>
        <w:tab w:val="clear" w:pos="720"/>
        <w:tab w:val="left" w:pos="4252" w:leader="none"/>
      </w:tabs>
      <w:jc w:val="start"/>
    </w:pPr>
    <w:rPr/>
  </w:style>
  <w:style w:type="paragraph" w:styleId="Dots">
    <w:name w:val="Dots"/>
    <w:basedOn w:val="MainText-BezOtstupa1"/>
    <w:next w:val="MainText-BezOtstupa1"/>
    <w:qFormat/>
    <w:pPr>
      <w:tabs>
        <w:tab w:val="clear" w:pos="720"/>
        <w:tab w:val="right" w:pos="8090" w:leader="dot"/>
      </w:tabs>
      <w:jc w:val="end"/>
    </w:pPr>
    <w:rPr/>
  </w:style>
  <w:style w:type="paragraph" w:styleId="Dots1">
    <w:name w:val="Dots1"/>
    <w:basedOn w:val="Dots"/>
    <w:next w:val="Dots"/>
    <w:qFormat/>
    <w:pPr>
      <w:tabs>
        <w:tab w:val="clear" w:pos="8090"/>
        <w:tab w:val="right" w:pos="4224" w:leader="dot"/>
      </w:tabs>
      <w:jc w:val="start"/>
    </w:pPr>
    <w:rPr/>
  </w:style>
  <w:style w:type="paragraph" w:styleId="ListJustified">
    <w:name w:val="ListJustified"/>
    <w:basedOn w:val="List"/>
    <w:next w:val="List"/>
    <w:qFormat/>
    <w:pPr>
      <w:tabs>
        <w:tab w:val="clear" w:pos="340"/>
        <w:tab w:val="clear" w:pos="567"/>
        <w:tab w:val="right" w:pos="283" w:leader="none"/>
        <w:tab w:val="left" w:pos="397" w:leader="none"/>
      </w:tabs>
      <w:ind w:hanging="397" w:start="397" w:end="0"/>
      <w:jc w:val="both"/>
    </w:pPr>
    <w:rPr/>
  </w:style>
  <w:style w:type="paragraph" w:styleId="dkp">
    <w:name w:val="dkp"/>
    <w:basedOn w:val="25-Text"/>
    <w:next w:val="25-Text"/>
    <w:qFormat/>
    <w:pPr>
      <w:keepNext w:val="false"/>
      <w:keepLines w:val="false"/>
      <w:tabs>
        <w:tab w:val="clear" w:pos="340"/>
        <w:tab w:val="clear" w:pos="794"/>
        <w:tab w:val="clear" w:pos="5953"/>
        <w:tab w:val="clear" w:pos="7483"/>
        <w:tab w:val="clear" w:pos="8589"/>
      </w:tabs>
      <w:ind w:hanging="0" w:start="283" w:end="283"/>
      <w:jc w:val="end"/>
    </w:pPr>
    <w:rPr/>
  </w:style>
  <w:style w:type="paragraph" w:styleId="CalakHead">
    <w:name w:val="CalakHead"/>
    <w:basedOn w:val="MainText"/>
    <w:next w:val="MainText"/>
    <w:qFormat/>
    <w:pPr>
      <w:tabs>
        <w:tab w:val="clear" w:pos="720"/>
        <w:tab w:val="right" w:pos="737" w:leader="none"/>
        <w:tab w:val="left" w:pos="2098" w:leader="none"/>
        <w:tab w:val="center" w:pos="7081" w:leader="none"/>
      </w:tabs>
      <w:spacing w:before="0" w:after="113"/>
      <w:ind w:hanging="0" w:start="0" w:end="0"/>
      <w:jc w:val="start"/>
    </w:pPr>
    <w:rPr/>
  </w:style>
  <w:style w:type="paragraph" w:styleId="Calak">
    <w:name w:val="Calak"/>
    <w:basedOn w:val="MainText"/>
    <w:next w:val="MainText"/>
    <w:qFormat/>
    <w:pPr>
      <w:tabs>
        <w:tab w:val="clear" w:pos="720"/>
        <w:tab w:val="right" w:pos="624" w:leader="none"/>
        <w:tab w:val="left" w:pos="1077" w:leader="none"/>
        <w:tab w:val="center" w:pos="7081" w:leader="none"/>
      </w:tabs>
      <w:ind w:hanging="0" w:start="0" w:end="0"/>
      <w:jc w:val="start"/>
    </w:pPr>
    <w:rPr/>
  </w:style>
  <w:style w:type="paragraph" w:styleId="2222222WWWWWWW">
    <w:name w:val="2222222WWWWWWW"/>
    <w:basedOn w:val="26-text"/>
    <w:next w:val="26-text"/>
    <w:qFormat/>
    <w:pPr>
      <w:keepNext w:val="false"/>
      <w:keepLines w:val="false"/>
      <w:tabs>
        <w:tab w:val="clear" w:pos="7824"/>
        <w:tab w:val="right" w:pos="3685" w:leader="none"/>
        <w:tab w:val="left" w:pos="4813" w:leader="none"/>
      </w:tabs>
    </w:pPr>
    <w:rPr/>
  </w:style>
  <w:style w:type="paragraph" w:styleId="SnoskaLineTab">
    <w:name w:val="SnoskaLineTab"/>
    <w:basedOn w:val="SnoskaWithLineAbove"/>
    <w:next w:val="SnoskaWithLineAbove"/>
    <w:qFormat/>
    <w:pPr>
      <w:tabs>
        <w:tab w:val="clear" w:pos="567"/>
        <w:tab w:val="right" w:pos="8787" w:leader="none"/>
      </w:tabs>
    </w:pPr>
    <w:rPr/>
  </w:style>
  <w:style w:type="paragraph" w:styleId="DO">
    <w:name w:val="DO"/>
    <w:basedOn w:val="DepozitnieOperacii"/>
    <w:next w:val="DepozitnieOperacii"/>
    <w:qFormat/>
    <w:pPr>
      <w:keepNext w:val="false"/>
      <w:keepLines w:val="false"/>
      <w:tabs>
        <w:tab w:val="clear" w:pos="1417"/>
        <w:tab w:val="clear" w:pos="7427"/>
        <w:tab w:val="left" w:pos="1247" w:leader="none"/>
        <w:tab w:val="decimal" w:pos="5726" w:leader="none"/>
        <w:tab w:val="left" w:pos="7512" w:leader="none"/>
      </w:tabs>
      <w:spacing w:before="57" w:after="0"/>
    </w:pPr>
    <w:rPr/>
  </w:style>
  <w:style w:type="paragraph" w:styleId="ZyxZagolovok">
    <w:name w:val="ZyxZagolovok"/>
    <w:basedOn w:val="Normal"/>
    <w:next w:val="Normal"/>
    <w:qFormat/>
    <w:pPr>
      <w:pBdr>
        <w:bottom w:val="single" w:sz="2" w:space="0" w:color="000000"/>
      </w:pBdr>
      <w:tabs>
        <w:tab w:val="clear" w:pos="720"/>
        <w:tab w:val="center" w:pos="340" w:leader="none"/>
        <w:tab w:val="center" w:pos="4479" w:leader="none"/>
        <w:tab w:val="center" w:pos="9128" w:leader="none"/>
      </w:tabs>
      <w:spacing w:before="0" w:after="57"/>
      <w:ind w:hanging="794" w:start="794" w:end="0"/>
    </w:pPr>
    <w:rPr>
      <w:rFonts w:ascii="PragmaticaC" w:hAnsi="PragmaticaC" w:cs="PragmaticaC"/>
      <w:color w:val="000000"/>
      <w:sz w:val="18"/>
      <w:lang w:val="en-US"/>
    </w:rPr>
  </w:style>
  <w:style w:type="paragraph" w:styleId="ZyxX">
    <w:name w:val="Zyx + X"/>
    <w:basedOn w:val="Normal"/>
    <w:next w:val="Normal"/>
    <w:qFormat/>
    <w:pPr>
      <w:pBdr>
        <w:bottom w:val="single" w:sz="2" w:space="0" w:color="000000"/>
      </w:pBdr>
      <w:tabs>
        <w:tab w:val="clear" w:pos="720"/>
        <w:tab w:val="center" w:pos="340" w:leader="none"/>
        <w:tab w:val="left" w:pos="794" w:leader="none"/>
        <w:tab w:val="center" w:pos="9128" w:leader="none"/>
      </w:tabs>
      <w:spacing w:before="0" w:after="57"/>
      <w:ind w:hanging="794" w:start="794" w:end="0"/>
    </w:pPr>
    <w:rPr>
      <w:rFonts w:ascii="PragmaticaC" w:hAnsi="PragmaticaC" w:cs="PragmaticaC"/>
      <w:color w:val="000000"/>
      <w:sz w:val="18"/>
      <w:lang w:val="en-US"/>
    </w:rPr>
  </w:style>
  <w:style w:type="paragraph" w:styleId="Zyx">
    <w:name w:val="Zyx"/>
    <w:qFormat/>
    <w:pPr>
      <w:widowControl/>
      <w:pBdr>
        <w:bottom w:val="single" w:sz="2" w:space="0" w:color="000000"/>
      </w:pBdr>
      <w:tabs>
        <w:tab w:val="clear" w:pos="720"/>
        <w:tab w:val="center" w:pos="340" w:leader="none"/>
        <w:tab w:val="left" w:pos="794" w:leader="none"/>
        <w:tab w:val="center" w:pos="9128" w:leader="none"/>
      </w:tabs>
      <w:overflowPunct w:val="false"/>
      <w:autoSpaceDE w:val="false"/>
      <w:bidi w:val="0"/>
      <w:spacing w:before="0" w:after="57"/>
      <w:ind w:hanging="794" w:start="794" w:end="1814"/>
      <w:textAlignment w:val="baseline"/>
    </w:pPr>
    <w:rPr>
      <w:rFonts w:ascii="PragmaticaC" w:hAnsi="PragmaticaC" w:eastAsia="Times New Roman" w:cs="PragmaticaC"/>
      <w:color w:val="000000"/>
      <w:sz w:val="18"/>
      <w:szCs w:val="20"/>
      <w:lang w:val="en-US" w:bidi="ar-SA" w:eastAsia="zh-CN"/>
    </w:rPr>
  </w:style>
  <w:style w:type="paragraph" w:styleId="ZyxCenterRazdel">
    <w:name w:val="ZyxCenterRazdel"/>
    <w:basedOn w:val="Zyx"/>
    <w:next w:val="Zyx"/>
    <w:qFormat/>
    <w:pPr>
      <w:tabs>
        <w:tab w:val="clear" w:pos="794"/>
        <w:tab w:val="center" w:pos="4479" w:leader="none"/>
      </w:tabs>
    </w:pPr>
    <w:rPr/>
  </w:style>
  <w:style w:type="paragraph" w:styleId="ZyxWithoutLine">
    <w:name w:val="ZyxWithoutLine"/>
    <w:basedOn w:val="Zyx"/>
    <w:next w:val="Zyx"/>
    <w:qFormat/>
    <w:pPr>
      <w:pBdr>
        <w:bottom w:val="nil"/>
      </w:pBdr>
      <w:spacing w:before="0" w:after="0"/>
    </w:pPr>
    <w:rPr/>
  </w:style>
  <w:style w:type="paragraph" w:styleId="TelePodpisAlone">
    <w:name w:val="TelePodpisAlone"/>
    <w:basedOn w:val="TelePodpis"/>
    <w:next w:val="TelePodpis"/>
    <w:qFormat/>
    <w:pPr>
      <w:tabs>
        <w:tab w:val="clear" w:pos="8787"/>
        <w:tab w:val="right" w:pos="8220" w:leader="none"/>
      </w:tabs>
      <w:spacing w:before="170" w:after="0"/>
    </w:pPr>
    <w:rPr/>
  </w:style>
  <w:style w:type="paragraph" w:styleId="InoInformationMain">
    <w:name w:val="InoInformationMain"/>
    <w:qFormat/>
    <w:pPr>
      <w:widowControl/>
      <w:pBdr>
        <w:bottom w:val="single" w:sz="2" w:space="0" w:color="000000"/>
      </w:pBdr>
      <w:tabs>
        <w:tab w:val="clear" w:pos="720"/>
        <w:tab w:val="right" w:pos="369" w:leader="none"/>
        <w:tab w:val="left" w:pos="680" w:leader="none"/>
        <w:tab w:val="center" w:pos="6435" w:leader="none"/>
        <w:tab w:val="center" w:pos="7313" w:leader="none"/>
        <w:tab w:val="right" w:pos="8674" w:leader="none"/>
      </w:tabs>
      <w:overflowPunct w:val="false"/>
      <w:autoSpaceDE w:val="false"/>
      <w:bidi w:val="0"/>
      <w:spacing w:before="57" w:after="0"/>
      <w:textAlignment w:val="baseline"/>
    </w:pPr>
    <w:rPr>
      <w:rFonts w:ascii="PragmaticaCondC" w:hAnsi="PragmaticaCondC" w:eastAsia="Times New Roman" w:cs="PragmaticaCondC"/>
      <w:color w:val="000000"/>
      <w:sz w:val="18"/>
      <w:szCs w:val="20"/>
      <w:lang w:val="en-US" w:bidi="ar-SA" w:eastAsia="zh-CN"/>
    </w:rPr>
  </w:style>
  <w:style w:type="paragraph" w:styleId="InoInformationHead">
    <w:name w:val="InoInformationHead"/>
    <w:basedOn w:val="InoInformationMain"/>
    <w:qFormat/>
    <w:pPr>
      <w:tabs>
        <w:tab w:val="clear" w:pos="369"/>
        <w:tab w:val="clear" w:pos="680"/>
        <w:tab w:val="clear" w:pos="8674"/>
        <w:tab w:val="center" w:pos="283" w:leader="none"/>
        <w:tab w:val="center" w:pos="3231" w:leader="none"/>
        <w:tab w:val="center" w:pos="8220" w:leader="none"/>
      </w:tabs>
    </w:pPr>
    <w:rPr>
      <w:color w:val="000000"/>
    </w:rPr>
  </w:style>
  <w:style w:type="paragraph" w:styleId="Svedenia">
    <w:name w:val="Svedenia"/>
    <w:qFormat/>
    <w:pPr>
      <w:widowControl/>
      <w:pBdr>
        <w:bottom w:val="single" w:sz="2" w:space="0" w:color="000000"/>
      </w:pBdr>
      <w:tabs>
        <w:tab w:val="clear" w:pos="720"/>
        <w:tab w:val="right" w:pos="224" w:leader="none"/>
        <w:tab w:val="left" w:pos="397" w:leader="none"/>
        <w:tab w:val="right" w:pos="3685" w:leader="none"/>
        <w:tab w:val="left" w:pos="4813" w:leader="none"/>
      </w:tabs>
      <w:overflowPunct w:val="false"/>
      <w:autoSpaceDE w:val="false"/>
      <w:bidi w:val="0"/>
      <w:spacing w:before="0" w:after="57"/>
      <w:ind w:hanging="397" w:start="397" w:end="0"/>
      <w:textAlignment w:val="baseline"/>
    </w:pPr>
    <w:rPr>
      <w:rFonts w:ascii="PragmaticaC" w:hAnsi="PragmaticaC" w:eastAsia="Times New Roman" w:cs="PragmaticaC"/>
      <w:color w:val="000000"/>
      <w:sz w:val="18"/>
      <w:szCs w:val="20"/>
      <w:lang w:val="en-US" w:bidi="ar-SA" w:eastAsia="zh-CN"/>
    </w:rPr>
  </w:style>
  <w:style w:type="paragraph" w:styleId="Style48">
    <w:name w:val="?????"/>
    <w:basedOn w:val="Normal"/>
    <w:qFormat/>
    <w:pPr>
      <w:widowControl w:val="false"/>
    </w:pPr>
    <w:rPr>
      <w:rFonts w:ascii="Courier New" w:hAnsi="Courier New" w:cs="Courier New"/>
      <w:sz w:val="20"/>
    </w:rPr>
  </w:style>
  <w:style w:type="paragraph" w:styleId="BulletsInBullets">
    <w:name w:val="BulletsInBullets"/>
    <w:basedOn w:val="BulletsNumbers"/>
    <w:next w:val="BulletsNumbers"/>
    <w:qFormat/>
    <w:pPr>
      <w:tabs>
        <w:tab w:val="clear" w:pos="283"/>
        <w:tab w:val="left" w:pos="850" w:leader="none"/>
      </w:tabs>
      <w:ind w:hanging="283" w:start="850" w:end="0"/>
    </w:pPr>
    <w:rPr/>
  </w:style>
  <w:style w:type="paragraph" w:styleId="GlavnyiBoldCyan">
    <w:name w:val="GlavnyiBoldCyan"/>
    <w:basedOn w:val="Glavnyi"/>
    <w:next w:val="Glavnyi"/>
    <w:qFormat/>
    <w:pPr>
      <w:spacing w:before="170" w:after="113"/>
      <w:jc w:val="center"/>
    </w:pPr>
    <w:rPr>
      <w:b/>
      <w:color w:val="00FFFF"/>
    </w:rPr>
  </w:style>
  <w:style w:type="paragraph" w:styleId="BulletsNumbers3">
    <w:name w:val="BulletsNumbers3"/>
    <w:basedOn w:val="BulletsNumbers2"/>
    <w:next w:val="BulletsNumbers2"/>
    <w:qFormat/>
    <w:pPr>
      <w:tabs>
        <w:tab w:val="clear" w:pos="737"/>
        <w:tab w:val="left" w:pos="567" w:leader="none"/>
      </w:tabs>
      <w:ind w:hanging="567" w:start="567" w:end="0"/>
    </w:pPr>
    <w:rPr/>
  </w:style>
  <w:style w:type="paragraph" w:styleId="MainText80bohooff">
    <w:name w:val="MainText80bohooff"/>
    <w:basedOn w:val="MainText-BezOtstupa1"/>
    <w:next w:val="MainText-BezOtstupa1"/>
    <w:qFormat/>
    <w:pPr>
      <w:ind w:hanging="0" w:start="28" w:end="28"/>
      <w:jc w:val="start"/>
    </w:pPr>
    <w:rPr/>
  </w:style>
  <w:style w:type="paragraph" w:styleId="MainText80">
    <w:name w:val="MainText80"/>
    <w:basedOn w:val="MainText"/>
    <w:next w:val="MainText"/>
    <w:qFormat/>
    <w:pPr>
      <w:ind w:firstLine="255" w:start="28" w:end="28"/>
    </w:pPr>
    <w:rPr/>
  </w:style>
  <w:style w:type="paragraph" w:styleId="Bullets80">
    <w:name w:val="Bullets80"/>
    <w:basedOn w:val="BulletsMain"/>
    <w:next w:val="BulletsMain"/>
    <w:qFormat/>
    <w:pPr>
      <w:ind w:hanging="283" w:start="567" w:end="28"/>
    </w:pPr>
    <w:rPr/>
  </w:style>
  <w:style w:type="paragraph" w:styleId="ListPlusReg">
    <w:name w:val="ListPlusReg"/>
    <w:basedOn w:val="List"/>
    <w:next w:val="List"/>
    <w:qFormat/>
    <w:pPr>
      <w:tabs>
        <w:tab w:val="clear" w:pos="340"/>
        <w:tab w:val="clear" w:pos="567"/>
        <w:tab w:val="right" w:pos="397" w:leader="none"/>
        <w:tab w:val="left" w:pos="624" w:leader="none"/>
        <w:tab w:val="center" w:pos="8447" w:leader="none"/>
      </w:tabs>
      <w:ind w:hanging="624" w:start="624" w:end="0"/>
    </w:pPr>
    <w:rPr/>
  </w:style>
  <w:style w:type="paragraph" w:styleId="MainTextBezOtstupa">
    <w:name w:val="MainTextBezOtstupa"/>
    <w:basedOn w:val="MainText"/>
    <w:qFormat/>
    <w:pPr>
      <w:ind w:hanging="0" w:start="0" w:end="0"/>
    </w:pPr>
    <w:rPr/>
  </w:style>
  <w:style w:type="paragraph" w:styleId="Zxzxzxzx">
    <w:name w:val="Zxzxzxzx"/>
    <w:basedOn w:val="2noline"/>
    <w:next w:val="2noline"/>
    <w:qFormat/>
    <w:pPr>
      <w:keepNext w:val="false"/>
      <w:keepLines w:val="false"/>
      <w:spacing w:before="0" w:after="28"/>
    </w:pPr>
    <w:rPr/>
  </w:style>
  <w:style w:type="paragraph" w:styleId="Zyzyzyzy">
    <w:name w:val="Zyzyzyzy"/>
    <w:basedOn w:val="2noline"/>
    <w:next w:val="2noline"/>
    <w:qFormat/>
    <w:pPr>
      <w:keepNext w:val="false"/>
      <w:keepLines w:val="false"/>
      <w:spacing w:before="0" w:after="28"/>
    </w:pPr>
    <w:rPr/>
  </w:style>
  <w:style w:type="paragraph" w:styleId="BulletsTwoTen">
    <w:name w:val="BulletsTwoTen"/>
    <w:basedOn w:val="BulletsMain"/>
    <w:next w:val="BulletsMain"/>
    <w:qFormat/>
    <w:pPr>
      <w:tabs>
        <w:tab w:val="right" w:pos="454" w:leader="none"/>
      </w:tabs>
      <w:ind w:hanging="397" w:start="567" w:end="0"/>
    </w:pPr>
    <w:rPr/>
  </w:style>
  <w:style w:type="paragraph" w:styleId="143-ITOGO">
    <w:name w:val="143-ITOGO"/>
    <w:basedOn w:val="Normal"/>
    <w:next w:val="Normal"/>
    <w:qFormat/>
    <w:pPr>
      <w:keepNext w:val="true"/>
      <w:keepLines/>
      <w:pBdr>
        <w:top w:val="single" w:sz="2" w:space="0" w:color="000000"/>
      </w:pBdr>
      <w:tabs>
        <w:tab w:val="clear" w:pos="720"/>
        <w:tab w:val="center" w:pos="425" w:leader="none"/>
        <w:tab w:val="left" w:pos="935" w:leader="none"/>
      </w:tabs>
      <w:spacing w:before="28" w:after="0"/>
      <w:ind w:hanging="935" w:start="935" w:end="3458"/>
    </w:pPr>
    <w:rPr>
      <w:rFonts w:ascii="PragmaticaCondC" w:hAnsi="PragmaticaCondC" w:cs="PragmaticaCondC"/>
      <w:sz w:val="16"/>
      <w:lang w:val="en-US"/>
    </w:rPr>
  </w:style>
  <w:style w:type="paragraph" w:styleId="143-1">
    <w:name w:val="143-1"/>
    <w:basedOn w:val="Normal"/>
    <w:next w:val="Normal"/>
    <w:qFormat/>
    <w:pPr>
      <w:keepNext w:val="true"/>
      <w:keepLines/>
      <w:tabs>
        <w:tab w:val="clear" w:pos="720"/>
        <w:tab w:val="center" w:pos="425" w:leader="none"/>
        <w:tab w:val="left" w:pos="935" w:leader="none"/>
        <w:tab w:val="center" w:pos="6860" w:leader="none"/>
        <w:tab w:val="center" w:pos="7427" w:leader="none"/>
        <w:tab w:val="center" w:pos="8561" w:leader="none"/>
        <w:tab w:val="center" w:pos="9694" w:leader="none"/>
      </w:tabs>
      <w:spacing w:before="28" w:after="0"/>
      <w:ind w:hanging="935" w:start="935" w:end="0"/>
    </w:pPr>
    <w:rPr>
      <w:rFonts w:ascii="PragmaticaCondC" w:hAnsi="PragmaticaCondC" w:cs="PragmaticaCondC"/>
      <w:sz w:val="16"/>
      <w:lang w:val="en-US"/>
    </w:rPr>
  </w:style>
  <w:style w:type="paragraph" w:styleId="143-2">
    <w:name w:val="143-2"/>
    <w:basedOn w:val="Normal"/>
    <w:next w:val="Normal"/>
    <w:qFormat/>
    <w:pPr>
      <w:keepNext w:val="true"/>
      <w:keepLines/>
      <w:tabs>
        <w:tab w:val="clear" w:pos="720"/>
        <w:tab w:val="center" w:pos="425" w:leader="none"/>
        <w:tab w:val="left" w:pos="935" w:leader="none"/>
      </w:tabs>
      <w:spacing w:before="28" w:after="0"/>
      <w:ind w:hanging="935" w:start="935" w:end="3458"/>
    </w:pPr>
    <w:rPr>
      <w:rFonts w:ascii="PragmaticaCondC" w:hAnsi="PragmaticaCondC" w:cs="PragmaticaCondC"/>
      <w:b/>
      <w:sz w:val="16"/>
      <w:lang w:val="en-US"/>
    </w:rPr>
  </w:style>
  <w:style w:type="paragraph" w:styleId="143-2Line">
    <w:name w:val="143-2+Line"/>
    <w:basedOn w:val="Normal"/>
    <w:next w:val="Normal"/>
    <w:qFormat/>
    <w:pPr>
      <w:keepNext w:val="true"/>
      <w:keepLines/>
      <w:pBdr>
        <w:top w:val="single" w:sz="2" w:space="0" w:color="000000"/>
      </w:pBdr>
      <w:tabs>
        <w:tab w:val="clear" w:pos="720"/>
        <w:tab w:val="center" w:pos="425" w:leader="none"/>
        <w:tab w:val="left" w:pos="935" w:leader="none"/>
      </w:tabs>
      <w:spacing w:before="28" w:after="0"/>
      <w:ind w:hanging="935" w:start="935" w:end="3458"/>
    </w:pPr>
    <w:rPr>
      <w:rFonts w:ascii="PragmaticaCondC" w:hAnsi="PragmaticaCondC" w:cs="PragmaticaCondC"/>
      <w:b/>
      <w:sz w:val="16"/>
      <w:lang w:val="en-US"/>
    </w:rPr>
  </w:style>
  <w:style w:type="paragraph" w:styleId="1007yBullets">
    <w:name w:val="1007yBullets"/>
    <w:basedOn w:val="MainText-BezOtstupa1"/>
    <w:next w:val="Normal"/>
    <w:qFormat/>
    <w:pPr>
      <w:tabs>
        <w:tab w:val="clear" w:pos="720"/>
        <w:tab w:val="left" w:pos="227" w:leader="none"/>
        <w:tab w:val="left" w:pos="1191" w:leader="none"/>
        <w:tab w:val="left" w:pos="5017" w:leader="none"/>
        <w:tab w:val="left" w:pos="5244" w:leader="none"/>
      </w:tabs>
      <w:jc w:val="start"/>
    </w:pPr>
    <w:rPr/>
  </w:style>
  <w:style w:type="paragraph" w:styleId="1007x">
    <w:name w:val="1007x"/>
    <w:basedOn w:val="1007yBullets"/>
    <w:next w:val="Normal"/>
    <w:qFormat/>
    <w:pPr>
      <w:tabs>
        <w:tab w:val="clear" w:pos="227"/>
        <w:tab w:val="clear" w:pos="1191"/>
        <w:tab w:val="clear" w:pos="5017"/>
        <w:tab w:val="clear" w:pos="5244"/>
        <w:tab w:val="left" w:pos="964" w:leader="none"/>
        <w:tab w:val="left" w:pos="5698" w:leader="none"/>
        <w:tab w:val="left" w:pos="5953" w:leader="none"/>
      </w:tabs>
    </w:pPr>
    <w:rPr/>
  </w:style>
  <w:style w:type="paragraph" w:styleId="MainTextVopros">
    <w:name w:val="MainTextVopros"/>
    <w:basedOn w:val="MainText"/>
    <w:next w:val="MainText"/>
    <w:qFormat/>
    <w:pPr>
      <w:spacing w:before="227" w:after="0"/>
    </w:pPr>
    <w:rPr>
      <w:b/>
    </w:rPr>
  </w:style>
  <w:style w:type="paragraph" w:styleId="y1027t1">
    <w:name w:val="y1027t1"/>
    <w:qFormat/>
    <w:pPr>
      <w:widowControl/>
      <w:tabs>
        <w:tab w:val="clear" w:pos="720"/>
        <w:tab w:val="center" w:pos="312" w:leader="none"/>
        <w:tab w:val="center" w:pos="1134" w:leader="none"/>
        <w:tab w:val="left" w:pos="1757" w:leader="none"/>
      </w:tabs>
      <w:overflowPunct w:val="false"/>
      <w:autoSpaceDE w:val="false"/>
      <w:bidi w:val="0"/>
      <w:ind w:hanging="1757" w:start="1928" w:end="3515"/>
      <w:textAlignment w:val="baseline"/>
    </w:pPr>
    <w:rPr>
      <w:rFonts w:ascii="PragmaticaCondC" w:hAnsi="PragmaticaCondC" w:eastAsia="Times New Roman" w:cs="PragmaticaCondC"/>
      <w:color w:val="000000"/>
      <w:sz w:val="18"/>
      <w:szCs w:val="20"/>
      <w:lang w:val="en-US" w:bidi="ar-SA" w:eastAsia="zh-CN"/>
    </w:rPr>
  </w:style>
  <w:style w:type="paragraph" w:styleId="dfgh">
    <w:name w:val="dfgh"/>
    <w:basedOn w:val="BulletsTwoTen"/>
    <w:next w:val="BulletsTwoTen"/>
    <w:qFormat/>
    <w:pPr>
      <w:tabs>
        <w:tab w:val="clear" w:pos="454"/>
        <w:tab w:val="clear" w:pos="567"/>
        <w:tab w:val="right" w:pos="283" w:leader="none"/>
        <w:tab w:val="left" w:pos="397" w:leader="none"/>
      </w:tabs>
      <w:ind w:hanging="283" w:start="283" w:end="0"/>
    </w:pPr>
    <w:rPr/>
  </w:style>
  <w:style w:type="paragraph" w:styleId="MainText-DtKt">
    <w:name w:val="MainText - DtKt"/>
    <w:basedOn w:val="MainText-BezOtstupa1"/>
    <w:next w:val="MainText-BezOtstupa1"/>
    <w:qFormat/>
    <w:pPr>
      <w:tabs>
        <w:tab w:val="clear" w:pos="720"/>
        <w:tab w:val="left" w:pos="369" w:leader="none"/>
        <w:tab w:val="left" w:pos="624" w:leader="none"/>
      </w:tabs>
      <w:ind w:hanging="624" w:start="624" w:end="0"/>
    </w:pPr>
    <w:rPr/>
  </w:style>
  <w:style w:type="paragraph" w:styleId="dsdsdsdsdsd">
    <w:name w:val="dsdsdsdsdsd"/>
    <w:basedOn w:val="MainText-BezOtstupa1"/>
    <w:next w:val="MainText-BezOtstupa1"/>
    <w:qFormat/>
    <w:pPr>
      <w:tabs>
        <w:tab w:val="clear" w:pos="720"/>
        <w:tab w:val="left" w:pos="283" w:leader="none"/>
        <w:tab w:val="center" w:pos="8220" w:leader="none"/>
      </w:tabs>
    </w:pPr>
    <w:rPr/>
  </w:style>
  <w:style w:type="paragraph" w:styleId="Prilozh9">
    <w:name w:val="Prilozh9"/>
    <w:basedOn w:val="MainText-BezOtstupa1"/>
    <w:next w:val="MainText-BezOtstupa1"/>
    <w:qFormat/>
    <w:pPr>
      <w:keepLines/>
      <w:tabs>
        <w:tab w:val="clear" w:pos="720"/>
        <w:tab w:val="left" w:pos="1587" w:leader="none"/>
      </w:tabs>
      <w:spacing w:before="28" w:after="0"/>
      <w:ind w:hanging="1020" w:start="1587" w:end="0"/>
    </w:pPr>
    <w:rPr/>
  </w:style>
  <w:style w:type="paragraph" w:styleId="Table012">
    <w:name w:val="Table01_2"/>
    <w:qFormat/>
    <w:pPr>
      <w:keepLines/>
      <w:widowControl/>
      <w:tabs>
        <w:tab w:val="clear" w:pos="720"/>
        <w:tab w:val="left" w:pos="1304" w:leader="none"/>
        <w:tab w:val="center" w:pos="7370" w:leader="none"/>
        <w:tab w:val="left" w:pos="7710" w:leader="none"/>
      </w:tabs>
      <w:overflowPunct w:val="false"/>
      <w:autoSpaceDE w:val="false"/>
      <w:bidi w:val="0"/>
      <w:spacing w:lineRule="atLeast" w:line="194" w:before="43" w:after="0"/>
      <w:ind w:hanging="624" w:start="1304" w:end="0"/>
      <w:textAlignment w:val="baseline"/>
    </w:pPr>
    <w:rPr>
      <w:rFonts w:ascii="PragmaticaCondC" w:hAnsi="PragmaticaCondC" w:eastAsia="Times New Roman" w:cs="PragmaticaCondC"/>
      <w:color w:val="000000"/>
      <w:sz w:val="18"/>
      <w:szCs w:val="20"/>
      <w:lang w:val="en-US" w:bidi="ar-SA" w:eastAsia="zh-CN"/>
    </w:rPr>
  </w:style>
  <w:style w:type="paragraph" w:styleId="Table011">
    <w:name w:val="Table01_1"/>
    <w:basedOn w:val="Table012"/>
    <w:next w:val="Table012"/>
    <w:qFormat/>
    <w:pPr>
      <w:keepNext w:val="true"/>
      <w:tabs>
        <w:tab w:val="clear" w:pos="7370"/>
        <w:tab w:val="clear" w:pos="7710"/>
      </w:tabs>
      <w:ind w:hanging="1162" w:start="1304" w:end="1757"/>
    </w:pPr>
    <w:rPr>
      <w:b/>
      <w:color w:val="000000"/>
    </w:rPr>
  </w:style>
  <w:style w:type="paragraph" w:styleId="Pril14-1">
    <w:name w:val="Pril14-1"/>
    <w:basedOn w:val="Table011"/>
    <w:next w:val="Table011"/>
    <w:qFormat/>
    <w:pPr>
      <w:tabs>
        <w:tab w:val="clear" w:pos="1304"/>
        <w:tab w:val="center" w:pos="992" w:leader="none"/>
        <w:tab w:val="left" w:pos="1474" w:leader="none"/>
        <w:tab w:val="center" w:pos="6293" w:leader="none"/>
        <w:tab w:val="center" w:pos="6860" w:leader="none"/>
        <w:tab w:val="center" w:pos="7427" w:leader="none"/>
        <w:tab w:val="center" w:pos="7994" w:leader="none"/>
        <w:tab w:val="center" w:pos="8561" w:leader="none"/>
        <w:tab w:val="center" w:pos="9128" w:leader="none"/>
        <w:tab w:val="center" w:pos="9666" w:leader="none"/>
      </w:tabs>
      <w:spacing w:lineRule="auto" w:line="240" w:before="28" w:after="0"/>
      <w:ind w:hanging="1474" w:start="1474" w:end="0"/>
    </w:pPr>
    <w:rPr>
      <w:b w:val="false"/>
      <w:sz w:val="16"/>
    </w:rPr>
  </w:style>
  <w:style w:type="paragraph" w:styleId="Pril14-2">
    <w:name w:val="Pril14-2"/>
    <w:basedOn w:val="Pril14-1"/>
    <w:next w:val="Pril14-1"/>
    <w:qFormat/>
    <w:pPr>
      <w:tabs>
        <w:tab w:val="clear" w:pos="6293"/>
        <w:tab w:val="clear" w:pos="6860"/>
        <w:tab w:val="clear" w:pos="7427"/>
        <w:tab w:val="clear" w:pos="7994"/>
        <w:tab w:val="clear" w:pos="8561"/>
        <w:tab w:val="clear" w:pos="9128"/>
        <w:tab w:val="clear" w:pos="9666"/>
      </w:tabs>
      <w:ind w:hanging="1332" w:start="1474" w:end="4025"/>
    </w:pPr>
    <w:rPr>
      <w:b/>
    </w:rPr>
  </w:style>
  <w:style w:type="paragraph" w:styleId="Pril14-2Line">
    <w:name w:val="Pril14-2+Line"/>
    <w:basedOn w:val="Pril14-2"/>
    <w:next w:val="Pril14-2"/>
    <w:qFormat/>
    <w:pPr>
      <w:pBdr>
        <w:top w:val="single" w:sz="2" w:space="0" w:color="000000"/>
      </w:pBdr>
    </w:pPr>
    <w:rPr/>
  </w:style>
  <w:style w:type="paragraph" w:styleId="Pril14-ITOGO">
    <w:name w:val="Pril14-ITOGO"/>
    <w:basedOn w:val="Pril14-1"/>
    <w:next w:val="Pril14-1"/>
    <w:qFormat/>
    <w:pPr>
      <w:pBdr>
        <w:top w:val="single" w:sz="2" w:space="0" w:color="000000"/>
      </w:pBdr>
    </w:pPr>
    <w:rPr/>
  </w:style>
  <w:style w:type="paragraph" w:styleId="TableLast">
    <w:name w:val="TableLast"/>
    <w:basedOn w:val="Table012"/>
    <w:next w:val="Table012"/>
    <w:qFormat/>
    <w:pPr>
      <w:tabs>
        <w:tab w:val="clear" w:pos="1304"/>
        <w:tab w:val="clear" w:pos="7370"/>
        <w:tab w:val="clear" w:pos="7710"/>
        <w:tab w:val="center" w:pos="935" w:leader="none"/>
        <w:tab w:val="center" w:pos="2381" w:leader="none"/>
        <w:tab w:val="center" w:pos="3543" w:leader="none"/>
        <w:tab w:val="center" w:pos="6491" w:leader="none"/>
      </w:tabs>
      <w:ind w:hanging="0" w:start="0" w:end="0"/>
    </w:pPr>
    <w:rPr>
      <w:color w:val="000000"/>
    </w:rPr>
  </w:style>
  <w:style w:type="paragraph" w:styleId="Pril8-1">
    <w:name w:val="Pril8-1"/>
    <w:basedOn w:val="TableLast"/>
    <w:qFormat/>
    <w:pPr>
      <w:tabs>
        <w:tab w:val="clear" w:pos="935"/>
        <w:tab w:val="clear" w:pos="2381"/>
        <w:tab w:val="clear" w:pos="3543"/>
        <w:tab w:val="clear" w:pos="6491"/>
        <w:tab w:val="right" w:pos="397" w:leader="none"/>
        <w:tab w:val="left" w:pos="624" w:leader="none"/>
        <w:tab w:val="center" w:pos="6945" w:leader="none"/>
      </w:tabs>
      <w:ind w:hanging="624" w:start="624" w:end="0"/>
    </w:pPr>
    <w:rPr/>
  </w:style>
  <w:style w:type="paragraph" w:styleId="Prilozh8-1">
    <w:name w:val="Prilozh8-1"/>
    <w:basedOn w:val="Pril8-1"/>
    <w:next w:val="Pril8-1"/>
    <w:qFormat/>
    <w:pPr>
      <w:tabs>
        <w:tab w:val="clear" w:pos="6945"/>
        <w:tab w:val="center" w:pos="6378" w:leader="none"/>
      </w:tabs>
    </w:pPr>
    <w:rPr/>
  </w:style>
  <w:style w:type="paragraph" w:styleId="Prilozh8-ITOGO">
    <w:name w:val="Prilozh8-ITOGO"/>
    <w:basedOn w:val="Prilozh8-1"/>
    <w:next w:val="Prilozh8-1"/>
    <w:qFormat/>
    <w:pPr>
      <w:pBdr>
        <w:top w:val="single" w:sz="2" w:space="0" w:color="000000"/>
      </w:pBdr>
    </w:pPr>
    <w:rPr/>
  </w:style>
  <w:style w:type="paragraph" w:styleId="ITOGO">
    <w:name w:val="ITOGO"/>
    <w:basedOn w:val="Prilozh8-ITOGO"/>
    <w:next w:val="Prilozh8-ITOGO"/>
    <w:qFormat/>
    <w:pPr>
      <w:pBdr>
        <w:top w:val="single" w:sz="2" w:space="0" w:color="000000"/>
        <w:bottom w:val="single" w:sz="2" w:space="0" w:color="000000"/>
      </w:pBdr>
    </w:pPr>
    <w:rPr/>
  </w:style>
  <w:style w:type="paragraph" w:styleId="Punkt10">
    <w:name w:val="Punkt10"/>
    <w:basedOn w:val="TableLast"/>
    <w:next w:val="TableLast"/>
    <w:qFormat/>
    <w:pPr>
      <w:tabs>
        <w:tab w:val="clear" w:pos="935"/>
        <w:tab w:val="clear" w:pos="2381"/>
        <w:tab w:val="clear" w:pos="3543"/>
        <w:tab w:val="clear" w:pos="6491"/>
        <w:tab w:val="right" w:pos="454" w:leader="none"/>
        <w:tab w:val="right" w:pos="1191" w:leader="none"/>
        <w:tab w:val="left" w:pos="1644" w:leader="none"/>
        <w:tab w:val="center" w:pos="8504" w:leader="none"/>
      </w:tabs>
      <w:ind w:hanging="1644" w:start="1644" w:end="0"/>
    </w:pPr>
    <w:rPr/>
  </w:style>
  <w:style w:type="paragraph" w:styleId="Mt10542">
    <w:name w:val="Mt1054_2"/>
    <w:basedOn w:val="Table012"/>
    <w:next w:val="Table012"/>
    <w:qFormat/>
    <w:pPr>
      <w:tabs>
        <w:tab w:val="clear" w:pos="7710"/>
        <w:tab w:val="center" w:pos="8220" w:leader="none"/>
      </w:tabs>
    </w:pPr>
    <w:rPr>
      <w:color w:val="000000"/>
    </w:rPr>
  </w:style>
  <w:style w:type="paragraph" w:styleId="op161-2noline">
    <w:name w:val="op161-2noline"/>
    <w:basedOn w:val="MainText-BezOtstupa1"/>
    <w:next w:val="MainText-BezOtstupa1"/>
    <w:qFormat/>
    <w:pPr>
      <w:tabs>
        <w:tab w:val="clear" w:pos="720"/>
        <w:tab w:val="left" w:pos="1191" w:leader="none"/>
        <w:tab w:val="center" w:pos="3231" w:leader="none"/>
        <w:tab w:val="left" w:pos="4082" w:leader="none"/>
        <w:tab w:val="left" w:pos="4280" w:leader="none"/>
      </w:tabs>
      <w:spacing w:lineRule="atLeast" w:line="220" w:before="28" w:after="0"/>
      <w:ind w:hanging="4167" w:start="4280" w:end="113"/>
    </w:pPr>
    <w:rPr>
      <w:color w:val="000000"/>
    </w:rPr>
  </w:style>
  <w:style w:type="paragraph" w:styleId="op161-1line">
    <w:name w:val="op161-1line"/>
    <w:basedOn w:val="MainText-BezOtstupa1"/>
    <w:next w:val="MainText-BezOtstupa1"/>
    <w:qFormat/>
    <w:pPr>
      <w:pBdr>
        <w:top w:val="single" w:sz="2" w:space="0" w:color="000000"/>
      </w:pBdr>
      <w:tabs>
        <w:tab w:val="clear" w:pos="720"/>
        <w:tab w:val="left" w:pos="1191" w:leader="none"/>
        <w:tab w:val="center" w:pos="3231" w:leader="none"/>
        <w:tab w:val="left" w:pos="4082" w:leader="none"/>
      </w:tabs>
      <w:spacing w:lineRule="atLeast" w:line="220" w:before="28" w:after="0"/>
      <w:ind w:hanging="3969" w:start="4082" w:end="113"/>
    </w:pPr>
    <w:rPr/>
  </w:style>
  <w:style w:type="paragraph" w:styleId="op161-2line">
    <w:name w:val="op161-2line"/>
    <w:basedOn w:val="MainText-BezOtstupa1"/>
    <w:next w:val="MainText-BezOtstupa1"/>
    <w:qFormat/>
    <w:pPr>
      <w:pBdr>
        <w:top w:val="single" w:sz="2" w:space="0" w:color="000000"/>
      </w:pBdr>
      <w:tabs>
        <w:tab w:val="clear" w:pos="720"/>
        <w:tab w:val="left" w:pos="1191" w:leader="none"/>
        <w:tab w:val="center" w:pos="3231" w:leader="none"/>
        <w:tab w:val="left" w:pos="4082" w:leader="none"/>
        <w:tab w:val="left" w:pos="4280" w:leader="none"/>
      </w:tabs>
      <w:spacing w:lineRule="atLeast" w:line="220" w:before="28" w:after="0"/>
      <w:ind w:hanging="4167" w:start="4280" w:end="113"/>
    </w:pPr>
    <w:rPr>
      <w:color w:val="000000"/>
    </w:rPr>
  </w:style>
  <w:style w:type="paragraph" w:styleId="op161-1noline">
    <w:name w:val="op161-1noline"/>
    <w:basedOn w:val="MainText-BezOtstupa1"/>
    <w:next w:val="MainText-BezOtstupa1"/>
    <w:qFormat/>
    <w:pPr>
      <w:tabs>
        <w:tab w:val="clear" w:pos="720"/>
        <w:tab w:val="left" w:pos="1191" w:leader="none"/>
        <w:tab w:val="center" w:pos="3231" w:leader="none"/>
        <w:tab w:val="left" w:pos="4082" w:leader="none"/>
      </w:tabs>
      <w:spacing w:lineRule="atLeast" w:line="220" w:before="28" w:after="0"/>
      <w:ind w:hanging="3969" w:start="4082" w:end="113"/>
    </w:pPr>
    <w:rPr>
      <w:color w:val="000000"/>
    </w:rPr>
  </w:style>
  <w:style w:type="paragraph" w:styleId="TabValutiMonth">
    <w:name w:val="TabValutiMonth"/>
    <w:basedOn w:val="TabValuti"/>
    <w:next w:val="Normal"/>
    <w:qFormat/>
    <w:pPr>
      <w:keepNext w:val="false"/>
      <w:keepLines w:val="false"/>
      <w:tabs>
        <w:tab w:val="clear" w:pos="3685"/>
        <w:tab w:val="clear" w:pos="4592"/>
        <w:tab w:val="clear" w:pos="8220"/>
        <w:tab w:val="decimal" w:pos="3628" w:leader="none"/>
        <w:tab w:val="left" w:pos="4479" w:leader="none"/>
        <w:tab w:val="decimal" w:pos="8164" w:leader="none"/>
      </w:tabs>
      <w:ind w:hanging="0" w:start="283" w:end="57"/>
    </w:pPr>
    <w:rPr>
      <w:color w:val="000000"/>
    </w:rPr>
  </w:style>
  <w:style w:type="paragraph" w:styleId="Bullets3Digits">
    <w:name w:val="Bullets3Digits"/>
    <w:qFormat/>
    <w:pPr>
      <w:widowControl/>
      <w:tabs>
        <w:tab w:val="clear" w:pos="720"/>
        <w:tab w:val="right" w:pos="454" w:leader="none"/>
        <w:tab w:val="left" w:pos="567" w:leader="none"/>
      </w:tabs>
      <w:overflowPunct w:val="false"/>
      <w:autoSpaceDE w:val="false"/>
      <w:bidi w:val="0"/>
      <w:ind w:hanging="510" w:start="567" w:end="0"/>
      <w:jc w:val="both"/>
      <w:textAlignment w:val="baseline"/>
    </w:pPr>
    <w:rPr>
      <w:rFonts w:ascii="PragmaticaC" w:hAnsi="PragmaticaC" w:eastAsia="Times New Roman" w:cs="PragmaticaC"/>
      <w:color w:val="000000"/>
      <w:sz w:val="19"/>
      <w:szCs w:val="20"/>
      <w:lang w:val="en-US" w:bidi="ar-SA" w:eastAsia="zh-CN"/>
    </w:rPr>
  </w:style>
  <w:style w:type="paragraph" w:styleId="Bullets2Digits">
    <w:name w:val="Bullets2Digits"/>
    <w:qFormat/>
    <w:pPr>
      <w:widowControl/>
      <w:tabs>
        <w:tab w:val="clear" w:pos="720"/>
        <w:tab w:val="right" w:pos="454" w:leader="none"/>
        <w:tab w:val="left" w:pos="567" w:leader="none"/>
      </w:tabs>
      <w:overflowPunct w:val="false"/>
      <w:autoSpaceDE w:val="false"/>
      <w:bidi w:val="0"/>
      <w:ind w:hanging="397" w:start="567" w:end="0"/>
      <w:jc w:val="both"/>
      <w:textAlignment w:val="baseline"/>
    </w:pPr>
    <w:rPr>
      <w:rFonts w:ascii="PragmaticaC" w:hAnsi="PragmaticaC" w:eastAsia="Times New Roman" w:cs="PragmaticaC"/>
      <w:color w:val="000000"/>
      <w:sz w:val="19"/>
      <w:szCs w:val="20"/>
      <w:lang w:val="en-US" w:bidi="ar-SA" w:eastAsia="zh-CN"/>
    </w:rPr>
  </w:style>
  <w:style w:type="paragraph" w:styleId="MainTextTabLine1">
    <w:name w:val="MainText + TabLine1"/>
    <w:basedOn w:val="MainText"/>
    <w:next w:val="MainText"/>
    <w:qFormat/>
    <w:pPr>
      <w:tabs>
        <w:tab w:val="clear" w:pos="720"/>
        <w:tab w:val="right" w:pos="3966" w:leader="none"/>
        <w:tab w:val="right" w:pos="4224" w:leader="none"/>
      </w:tabs>
    </w:pPr>
    <w:rPr>
      <w:color w:val="000000"/>
    </w:rPr>
  </w:style>
  <w:style w:type="paragraph" w:styleId="Mzagolovok-Tabs2">
    <w:name w:val="Mzagolovok - Tabs2"/>
    <w:basedOn w:val="MZagolvok-Center"/>
    <w:next w:val="MZagolvok-Center"/>
    <w:qFormat/>
    <w:pPr>
      <w:tabs>
        <w:tab w:val="clear" w:pos="720"/>
        <w:tab w:val="center" w:pos="2494" w:leader="none"/>
        <w:tab w:val="center" w:pos="7483" w:leader="none"/>
      </w:tabs>
      <w:jc w:val="start"/>
    </w:pPr>
    <w:rPr>
      <w:color w:val="00FFFF"/>
    </w:rPr>
  </w:style>
  <w:style w:type="paragraph" w:styleId="PublishedPravNoRule">
    <w:name w:val="PublishedPravNoRule"/>
    <w:basedOn w:val="PublishedSpravStat"/>
    <w:next w:val="PublishedSpravStat"/>
    <w:qFormat/>
    <w:pPr>
      <w:pBdr>
        <w:bottom w:val="nil"/>
      </w:pBdr>
      <w:tabs>
        <w:tab w:val="clear" w:pos="7512"/>
        <w:tab w:val="clear" w:pos="8674"/>
        <w:tab w:val="center" w:pos="7398" w:leader="none"/>
        <w:tab w:val="right" w:pos="8731" w:leader="none"/>
      </w:tabs>
      <w:spacing w:before="0" w:after="0"/>
    </w:pPr>
    <w:rPr>
      <w:color w:val="000000"/>
    </w:rPr>
  </w:style>
  <w:style w:type="paragraph" w:styleId="MainTextLine2Columns">
    <w:name w:val="MainText + Line 2 Columns"/>
    <w:basedOn w:val="MainTextLine"/>
    <w:next w:val="MainTextLine"/>
    <w:qFormat/>
    <w:pPr>
      <w:tabs>
        <w:tab w:val="right" w:pos="4450" w:leader="underscore"/>
        <w:tab w:val="left" w:pos="4535" w:leader="none"/>
      </w:tabs>
    </w:pPr>
    <w:rPr>
      <w:color w:val="000000"/>
    </w:rPr>
  </w:style>
  <w:style w:type="paragraph" w:styleId="Bn10in2inDtKt">
    <w:name w:val="Bn10in2inDtKt"/>
    <w:basedOn w:val="BulletsMain"/>
    <w:next w:val="BulletsMain"/>
    <w:qFormat/>
    <w:pPr>
      <w:ind w:hanging="454" w:start="1446" w:end="0"/>
    </w:pPr>
    <w:rPr>
      <w:color w:val="000000"/>
    </w:rPr>
  </w:style>
  <w:style w:type="paragraph" w:styleId="BulletsNumbers3inDtKt">
    <w:name w:val="BulletsNumbers3inDtKt"/>
    <w:basedOn w:val="BulletsMain"/>
    <w:next w:val="BulletsMain"/>
    <w:qFormat/>
    <w:pPr>
      <w:tabs>
        <w:tab w:val="clear" w:pos="567"/>
        <w:tab w:val="left" w:pos="1843" w:leader="none"/>
      </w:tabs>
      <w:ind w:hanging="454" w:start="1843" w:end="0"/>
    </w:pPr>
    <w:rPr>
      <w:color w:val="000000"/>
    </w:rPr>
  </w:style>
  <w:style w:type="paragraph" w:styleId="Bn10in3inDtKt">
    <w:name w:val="Bn10in3inDtKt"/>
    <w:basedOn w:val="BulletsNumbers3inDtKt"/>
    <w:next w:val="BulletsNumbers3inDtKt"/>
    <w:qFormat/>
    <w:pPr>
      <w:tabs>
        <w:tab w:val="clear" w:pos="1843"/>
        <w:tab w:val="left" w:pos="2239" w:leader="none"/>
      </w:tabs>
      <w:ind w:hanging="454" w:start="2239" w:end="0"/>
    </w:pPr>
    <w:rPr/>
  </w:style>
  <w:style w:type="paragraph" w:styleId="BulletsNumbers3in3">
    <w:name w:val="BulletsNumbers3in3"/>
    <w:basedOn w:val="BulletsNumbers3"/>
    <w:next w:val="BulletsNumbers3"/>
    <w:qFormat/>
    <w:pPr>
      <w:tabs>
        <w:tab w:val="clear" w:pos="567"/>
        <w:tab w:val="left" w:pos="1389" w:leader="none"/>
      </w:tabs>
      <w:ind w:hanging="652" w:start="1389" w:end="0"/>
    </w:pPr>
    <w:rPr>
      <w:color w:val="000000"/>
    </w:rPr>
  </w:style>
  <w:style w:type="paragraph" w:styleId="Bn10in3">
    <w:name w:val="Bn10in3"/>
    <w:basedOn w:val="BulletsNumbers3in3"/>
    <w:next w:val="BulletsNumbers3in3"/>
    <w:qFormat/>
    <w:pPr>
      <w:tabs>
        <w:tab w:val="clear" w:pos="1389"/>
        <w:tab w:val="left" w:pos="1814" w:leader="none"/>
      </w:tabs>
      <w:ind w:hanging="822" w:start="1814" w:end="0"/>
    </w:pPr>
    <w:rPr/>
  </w:style>
  <w:style w:type="paragraph" w:styleId="Bn10in2">
    <w:name w:val="Bn10in2"/>
    <w:basedOn w:val="BulletsNumbers2"/>
    <w:next w:val="BulletsNumbers2"/>
    <w:qFormat/>
    <w:pPr>
      <w:tabs>
        <w:tab w:val="clear" w:pos="737"/>
        <w:tab w:val="left" w:pos="992" w:leader="none"/>
      </w:tabs>
      <w:ind w:hanging="595" w:start="992" w:end="0"/>
    </w:pPr>
    <w:rPr>
      <w:color w:val="000000"/>
    </w:rPr>
  </w:style>
  <w:style w:type="paragraph" w:styleId="Bn10">
    <w:name w:val="Bn10"/>
    <w:basedOn w:val="BulletsNumbers"/>
    <w:next w:val="BulletsNumbers"/>
    <w:qFormat/>
    <w:pPr>
      <w:tabs>
        <w:tab w:val="clear" w:pos="283"/>
        <w:tab w:val="left" w:pos="397" w:leader="none"/>
      </w:tabs>
      <w:ind w:hanging="397" w:start="397" w:end="0"/>
    </w:pPr>
    <w:rPr>
      <w:color w:val="000000"/>
    </w:rPr>
  </w:style>
  <w:style w:type="paragraph" w:styleId="BulletsNumbers2inDtKt">
    <w:name w:val="BulletsNumbers2inDtKt"/>
    <w:basedOn w:val="BulletsNumbers3in3"/>
    <w:next w:val="BulletsNumbers3in3"/>
    <w:qFormat/>
    <w:pPr>
      <w:tabs>
        <w:tab w:val="clear" w:pos="1389"/>
        <w:tab w:val="left" w:pos="1191" w:leader="none"/>
      </w:tabs>
      <w:ind w:hanging="454" w:start="1191" w:end="0"/>
    </w:pPr>
    <w:rPr/>
  </w:style>
  <w:style w:type="paragraph" w:styleId="MainText-BulletsMain">
    <w:name w:val="MainText - BulletsMain"/>
    <w:basedOn w:val="MainText"/>
    <w:next w:val="MainText"/>
    <w:qFormat/>
    <w:pPr>
      <w:tabs>
        <w:tab w:val="clear" w:pos="720"/>
        <w:tab w:val="left" w:pos="567" w:leader="none"/>
      </w:tabs>
      <w:ind w:hanging="283" w:start="567" w:end="0"/>
    </w:pPr>
    <w:rPr/>
  </w:style>
  <w:style w:type="paragraph" w:styleId="TOC1">
    <w:name w:val="toc 1"/>
    <w:basedOn w:val="Normal"/>
    <w:next w:val="Normal"/>
    <w:pPr>
      <w:tabs>
        <w:tab w:val="clear" w:pos="720"/>
        <w:tab w:val="right" w:pos="6804" w:leader="none"/>
      </w:tabs>
    </w:pPr>
    <w:rPr>
      <w:b/>
      <w:caps/>
      <w:sz w:val="20"/>
      <w:u w:val="single"/>
    </w:rPr>
  </w:style>
  <w:style w:type="paragraph" w:styleId="CustomBullets2">
    <w:name w:val="CustomBullets2"/>
    <w:basedOn w:val="MainTextBezOtstupa"/>
    <w:next w:val="MainTextBezOtstupa"/>
    <w:qFormat/>
    <w:pPr>
      <w:tabs>
        <w:tab w:val="clear" w:pos="720"/>
        <w:tab w:val="left" w:pos="595" w:leader="none"/>
      </w:tabs>
      <w:ind w:hanging="595" w:start="595" w:end="0"/>
      <w:jc w:val="start"/>
    </w:pPr>
    <w:rPr>
      <w:b/>
      <w:color w:val="000000"/>
    </w:rPr>
  </w:style>
  <w:style w:type="paragraph" w:styleId="101102">
    <w:name w:val="101_102"/>
    <w:basedOn w:val="MainText-BezOtstupa1"/>
    <w:next w:val="MainText-BezOtstupa1"/>
    <w:qFormat/>
    <w:pPr>
      <w:pBdr>
        <w:bottom w:val="single" w:sz="2" w:space="0" w:color="000000"/>
      </w:pBdr>
      <w:tabs>
        <w:tab w:val="clear" w:pos="720"/>
        <w:tab w:val="right" w:pos="397" w:leader="none"/>
        <w:tab w:val="center" w:pos="907" w:leader="none"/>
        <w:tab w:val="left" w:pos="1446" w:leader="none"/>
        <w:tab w:val="center" w:pos="5641" w:leader="none"/>
        <w:tab w:val="center" w:pos="7030" w:leader="none"/>
        <w:tab w:val="center" w:pos="8277" w:leader="none"/>
      </w:tabs>
      <w:spacing w:before="0" w:after="43"/>
      <w:jc w:val="start"/>
    </w:pPr>
    <w:rPr>
      <w:rFonts w:ascii="PragmaticaCondC" w:hAnsi="PragmaticaCondC" w:cs="PragmaticaCondC"/>
      <w:color w:val="000000"/>
    </w:rPr>
  </w:style>
  <w:style w:type="paragraph" w:styleId="BiogDate">
    <w:name w:val="BiogDate"/>
    <w:basedOn w:val="MainText"/>
    <w:next w:val="MainText"/>
    <w:qFormat/>
    <w:pPr>
      <w:tabs>
        <w:tab w:val="clear" w:pos="720"/>
        <w:tab w:val="right" w:pos="1361" w:leader="none"/>
        <w:tab w:val="center" w:pos="1531" w:leader="none"/>
        <w:tab w:val="left" w:pos="1701" w:leader="none"/>
      </w:tabs>
      <w:ind w:hanging="1701" w:start="1701" w:end="0"/>
    </w:pPr>
    <w:rPr>
      <w:color w:val="000000"/>
    </w:rPr>
  </w:style>
  <w:style w:type="paragraph" w:styleId="MainText-Flash">
    <w:name w:val="MainText - Flash"/>
    <w:basedOn w:val="MainText-BezOtstupa1"/>
    <w:next w:val="MainText-BezOtstupa1"/>
    <w:qFormat/>
    <w:pPr>
      <w:spacing w:lineRule="atLeast" w:line="228"/>
      <w:jc w:val="start"/>
    </w:pPr>
    <w:rPr>
      <w:rFonts w:ascii="PragmaticaCondC" w:hAnsi="PragmaticaCondC" w:cs="PragmaticaCondC"/>
      <w:b/>
      <w:i/>
      <w:color w:val="00FFFF"/>
      <w:sz w:val="20"/>
    </w:rPr>
  </w:style>
  <w:style w:type="paragraph" w:styleId="MainTextLine155">
    <w:name w:val="MainText+Line155"/>
    <w:basedOn w:val="MainTextBezOtstupa"/>
    <w:next w:val="MainTextBezOtstupa"/>
    <w:qFormat/>
    <w:pPr>
      <w:tabs>
        <w:tab w:val="clear" w:pos="720"/>
        <w:tab w:val="right" w:pos="8787" w:leader="underscore"/>
      </w:tabs>
    </w:pPr>
    <w:rPr/>
  </w:style>
  <w:style w:type="paragraph" w:styleId="MZagolovokCenter">
    <w:name w:val="MZagolovokCenter"/>
    <w:basedOn w:val="MZagolovok"/>
    <w:qFormat/>
    <w:pPr>
      <w:spacing w:before="170" w:after="113"/>
      <w:jc w:val="center"/>
    </w:pPr>
    <w:rPr>
      <w:color w:val="00FFFF"/>
    </w:rPr>
  </w:style>
  <w:style w:type="paragraph" w:styleId="MainText-BezOtstupa4">
    <w:name w:val="MainText - BezOtstupa + 4"/>
    <w:basedOn w:val="MainText-BezOtstupa1"/>
    <w:next w:val="MainText-BezOtstupa1"/>
    <w:qFormat/>
    <w:pPr>
      <w:spacing w:before="227" w:after="0"/>
    </w:pPr>
    <w:rPr/>
  </w:style>
  <w:style w:type="paragraph" w:styleId="MainText-Rashifrovka">
    <w:name w:val="MainText - Rashifrovka"/>
    <w:basedOn w:val="MainText-BezOtstupa1"/>
    <w:next w:val="MainText-BezOtstupa1"/>
    <w:qFormat/>
    <w:pPr>
      <w:spacing w:before="0" w:after="57"/>
      <w:jc w:val="center"/>
    </w:pPr>
    <w:rPr>
      <w:sz w:val="16"/>
    </w:rPr>
  </w:style>
  <w:style w:type="paragraph" w:styleId="Bullets8">
    <w:name w:val="Bullets8"/>
    <w:basedOn w:val="MainTextBezOtstupa"/>
    <w:next w:val="MainTextBezOtstupa"/>
    <w:qFormat/>
    <w:pPr>
      <w:tabs>
        <w:tab w:val="clear" w:pos="720"/>
        <w:tab w:val="left" w:pos="170" w:leader="none"/>
      </w:tabs>
      <w:ind w:hanging="170" w:start="170" w:end="0"/>
    </w:pPr>
    <w:rPr>
      <w:color w:val="000000"/>
      <w:sz w:val="16"/>
    </w:rPr>
  </w:style>
  <w:style w:type="paragraph" w:styleId="205schet">
    <w:name w:val="205schet"/>
    <w:basedOn w:val="MGlava"/>
    <w:next w:val="MGlava"/>
    <w:qFormat/>
    <w:pPr>
      <w:tabs>
        <w:tab w:val="clear" w:pos="720"/>
        <w:tab w:val="left" w:pos="2154" w:leader="none"/>
      </w:tabs>
      <w:ind w:hanging="1587" w:start="2154" w:end="0"/>
    </w:pPr>
    <w:rPr>
      <w:color w:val="000000"/>
    </w:rPr>
  </w:style>
  <w:style w:type="paragraph" w:styleId="205p">
    <w:name w:val="205p"/>
    <w:basedOn w:val="MainText"/>
    <w:next w:val="MainText"/>
    <w:qFormat/>
    <w:pPr>
      <w:tabs>
        <w:tab w:val="clear" w:pos="720"/>
        <w:tab w:val="left" w:pos="1417" w:leader="none"/>
        <w:tab w:val="right" w:pos="8220" w:leader="none"/>
      </w:tabs>
      <w:spacing w:before="0" w:after="113"/>
      <w:ind w:hanging="850" w:start="1417" w:end="0"/>
      <w:jc w:val="start"/>
    </w:pPr>
    <w:rPr>
      <w:color w:val="000000"/>
    </w:rPr>
  </w:style>
  <w:style w:type="paragraph" w:styleId="MainTextPrimer1">
    <w:name w:val="MainText_Primer1"/>
    <w:basedOn w:val="MainText"/>
    <w:next w:val="MainText"/>
    <w:qFormat/>
    <w:pPr>
      <w:keepNext w:val="true"/>
      <w:ind w:hanging="0" w:start="283" w:end="283"/>
    </w:pPr>
    <w:rPr>
      <w:b/>
      <w:i/>
    </w:rPr>
  </w:style>
  <w:style w:type="paragraph" w:styleId="MainTextPrimer2">
    <w:name w:val="MainText_Primer2"/>
    <w:basedOn w:val="MainText"/>
    <w:next w:val="MainText"/>
    <w:qFormat/>
    <w:pPr>
      <w:ind w:firstLine="283" w:start="283" w:end="283"/>
    </w:pPr>
    <w:rPr>
      <w:color w:val="000000"/>
    </w:rPr>
  </w:style>
  <w:style w:type="paragraph" w:styleId="MainText-GLAVA">
    <w:name w:val="MainText - GLAVA"/>
    <w:basedOn w:val="MainText"/>
    <w:next w:val="MainText"/>
    <w:qFormat/>
    <w:pPr>
      <w:spacing w:before="113" w:after="113"/>
      <w:ind w:hanging="0" w:start="567" w:end="0"/>
    </w:pPr>
    <w:rPr>
      <w:color w:val="000000"/>
    </w:rPr>
  </w:style>
  <w:style w:type="paragraph" w:styleId="MainText-1Skoba">
    <w:name w:val="MainText - 1Skoba"/>
    <w:basedOn w:val="MainText-BezOtstupa1"/>
    <w:next w:val="MainText-BezOtstupa1"/>
    <w:qFormat/>
    <w:pPr>
      <w:ind w:firstLine="567" w:start="0" w:end="0"/>
    </w:pPr>
    <w:rPr>
      <w:i/>
      <w:color w:val="000000"/>
      <w:sz w:val="18"/>
    </w:rPr>
  </w:style>
  <w:style w:type="paragraph" w:styleId="NewTable0102">
    <w:name w:val="!NewTable01_02"/>
    <w:basedOn w:val="Table012"/>
    <w:next w:val="Table012"/>
    <w:qFormat/>
    <w:pPr>
      <w:tabs>
        <w:tab w:val="clear" w:pos="7370"/>
        <w:tab w:val="clear" w:pos="7710"/>
        <w:tab w:val="center" w:pos="8504" w:leader="none"/>
      </w:tabs>
    </w:pPr>
    <w:rPr>
      <w:color w:val="000000"/>
    </w:rPr>
  </w:style>
  <w:style w:type="paragraph" w:styleId="NewTable011">
    <w:name w:val="!NewTable01_1"/>
    <w:basedOn w:val="Table011"/>
    <w:next w:val="Table011"/>
    <w:qFormat/>
    <w:pPr>
      <w:ind w:hanging="1162" w:start="1304" w:end="624"/>
    </w:pPr>
    <w:rPr/>
  </w:style>
  <w:style w:type="paragraph" w:styleId="207zbold1">
    <w:name w:val="207_zbold1"/>
    <w:basedOn w:val="op161-1line"/>
    <w:next w:val="op161-1line"/>
    <w:qFormat/>
    <w:pPr>
      <w:pBdr>
        <w:top w:val="single" w:sz="2" w:space="0" w:color="000000"/>
        <w:bottom w:val="single" w:sz="12" w:space="0" w:color="000000"/>
      </w:pBdr>
      <w:tabs>
        <w:tab w:val="clear" w:pos="1191"/>
        <w:tab w:val="clear" w:pos="3231"/>
        <w:tab w:val="clear" w:pos="4082"/>
      </w:tabs>
      <w:spacing w:before="0" w:after="0"/>
      <w:ind w:hanging="0" w:start="113" w:end="113"/>
      <w:jc w:val="center"/>
    </w:pPr>
    <w:rPr>
      <w:b/>
      <w:color w:val="000000"/>
    </w:rPr>
  </w:style>
  <w:style w:type="paragraph" w:styleId="207zbold22of2">
    <w:name w:val="207_zbold2_2of2"/>
    <w:basedOn w:val="207zbold1"/>
    <w:next w:val="207zbold1"/>
    <w:qFormat/>
    <w:pPr>
      <w:pBdr>
        <w:top w:val="nil"/>
        <w:bottom w:val="single" w:sz="12" w:space="0" w:color="000000"/>
      </w:pBdr>
    </w:pPr>
    <w:rPr/>
  </w:style>
  <w:style w:type="paragraph" w:styleId="207zbold21of2">
    <w:name w:val="207_zbold2_1of2"/>
    <w:basedOn w:val="207zbold1"/>
    <w:next w:val="207zbold1"/>
    <w:qFormat/>
    <w:pPr>
      <w:pBdr>
        <w:top w:val="single" w:sz="2" w:space="0" w:color="000000"/>
        <w:bottom w:val="single" w:sz="12" w:space="0" w:color="000000"/>
      </w:pBdr>
    </w:pPr>
    <w:rPr/>
  </w:style>
  <w:style w:type="paragraph" w:styleId="207bninap">
    <w:name w:val="207_b_n_in_ap"/>
    <w:basedOn w:val="op161-1line"/>
    <w:next w:val="op161-1line"/>
    <w:qFormat/>
    <w:pPr>
      <w:pBdr>
        <w:top w:val="nil"/>
      </w:pBdr>
      <w:tabs>
        <w:tab w:val="clear" w:pos="3231"/>
        <w:tab w:val="clear" w:pos="4082"/>
        <w:tab w:val="center" w:pos="3175" w:leader="none"/>
        <w:tab w:val="left" w:pos="3739" w:leader="none"/>
        <w:tab w:val="left" w:pos="4280" w:leader="none"/>
      </w:tabs>
      <w:ind w:hanging="3628" w:start="4280" w:end="113"/>
    </w:pPr>
    <w:rPr>
      <w:color w:val="000000"/>
    </w:rPr>
  </w:style>
  <w:style w:type="paragraph" w:styleId="2070paragraphs">
    <w:name w:val="207_0_paragraphs"/>
    <w:basedOn w:val="op161-1line"/>
    <w:next w:val="op161-1line"/>
    <w:qFormat/>
    <w:pPr>
      <w:pBdr>
        <w:top w:val="nil"/>
      </w:pBdr>
      <w:tabs>
        <w:tab w:val="clear" w:pos="3231"/>
        <w:tab w:val="clear" w:pos="4082"/>
        <w:tab w:val="center" w:pos="3175" w:leader="none"/>
        <w:tab w:val="left" w:pos="3739" w:leader="none"/>
      </w:tabs>
      <w:ind w:hanging="3628" w:start="3742" w:end="113"/>
    </w:pPr>
    <w:rPr>
      <w:color w:val="000000"/>
    </w:rPr>
  </w:style>
  <w:style w:type="paragraph" w:styleId="2071fjla">
    <w:name w:val="207_1fj_la"/>
    <w:basedOn w:val="op161-1line"/>
    <w:next w:val="op161-1line"/>
    <w:qFormat/>
    <w:pPr>
      <w:tabs>
        <w:tab w:val="clear" w:pos="3231"/>
        <w:tab w:val="clear" w:pos="4082"/>
        <w:tab w:val="center" w:pos="3175" w:leader="none"/>
        <w:tab w:val="left" w:pos="3739" w:leader="none"/>
      </w:tabs>
      <w:ind w:hanging="3628" w:start="3742" w:end="113"/>
    </w:pPr>
    <w:rPr>
      <w:color w:val="000000"/>
    </w:rPr>
  </w:style>
  <w:style w:type="paragraph" w:styleId="2072">
    <w:name w:val="207_2"/>
    <w:basedOn w:val="2071fjla"/>
    <w:qFormat/>
    <w:pPr>
      <w:pBdr>
        <w:top w:val="nil"/>
      </w:pBdr>
      <w:spacing w:before="0" w:after="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ASVshapka">
    <w:name w:val="!ASV_shapka"/>
    <w:basedOn w:val="MainText"/>
    <w:next w:val="MainText"/>
    <w:qFormat/>
    <w:pPr>
      <w:pBdr>
        <w:bottom w:val="single" w:sz="2" w:space="0" w:color="000000"/>
      </w:pBdr>
      <w:tabs>
        <w:tab w:val="clear" w:pos="720"/>
        <w:tab w:val="center" w:pos="283" w:leader="none"/>
        <w:tab w:val="center" w:pos="3739" w:leader="none"/>
        <w:tab w:val="center" w:pos="7625" w:leader="none"/>
        <w:tab w:val="center" w:pos="8561" w:leader="none"/>
        <w:tab w:val="center" w:pos="9496" w:leader="none"/>
      </w:tabs>
      <w:spacing w:before="0" w:after="57"/>
      <w:ind w:hanging="0" w:start="0" w:end="0"/>
      <w:jc w:val="start"/>
    </w:pPr>
    <w:rPr>
      <w:rFonts w:ascii="PragmaticaCondC" w:hAnsi="PragmaticaCondC" w:cs="PragmaticaCondC"/>
      <w:color w:val="000000"/>
    </w:rPr>
  </w:style>
  <w:style w:type="paragraph" w:styleId="ASVbody">
    <w:name w:val="!ASV_body"/>
    <w:basedOn w:val="MainText"/>
    <w:next w:val="MainText"/>
    <w:qFormat/>
    <w:pPr>
      <w:pBdr>
        <w:bottom w:val="single" w:sz="2" w:space="0" w:color="000000"/>
      </w:pBdr>
      <w:tabs>
        <w:tab w:val="clear" w:pos="720"/>
        <w:tab w:val="right" w:pos="454" w:leader="none"/>
        <w:tab w:val="left" w:pos="652" w:leader="none"/>
        <w:tab w:val="center" w:pos="7625" w:leader="none"/>
        <w:tab w:val="center" w:pos="8561" w:leader="none"/>
        <w:tab w:val="center" w:pos="9496" w:leader="none"/>
      </w:tabs>
      <w:spacing w:before="0" w:after="57"/>
      <w:ind w:hanging="652" w:start="652" w:end="0"/>
      <w:jc w:val="start"/>
    </w:pPr>
    <w:rPr>
      <w:rFonts w:ascii="PragmaticaCondC" w:hAnsi="PragmaticaCondC" w:cs="PragmaticaCondC"/>
      <w:color w:val="000000"/>
    </w:rPr>
  </w:style>
  <w:style w:type="paragraph" w:styleId="21leftline">
    <w:name w:val="&amp;21leftline"/>
    <w:basedOn w:val="MainText"/>
    <w:next w:val="MainText"/>
    <w:qFormat/>
    <w:pPr>
      <w:pBdr>
        <w:bottom w:val="single" w:sz="2" w:space="0" w:color="000000"/>
      </w:pBdr>
      <w:spacing w:before="0" w:after="113"/>
      <w:ind w:firstLine="227" w:start="4876" w:end="113"/>
    </w:pPr>
    <w:rPr>
      <w:color w:val="000000"/>
    </w:rPr>
  </w:style>
  <w:style w:type="paragraph" w:styleId="t21rightline">
    <w:name w:val="?t21rightline"/>
    <w:basedOn w:val="MainText-BezOtstupa1"/>
    <w:next w:val="MainText-BezOtstupa1"/>
    <w:qFormat/>
    <w:pPr>
      <w:tabs>
        <w:tab w:val="clear" w:pos="720"/>
        <w:tab w:val="center" w:pos="283" w:leader="none"/>
        <w:tab w:val="left" w:pos="907" w:leader="none"/>
        <w:tab w:val="center" w:pos="6548" w:leader="none"/>
      </w:tabs>
      <w:spacing w:before="0" w:after="113"/>
      <w:ind w:hanging="680" w:start="680" w:end="5386"/>
    </w:pPr>
    <w:rPr>
      <w:color w:val="000000"/>
    </w:rPr>
  </w:style>
  <w:style w:type="paragraph" w:styleId="MGlavaBulleted">
    <w:name w:val="MGlava_Bulleted"/>
    <w:basedOn w:val="MainText-BezOtstupa1"/>
    <w:next w:val="MainText-BezOtstupa1"/>
    <w:qFormat/>
    <w:pPr>
      <w:tabs>
        <w:tab w:val="clear" w:pos="720"/>
        <w:tab w:val="right" w:pos="850" w:leader="none"/>
        <w:tab w:val="left" w:pos="907" w:leader="none"/>
      </w:tabs>
      <w:spacing w:before="113" w:after="113"/>
      <w:ind w:hanging="907" w:start="907" w:end="0"/>
    </w:pPr>
    <w:rPr>
      <w:b/>
      <w:color w:val="000000"/>
    </w:rPr>
  </w:style>
  <w:style w:type="paragraph" w:styleId="Style49">
    <w:name w:val="???. ?????"/>
    <w:qFormat/>
    <w:pPr>
      <w:widowControl/>
      <w:overflowPunct w:val="false"/>
      <w:autoSpaceDE w:val="false"/>
      <w:bidi w:val="0"/>
      <w:ind w:firstLine="567" w:start="0" w:end="0"/>
      <w:jc w:val="both"/>
      <w:textAlignment w:val="baseline"/>
    </w:pPr>
    <w:rPr>
      <w:rFonts w:ascii="Pragmatica" w:hAnsi="Pragmatica" w:eastAsia="Times New Roman" w:cs="Pragmatica"/>
      <w:color w:val="000000"/>
      <w:sz w:val="20"/>
      <w:szCs w:val="20"/>
      <w:lang w:val="en-US" w:bidi="ar-SA" w:eastAsia="zh-CN"/>
    </w:rPr>
  </w:style>
  <w:style w:type="paragraph" w:styleId="MGlavaSimpleBullets">
    <w:name w:val="MGlavaSimpleBullets"/>
    <w:basedOn w:val="BulletsNumbers"/>
    <w:next w:val="BulletsNumbers"/>
    <w:qFormat/>
    <w:pPr>
      <w:keepNext w:val="true"/>
      <w:keepLines/>
      <w:spacing w:before="113" w:after="113"/>
      <w:jc w:val="start"/>
    </w:pPr>
    <w:rPr>
      <w:color w:val="000000"/>
    </w:rPr>
  </w:style>
  <w:style w:type="paragraph" w:styleId="Rasshifrovka">
    <w:name w:val="Rasshifrovka"/>
    <w:basedOn w:val="MainTextBezOtstupa"/>
    <w:qFormat/>
    <w:pPr>
      <w:keepLines/>
      <w:spacing w:before="0" w:after="57"/>
      <w:jc w:val="center"/>
    </w:pPr>
    <w:rPr>
      <w:sz w:val="16"/>
    </w:rPr>
  </w:style>
  <w:style w:type="paragraph" w:styleId="MainTextPodzagolovok401">
    <w:name w:val="MainTextPodzagolovok401"/>
    <w:basedOn w:val="MainTextBezOtstupa"/>
    <w:next w:val="MainText"/>
    <w:qFormat/>
    <w:pPr>
      <w:keepNext w:val="true"/>
      <w:keepLines/>
      <w:spacing w:before="227" w:after="0"/>
      <w:jc w:val="start"/>
    </w:pPr>
    <w:rPr/>
  </w:style>
  <w:style w:type="paragraph" w:styleId="Primer">
    <w:name w:val="Primer"/>
    <w:basedOn w:val="MainTextBezOtstupa"/>
    <w:qFormat/>
    <w:pPr>
      <w:spacing w:before="57" w:after="57"/>
      <w:ind w:firstLine="283" w:start="0" w:end="0"/>
    </w:pPr>
    <w:rPr>
      <w:sz w:val="16"/>
    </w:rPr>
  </w:style>
  <w:style w:type="paragraph" w:styleId="Primer3">
    <w:name w:val="Primer3"/>
    <w:basedOn w:val="Primer"/>
    <w:next w:val="MainText"/>
    <w:qFormat/>
    <w:pPr>
      <w:spacing w:before="0" w:after="57"/>
    </w:pPr>
    <w:rPr/>
  </w:style>
  <w:style w:type="paragraph" w:styleId="Primer1">
    <w:name w:val="Primer1"/>
    <w:basedOn w:val="Primer"/>
    <w:next w:val="Primer2"/>
    <w:qFormat/>
    <w:pPr>
      <w:spacing w:before="57" w:after="0"/>
    </w:pPr>
    <w:rPr/>
  </w:style>
  <w:style w:type="paragraph" w:styleId="Primer2">
    <w:name w:val="Primer2"/>
    <w:basedOn w:val="Primer"/>
    <w:qFormat/>
    <w:pPr>
      <w:spacing w:before="0" w:after="0"/>
    </w:pPr>
    <w:rPr/>
  </w:style>
  <w:style w:type="paragraph" w:styleId="PrimerMiddle">
    <w:name w:val="PrimerMiddle"/>
    <w:basedOn w:val="Primer1"/>
    <w:next w:val="Primer1"/>
    <w:qFormat/>
    <w:pPr>
      <w:spacing w:before="0" w:after="0"/>
    </w:pPr>
    <w:rPr/>
  </w:style>
  <w:style w:type="paragraph" w:styleId="Razriadi6">
    <w:name w:val="Razriadi6"/>
    <w:basedOn w:val="Normal"/>
    <w:next w:val="Normal"/>
    <w:qFormat/>
    <w:pPr>
      <w:tabs>
        <w:tab w:val="clear" w:pos="720"/>
        <w:tab w:val="center" w:pos="3628" w:leader="none"/>
        <w:tab w:val="center" w:pos="4592" w:leader="none"/>
        <w:tab w:val="center" w:pos="5437" w:leader="none"/>
        <w:tab w:val="center" w:pos="6406" w:leader="none"/>
        <w:tab w:val="center" w:pos="7370" w:leader="none"/>
        <w:tab w:val="center" w:pos="8334" w:leader="none"/>
      </w:tabs>
      <w:ind w:firstLine="567" w:start="0" w:end="0"/>
    </w:pPr>
    <w:rPr>
      <w:rFonts w:ascii="PragmaticaC" w:hAnsi="PragmaticaC" w:cs="PragmaticaC"/>
      <w:sz w:val="19"/>
      <w:lang w:val="en-US"/>
    </w:rPr>
  </w:style>
  <w:style w:type="paragraph" w:styleId="Primers">
    <w:name w:val="Primers"/>
    <w:basedOn w:val="MainText"/>
    <w:next w:val="MainText"/>
    <w:qFormat/>
    <w:pPr>
      <w:tabs>
        <w:tab w:val="clear" w:pos="720"/>
        <w:tab w:val="left" w:pos="5675" w:leader="none"/>
      </w:tabs>
      <w:jc w:val="start"/>
    </w:pPr>
    <w:rPr>
      <w:color w:val="000000"/>
    </w:rPr>
  </w:style>
  <w:style w:type="paragraph" w:styleId="Table0222">
    <w:name w:val="Table022_2"/>
    <w:basedOn w:val="Normal"/>
    <w:next w:val="Normal"/>
    <w:qFormat/>
    <w:pPr>
      <w:keepLines/>
      <w:tabs>
        <w:tab w:val="clear" w:pos="720"/>
        <w:tab w:val="center" w:pos="312" w:leader="none"/>
        <w:tab w:val="left" w:pos="737" w:leader="none"/>
        <w:tab w:val="center" w:pos="8220" w:leader="none"/>
      </w:tabs>
      <w:spacing w:lineRule="atLeast" w:line="194" w:before="43" w:after="0"/>
      <w:ind w:hanging="624" w:start="737" w:end="0"/>
    </w:pPr>
    <w:rPr>
      <w:rFonts w:ascii="PragmaticaCondC" w:hAnsi="PragmaticaCondC" w:cs="PragmaticaCondC"/>
      <w:sz w:val="18"/>
      <w:lang w:val="en-US"/>
    </w:rPr>
  </w:style>
  <w:style w:type="paragraph" w:styleId="Table0221">
    <w:name w:val="Table022_1"/>
    <w:basedOn w:val="Normal"/>
    <w:next w:val="Normal"/>
    <w:qFormat/>
    <w:pPr>
      <w:keepLines/>
      <w:tabs>
        <w:tab w:val="clear" w:pos="720"/>
        <w:tab w:val="center" w:pos="312" w:leader="none"/>
        <w:tab w:val="left" w:pos="737" w:leader="none"/>
        <w:tab w:val="center" w:pos="8220" w:leader="none"/>
      </w:tabs>
      <w:spacing w:lineRule="atLeast" w:line="194" w:before="43" w:after="0"/>
      <w:ind w:hanging="624" w:start="737" w:end="0"/>
    </w:pPr>
    <w:rPr>
      <w:rFonts w:ascii="PragmaticaCondC" w:hAnsi="PragmaticaCondC" w:cs="PragmaticaCondC"/>
      <w:b/>
      <w:sz w:val="18"/>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image" Target="media/image2.emf"/><Relationship Id="rId4" Type="http://schemas.openxmlformats.org/officeDocument/2006/relationships/image" Target="media/image3.emf"/><Relationship Id="rId5" Type="http://schemas.openxmlformats.org/officeDocument/2006/relationships/image" Target="media/image4.emf"/><Relationship Id="rId6" Type="http://schemas.openxmlformats.org/officeDocument/2006/relationships/image" Target="media/image5.emf"/><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2008-06-04T13:48:00Z</dcterms:created>
  <dc:creator>Konstantin</dc:creator>
  <dc:description/>
  <cp:keywords/>
  <dc:language>ru-RU</dc:language>
  <cp:lastModifiedBy>PiterGavrinev</cp:lastModifiedBy>
  <cp:lastPrinted>2008-01-29T13:25:00Z</cp:lastPrinted>
  <dcterms:modified xsi:type="dcterms:W3CDTF">2008-06-04T13:48:00Z</dcterms:modified>
  <cp:revision>2</cp:revision>
  <dc:subject/>
  <dc:title>2005-У</dc:title>
</cp:coreProperties>
</file>