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inTextBezOtstupa"/>
        <w:spacing w:before="0" w:after="113"/>
        <w:jc w:val="start"/>
        <w:rPr/>
      </w:pPr>
      <w:r>
        <w:rPr/>
        <w:t>Зарегистрировано</w:t>
        <w:br/>
        <w:t>Министерством юстиции</w:t>
        <w:br/>
        <w:t>Российской Федерации</w:t>
        <w:br/>
        <w:t>16 декабря 2009 года</w:t>
        <w:br/>
        <w:t>Регистрационный № 15615</w:t>
      </w:r>
    </w:p>
    <w:p>
      <w:pPr>
        <w:pStyle w:val="Prikaz"/>
        <w:rPr/>
      </w:pPr>
      <w:r>
        <w:rPr/>
        <w:t>12 ноября 2009 года</w:t>
        <w:tab/>
        <w:t>№ 2332-У</w:t>
      </w:r>
    </w:p>
    <w:p>
      <w:pPr>
        <w:pStyle w:val="MZagolovokCenter"/>
        <w:keepLines w:val="false"/>
        <w:spacing w:before="0" w:after="120"/>
        <w:rPr/>
      </w:pPr>
      <w:r>
        <w:rPr>
          <w:color w:val="000000"/>
        </w:rPr>
        <w:t>УКАЗАНИЕ</w:t>
        <w:br/>
        <w:t>О перечне, формах и порядке составления и представления форм отчетности кредитных организаций в Центральный банк Российской Федерации</w:t>
      </w:r>
    </w:p>
    <w:p>
      <w:pPr>
        <w:pStyle w:val="MainText"/>
        <w:rPr/>
      </w:pPr>
      <w:r>
        <w:rPr/>
        <w:t>1. На основании статьи 57 Федерального закона от 10 июля 2002 года № 86-ФЗ “О Центральном банке Российской Федерации (Банке России)” (Собрание законодательства Российской Федерации, 2002, № 28, ст. 2790; 2003, № 2, ст. 157; № 52, ст. 5032; 2004, № 27, ст. 2711; № 31, ст. 3233; 2005, № 25, ст. 2426; № 30, ст. 3101; 2006, № 19, ст. 2061; № 25, ст. 2648; 2007, № 1, ст. 9, ст. 10; № 10, ст. 1151; № 18, ст. 2117; 2008, № 42, ст. 4696, ст. 4699; № 44, ст. 4982; № 52, ст. 6229, ст. 6231; 2009, № 1, ст. 25; № 29, ст. 3629) и в соответствии с решением Совета директоров Банка России (протокол заседания Совета директоров Банка России от 11 ноября 2009 года № 22) Банк России устанавливает формы отчетности кредитных организаций и порядок их составления и представления в Центральный банк Российской Федерации (приложение 1 к настоящему Указанию), а также перечень форм отчетности и другой информации, представляемых кредитными организациями в Центральный банк Российской Федерации (приложение 2 к настоящему Указанию).</w:t>
      </w:r>
    </w:p>
    <w:p>
      <w:pPr>
        <w:pStyle w:val="MainText"/>
        <w:rPr/>
      </w:pPr>
      <w:r>
        <w:rPr/>
        <w:t>2. Настоящее Указание подлежит официальному опубликованию в “Вестнике Банка России” и вступает в силу с 1 января 2010 года.</w:t>
      </w:r>
    </w:p>
    <w:p>
      <w:pPr>
        <w:pStyle w:val="MainText"/>
        <w:rPr/>
      </w:pPr>
      <w:r>
        <w:rPr/>
        <w:t>3. Настоящее Указание применяется при составлении и представлении кредитными организациями форм отчетности и другой информации, предусмотренной приложением 2 к настоящему Указанию, с 1 января 2010 года.</w:t>
      </w:r>
    </w:p>
    <w:p>
      <w:pPr>
        <w:pStyle w:val="MainText"/>
        <w:rPr/>
      </w:pPr>
      <w:r>
        <w:rPr/>
        <w:t>Форма отчетности 0409325 “Процентные ставки по межбанковским кредитам”, Порядок составления и представления отчетности по форме 0409325 “Процентные ставки по межбанковским кредитам” приложения 1 к настоящему Указанию и строка 1 приложения 2 к настоящему Указанию действуют до 1 июля 2010 года.</w:t>
      </w:r>
    </w:p>
    <w:p>
      <w:pPr>
        <w:pStyle w:val="MainText"/>
        <w:rPr/>
      </w:pPr>
      <w:r>
        <w:rPr/>
        <w:t>4. Со дня вступления в силу настоящего Указания признать утратившими силу:</w:t>
      </w:r>
    </w:p>
    <w:p>
      <w:pPr>
        <w:pStyle w:val="MainText"/>
        <w:rPr/>
      </w:pPr>
      <w:r>
        <w:rPr/>
        <w:t>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23 января 2004 года № 5488 (“Вестник Банка России” от 12 февраля 2004 года № 12—13);</w:t>
      </w:r>
    </w:p>
    <w:p>
      <w:pPr>
        <w:pStyle w:val="MainText"/>
        <w:rPr/>
      </w:pPr>
      <w:r>
        <w:rPr/>
        <w:t>Указание Банка России от 27 июля 2004 года № 1481-У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12 августа 2004 года № 5970 (“Вестник Банка России” от 19 августа 2004 года № 50);</w:t>
      </w:r>
    </w:p>
    <w:p>
      <w:pPr>
        <w:pStyle w:val="MainText"/>
        <w:rPr/>
      </w:pPr>
      <w:r>
        <w:rPr/>
        <w:t>Указание Банка России от 25 августа 2004 года № 1494-У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13 сентября 2004 года № 6018 (“Вестник Банка России” от 17 сентября 2004 года № 56);</w:t>
      </w:r>
    </w:p>
    <w:p>
      <w:pPr>
        <w:pStyle w:val="MainText"/>
        <w:rPr/>
      </w:pPr>
      <w:r>
        <w:rPr/>
        <w:t>Указание Банка России от 13 сентября 2004 года № 1499-У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22 сентября 2004 года № 6039 (“Вестник Банка России” от 29 сентября 2004 года № 58);</w:t>
      </w:r>
    </w:p>
    <w:p>
      <w:pPr>
        <w:pStyle w:val="MainText"/>
        <w:rPr/>
      </w:pPr>
      <w:r>
        <w:rPr/>
        <w:t>Указание Банка России от 18 февраля 2005 года № 1551-У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5 апреля 2005 года № 6463 (“Вестник Банка России” от 13 апреля 2005 года № 19);</w:t>
      </w:r>
    </w:p>
    <w:p>
      <w:pPr>
        <w:pStyle w:val="MainText"/>
        <w:rPr/>
      </w:pPr>
      <w:r>
        <w:rPr/>
        <w:t>Указание Банка России от 11 марта 2005 года № 1562-У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16 марта 2005 года № 6402 (“Вестник Банка России” от 19 марта 2005 года № 15);</w:t>
      </w:r>
    </w:p>
    <w:p>
      <w:pPr>
        <w:pStyle w:val="MainText"/>
        <w:rPr/>
      </w:pPr>
      <w:r>
        <w:rPr/>
        <w:t>Указание Банка России от 25 мая 2005 года № 1579-У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21 июня 2005 года № 6735 (“Вестник Банка России” от 29 июня 2005 года № 32);</w:t>
      </w:r>
    </w:p>
    <w:p>
      <w:pPr>
        <w:pStyle w:val="MainText"/>
        <w:rPr/>
      </w:pPr>
      <w:r>
        <w:rPr/>
        <w:t>Указание Банка России от 26 декабря 2005 года № 1646-У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18 января 2006 года № 7377 (“Вестник Банка России” от 25 января 2006 года № 3);</w:t>
      </w:r>
    </w:p>
    <w:p>
      <w:pPr>
        <w:pStyle w:val="MainText"/>
        <w:rPr/>
      </w:pPr>
      <w:r>
        <w:rPr/>
        <w:t>Указание Банка России от 17 февраля 2006 года № 1660-У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23 марта 2006 года № 7613 (“Вестник Банка России” от 30 марта 2006 года № 19—20);</w:t>
      </w:r>
    </w:p>
    <w:p>
      <w:pPr>
        <w:pStyle w:val="MainText"/>
        <w:rPr/>
      </w:pPr>
      <w:r>
        <w:rPr/>
        <w:t>Указание Банка России от 24 ноября 2006 года № 1747-У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18 декабря 2006 года № 8630 (“Вестник Банка России” от 21 декабря 2006 года № 71);</w:t>
      </w:r>
    </w:p>
    <w:p>
      <w:pPr>
        <w:pStyle w:val="MainText"/>
        <w:rPr/>
      </w:pPr>
      <w:r>
        <w:rPr/>
        <w:t>Указание Банка России от 26 марта 2007 года № 1803-У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29 марта 2007 года № 9168 (“Вестник Банка России” от 30 марта 2007 года № 17);</w:t>
      </w:r>
    </w:p>
    <w:p>
      <w:pPr>
        <w:pStyle w:val="MainText"/>
        <w:rPr/>
      </w:pPr>
      <w:r>
        <w:rPr/>
        <w:t>Указание Банка России от 18 июня 2007 года № 1841-У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25 июня 2007 года № 9679 (“Вестник Банка России” от 28 июня 2007 года № 37);</w:t>
      </w:r>
    </w:p>
    <w:p>
      <w:pPr>
        <w:pStyle w:val="MainText"/>
        <w:rPr/>
      </w:pPr>
      <w:r>
        <w:rPr/>
        <w:t>Указание Банка России от 31 августа 2007 года № 1881-У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17 сентября 2007 года № 10155 (“Вестник Банка России” от 27 сентября 2007 года № 55);</w:t>
      </w:r>
    </w:p>
    <w:p>
      <w:pPr>
        <w:pStyle w:val="MainText"/>
        <w:rPr/>
      </w:pPr>
      <w:r>
        <w:rPr/>
        <w:t>Указание Банка России от 7 декабря 2007 года № 1948-У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11 декабря 2007 года № 10669 (“Вестник Банка России” от 17 декабря 2007 года № 69);</w:t>
      </w:r>
    </w:p>
    <w:p>
      <w:pPr>
        <w:pStyle w:val="MainText"/>
        <w:rPr/>
      </w:pPr>
      <w:r>
        <w:rPr/>
        <w:t>Указание Банка России от 26 августа 2008 года № 2055-У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10 сентября 2008 года № 12253 (“Вестник Банка России” от 23 сентября 2008 года № 51—52);</w:t>
      </w:r>
    </w:p>
    <w:p>
      <w:pPr>
        <w:pStyle w:val="MainText"/>
        <w:rPr/>
      </w:pPr>
      <w:r>
        <w:rPr/>
        <w:t>Указание Банка России от 6 ноября 2008 года № 2121-У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28 ноября 2008 года № 12754 (“Вестник Банка России” от 4 декабря 2008 года № 71);</w:t>
      </w:r>
    </w:p>
    <w:p>
      <w:pPr>
        <w:pStyle w:val="MainText"/>
        <w:rPr/>
      </w:pPr>
      <w:r>
        <w:rPr/>
        <w:t>Указание Банка России от 9 февраля 2009 года № 2183-У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18 февраля 2009 года № 13397 (“Вестник Банка России” от 26 февраля 2009 года № 14);</w:t>
      </w:r>
    </w:p>
    <w:p>
      <w:pPr>
        <w:pStyle w:val="MainText"/>
        <w:rPr/>
      </w:pPr>
      <w:r>
        <w:rPr/>
        <w:t>Указание Банка России от 15 сентября 2009 года № 2292-У “О внесении изменений в Указание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зарегистрированное Министерством юстиции Российской Федерации 21 сентября 2009 года № 14811 (“Вестник Банка России” от 23 сентября 2009 года № 56).</w:t>
      </w:r>
    </w:p>
    <w:p>
      <w:pPr>
        <w:pStyle w:val="Podpis"/>
        <w:rPr/>
      </w:pPr>
      <w:r>
        <w:rPr/>
        <w:t>ПРЕДСЕДАТЕЛЬ ЦЕНТРАЛЬНОГО БАНКА РОССИЙСКОЙ ФЕДЕРАЦИИ</w:t>
        <w:tab/>
        <w:t>С.М. ИГНАТЬЕВ</w:t>
      </w:r>
    </w:p>
    <w:p>
      <w:pPr>
        <w:pStyle w:val="MainText"/>
        <w:rPr/>
      </w:pPr>
      <w:r>
        <w:rPr/>
      </w:r>
      <w:r>
        <w:br w:type="page"/>
      </w:r>
    </w:p>
    <w:p>
      <w:pPr>
        <w:pStyle w:val="MainTextBezOtstupa"/>
        <w:keepNext w:val="true"/>
        <w:keepLines/>
        <w:jc w:val="end"/>
        <w:rPr/>
      </w:pPr>
      <w:r>
        <w:rPr>
          <w:b/>
        </w:rPr>
        <w:t>Приложение 1</w:t>
      </w:r>
      <w:r>
        <w:rPr/>
        <w:br/>
        <w:t xml:space="preserve"> к Указанию Банка России</w:t>
        <w:br/>
        <w:t xml:space="preserve"> от 12 ноября 2009 года № 2332-У</w:t>
        <w:br/>
        <w:t xml:space="preserve"> “О перечне, формах и порядке составления и представления</w:t>
        <w:br/>
        <w:t xml:space="preserve"> форм отчетности кредитных организаций</w:t>
        <w:br/>
        <w:t xml:space="preserve"> в Центральный банк Российской Федерации”</w:t>
      </w:r>
    </w:p>
    <w:p>
      <w:pPr>
        <w:pStyle w:val="Glavnyi"/>
        <w:spacing w:before="6000" w:after="120"/>
        <w:rPr/>
      </w:pPr>
      <w:r>
        <w:rPr/>
        <w:t>ФОРМЫ ОТЧЕТНОСТИ КРЕДИТНЫХ ОРГАНИЗАЦИЙ И ПОРЯДОК ИХ СОСТАВЛЕНИЯ И ПРЕДСТАВЛЕНИЯ В ЦЕНТРАЛЬНЫЙ БАНК РОССИЙСКОЙ ФЕДЕРАЦИИ</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ЗАКЛЮЧЕНИИ ДОГОВОРА НА ПРОВЕДЕНИЕ АУДИТОРСКОЙ ПРОВЕРКИ ДЕЯТЕЛЬНОСТИ </w:t>
        <w:br/>
        <w:t xml:space="preserve">КРЕДИТНОЙ ОРГАНИЗАЦИИ, БАНКОВСКОЙ (КОНСОЛИДИРОВАННОЙ) ГРУППЫ </w:t>
        <w:br/>
        <w:t>за ______ 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0409024</w:t>
        <w:br/>
        <w:t>На нерегулярной основе</w:t>
      </w:r>
    </w:p>
    <w:tbl>
      <w:tblPr>
        <w:tblW w:w="16217" w:type="dxa"/>
        <w:jc w:val="center"/>
        <w:tblInd w:w="0" w:type="dxa"/>
        <w:tblLayout w:type="fixed"/>
        <w:tblCellMar>
          <w:top w:w="0" w:type="dxa"/>
          <w:start w:w="28" w:type="dxa"/>
          <w:bottom w:w="0" w:type="dxa"/>
          <w:end w:w="28" w:type="dxa"/>
        </w:tblCellMar>
      </w:tblPr>
      <w:tblGrid>
        <w:gridCol w:w="653"/>
        <w:gridCol w:w="1138"/>
        <w:gridCol w:w="1416"/>
        <w:gridCol w:w="1301"/>
        <w:gridCol w:w="1301"/>
        <w:gridCol w:w="1368"/>
        <w:gridCol w:w="1402"/>
        <w:gridCol w:w="1433"/>
        <w:gridCol w:w="1241"/>
        <w:gridCol w:w="1241"/>
        <w:gridCol w:w="1241"/>
        <w:gridCol w:w="1241"/>
        <w:gridCol w:w="1241"/>
      </w:tblGrid>
      <w:tr>
        <w:trPr>
          <w:tblHeader w:val="true"/>
          <w:cantSplit/>
        </w:trPr>
        <w:tc>
          <w:tcPr>
            <w:tcW w:w="653"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 строки</w:t>
            </w:r>
          </w:p>
        </w:tc>
        <w:tc>
          <w:tcPr>
            <w:tcW w:w="1138"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Полное фирменное наименование</w:t>
            </w:r>
          </w:p>
        </w:tc>
        <w:tc>
          <w:tcPr>
            <w:tcW w:w="1416"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Основной государственный регистрационный</w:t>
            </w:r>
          </w:p>
        </w:tc>
        <w:tc>
          <w:tcPr>
            <w:tcW w:w="1301"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Юридический адрес аудиторской организации</w:t>
            </w:r>
          </w:p>
        </w:tc>
        <w:tc>
          <w:tcPr>
            <w:tcW w:w="1301"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Фактический адрес места нахождения аудиторской</w:t>
            </w:r>
          </w:p>
        </w:tc>
        <w:tc>
          <w:tcPr>
            <w:tcW w:w="1368"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Полное наименование саморегулируемой</w:t>
            </w:r>
          </w:p>
        </w:tc>
        <w:tc>
          <w:tcPr>
            <w:tcW w:w="1402"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 саморегулируемой организации</w:t>
            </w:r>
          </w:p>
        </w:tc>
        <w:tc>
          <w:tcPr>
            <w:tcW w:w="267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Номер аудиторской организации в реестре аудиторов и аудиторских организаций</w:t>
            </w:r>
          </w:p>
        </w:tc>
        <w:tc>
          <w:tcPr>
            <w:tcW w:w="1241"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Вид отчетности, подлежащий аудиторской</w:t>
            </w:r>
          </w:p>
        </w:tc>
        <w:tc>
          <w:tcPr>
            <w:tcW w:w="3723"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Договор (дополнительное соглашение) на проведение аудиторской проверки</w:t>
            </w:r>
          </w:p>
        </w:tc>
      </w:tr>
      <w:tr>
        <w:trPr>
          <w:tblHeader w:val="true"/>
          <w:cantSplit/>
        </w:trPr>
        <w:tc>
          <w:tcPr>
            <w:tcW w:w="65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138"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аудиторской организации</w:t>
            </w:r>
          </w:p>
        </w:tc>
        <w:tc>
          <w:tcPr>
            <w:tcW w:w="1416"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номер аудиторской организации</w:t>
            </w:r>
          </w:p>
        </w:tc>
        <w:tc>
          <w:tcPr>
            <w:tcW w:w="130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01"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организации</w:t>
            </w:r>
          </w:p>
        </w:tc>
        <w:tc>
          <w:tcPr>
            <w:tcW w:w="1368"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организации аудиторов, членом которой является аудиторская организация</w:t>
            </w:r>
          </w:p>
        </w:tc>
        <w:tc>
          <w:tcPr>
            <w:tcW w:w="1402"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аудиторов</w:t>
            </w:r>
          </w:p>
        </w:tc>
        <w:tc>
          <w:tcPr>
            <w:tcW w:w="14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саморегулируемых организаций аудиторов</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уполномоченного федерального органа</w:t>
            </w:r>
          </w:p>
        </w:tc>
        <w:tc>
          <w:tcPr>
            <w:tcW w:w="1241"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проверке</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дата заключения</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дата начала предоставления услуг</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дата окончания предоставления услуг</w:t>
            </w:r>
          </w:p>
        </w:tc>
      </w:tr>
      <w:tr>
        <w:trPr>
          <w:tblHeader w:val="true"/>
          <w:cantSplit/>
        </w:trPr>
        <w:tc>
          <w:tcPr>
            <w:tcW w:w="65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w:t>
            </w:r>
          </w:p>
        </w:tc>
        <w:tc>
          <w:tcPr>
            <w:tcW w:w="113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w:t>
            </w:r>
          </w:p>
        </w:tc>
        <w:tc>
          <w:tcPr>
            <w:tcW w:w="14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3</w:t>
            </w:r>
          </w:p>
        </w:tc>
        <w:tc>
          <w:tcPr>
            <w:tcW w:w="13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4</w:t>
            </w:r>
          </w:p>
        </w:tc>
        <w:tc>
          <w:tcPr>
            <w:tcW w:w="13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5</w:t>
            </w:r>
          </w:p>
        </w:tc>
        <w:tc>
          <w:tcPr>
            <w:tcW w:w="136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6</w:t>
            </w:r>
          </w:p>
        </w:tc>
        <w:tc>
          <w:tcPr>
            <w:tcW w:w="1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7</w:t>
            </w:r>
          </w:p>
        </w:tc>
        <w:tc>
          <w:tcPr>
            <w:tcW w:w="14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8</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9</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10</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11</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12</w:t>
            </w:r>
          </w:p>
        </w:tc>
        <w:tc>
          <w:tcPr>
            <w:tcW w:w="12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13</w:t>
            </w:r>
          </w:p>
        </w:tc>
      </w:tr>
      <w:tr>
        <w:trPr>
          <w:cantSplit/>
        </w:trPr>
        <w:tc>
          <w:tcPr>
            <w:tcW w:w="6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1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6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1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6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1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BezOtstupa"/>
        <w:tabs>
          <w:tab w:val="clear" w:pos="720"/>
          <w:tab w:val="left" w:pos="4564" w:leader="none"/>
        </w:tabs>
        <w:spacing w:before="120" w:after="0"/>
        <w:rPr/>
      </w:pPr>
      <w:r>
        <w:rPr/>
        <w:t>Руководитель</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0409024 “Сведения о заключении договора на проведение аудиторской проверки деятельности кредитной организации, банковской (консолидированной) группы”</w:t>
      </w:r>
    </w:p>
    <w:p>
      <w:pPr>
        <w:pStyle w:val="MainText"/>
        <w:rPr/>
      </w:pPr>
      <w:r>
        <w:rPr/>
        <w:t>1. Отчетность по форме 0409024 “Сведения о заключении договора на проведение аудиторской проверки деятельности кредитной организации, банковской (консолидированной) группы” (далее — Отчет) составляется кредитными организациями (включая небанковские кредитные организации), в том числе являющимися головными кредитными организациями банковских (консолидированных) групп, и представляется в территориальное учреждение Банка России в срок не позднее 5 рабочих дней после даты заключения:</w:t>
      </w:r>
    </w:p>
    <w:p>
      <w:pPr>
        <w:pStyle w:val="MainText"/>
        <w:rPr/>
      </w:pPr>
      <w:r>
        <w:rPr/>
        <w:t>договора с аудиторской организацией на проведение аудиторской проверки;</w:t>
      </w:r>
    </w:p>
    <w:p>
      <w:pPr>
        <w:pStyle w:val="MainText"/>
        <w:rPr/>
      </w:pPr>
      <w:r>
        <w:rPr/>
        <w:t>дополнительного соглашения к договору с аудиторской организацией на проведение аудиторской проверки;</w:t>
      </w:r>
    </w:p>
    <w:p>
      <w:pPr>
        <w:pStyle w:val="MainText"/>
        <w:rPr/>
      </w:pPr>
      <w:r>
        <w:rPr/>
        <w:t>договора на проведение аудиторской проверки с другой аудиторской организацией.</w:t>
      </w:r>
    </w:p>
    <w:p>
      <w:pPr>
        <w:pStyle w:val="MainText"/>
        <w:rPr/>
      </w:pPr>
      <w:r>
        <w:rPr/>
        <w:t>Информация о дополнительном соглашении к договору с аудиторской организацией на проведение аудиторской проверки отражается в отдельной строке по каждому виду отчетности, подлежащей аудиторской проверке, указанной в пункте 8 настоящего Порядка.</w:t>
      </w:r>
    </w:p>
    <w:p>
      <w:pPr>
        <w:pStyle w:val="MainText"/>
        <w:rPr/>
      </w:pPr>
      <w:r>
        <w:rPr/>
        <w:t>2. В графе 2 Отчета указывается полное фирменное наименование аудиторской организации, указанное в контрольном экземпляре реестра аудиторов и аудиторских организаций, который ведет уполномоченный федеральный орган. В случае изменения полного фирменного наименования аудиторской организации в Отчете указывается ее новое полное фирменное наименование, а в скобках — ранее зарегистрированное.</w:t>
      </w:r>
    </w:p>
    <w:p>
      <w:pPr>
        <w:pStyle w:val="MainText"/>
        <w:rPr/>
      </w:pPr>
      <w:r>
        <w:rPr/>
        <w:t>3. В графе 3 Отчета указывается основной государственный регистрационный номер (ОГРН) аудиторской организации в соответствии с Единым государственным реестром юридических лиц.</w:t>
      </w:r>
    </w:p>
    <w:p>
      <w:pPr>
        <w:pStyle w:val="MainText"/>
        <w:rPr/>
      </w:pPr>
      <w:r>
        <w:rPr/>
        <w:t>4. В графе 6 Отчета указывается полное наименование саморегулируемой организации аудиторов, членом которой является аудиторская организация, указанное в государственном реестре саморегулируемых организаций аудиторов, который ведет уполномоченный федеральный орган.</w:t>
      </w:r>
    </w:p>
    <w:p>
      <w:pPr>
        <w:pStyle w:val="MainText"/>
        <w:rPr/>
      </w:pPr>
      <w:r>
        <w:rPr/>
        <w:t>5. В графе 7 Отчета указывается номер саморегулируемой организации аудиторов в государственном реестре саморегулируемых организаций аудиторов, который ведет уполномоченный федеральный орган.</w:t>
      </w:r>
    </w:p>
    <w:p>
      <w:pPr>
        <w:pStyle w:val="MainText"/>
        <w:rPr/>
      </w:pPr>
      <w:r>
        <w:rPr/>
        <w:t>6. В графе 8 Отчета указывается номер аудиторской организации в реестре аудиторов и аудиторских организаций, который ведет саморегулируемая организация аудиторов, членом которой является аудиторская организация.</w:t>
      </w:r>
    </w:p>
    <w:p>
      <w:pPr>
        <w:pStyle w:val="MainText"/>
        <w:rPr/>
      </w:pPr>
      <w:r>
        <w:rPr/>
        <w:t>7. В графе 9 Отчета указывается номер аудиторской организации в контрольном экземпляре реестра аудиторов и аудиторских организаций, который ведет уполномоченный федеральный орган.</w:t>
      </w:r>
    </w:p>
    <w:p>
      <w:pPr>
        <w:pStyle w:val="MainText"/>
        <w:rPr/>
      </w:pPr>
      <w:r>
        <w:rPr/>
        <w:t>8. В графе 10 Отчета указывается вид отчетности, подлежащий аудиторской проверке, в соответствии с нижеприведенной классификацией.</w:t>
      </w:r>
    </w:p>
    <w:p>
      <w:pPr>
        <w:pStyle w:val="MainText"/>
        <w:rPr/>
      </w:pPr>
      <w:r>
        <w:rPr/>
        <w:t>Для формирования Отчета используются следующие коды:</w:t>
      </w:r>
    </w:p>
    <w:p>
      <w:pPr>
        <w:pStyle w:val="MainText"/>
        <w:rPr/>
      </w:pPr>
      <w:r>
        <w:rPr/>
        <w:t>1 — годовой отчет кредитной организации;</w:t>
      </w:r>
    </w:p>
    <w:p>
      <w:pPr>
        <w:pStyle w:val="MainText"/>
        <w:rPr/>
      </w:pPr>
      <w:r>
        <w:rPr/>
        <w:t>2 — квартальная публикуемая отчетность;</w:t>
      </w:r>
    </w:p>
    <w:p>
      <w:pPr>
        <w:pStyle w:val="MainText"/>
        <w:rPr/>
      </w:pPr>
      <w:r>
        <w:rPr/>
        <w:t>3 — годовая консолидированная отчетность;</w:t>
      </w:r>
    </w:p>
    <w:p>
      <w:pPr>
        <w:pStyle w:val="MainText"/>
        <w:rPr/>
      </w:pPr>
      <w:r>
        <w:rPr/>
        <w:t>4 — квартальная консолидированная отчетность.</w:t>
      </w:r>
    </w:p>
    <w:p>
      <w:pPr>
        <w:pStyle w:val="MainText"/>
        <w:rPr/>
      </w:pPr>
      <w:r>
        <w:rPr/>
        <w:t>Информация о видах отчетности отражается отдельными строками по каждому коду.</w:t>
      </w:r>
    </w:p>
    <w:p>
      <w:pPr>
        <w:pStyle w:val="MainText"/>
        <w:rPr/>
      </w:pPr>
      <w:r>
        <w:rPr/>
        <w:t>9. В графе 12 Отчета указывается дата начала предоставления услуг по договору (дополнительному соглашению к договору) на проведение аудиторской проверки, заключенному между кредитной организацией и аудиторской организацией.</w:t>
      </w:r>
    </w:p>
    <w:p>
      <w:pPr>
        <w:pStyle w:val="MainText"/>
        <w:rPr/>
      </w:pPr>
      <w:r>
        <w:rPr/>
        <w:t>В графе 13 Отчета — дата окончания предоставления услуг по договору (дополнительному соглашению к договору) на проведение аудиторской проверки.</w:t>
      </w:r>
    </w:p>
    <w:p>
      <w:pPr>
        <w:pStyle w:val="MainText"/>
        <w:rPr/>
      </w:pPr>
      <w:r>
        <w:rPr/>
        <w:t>При заполнении граф 12 и 13 Отчета используется следующий формат указания дат: “дд.мм.гггг”, где “дд” — день, “мм” — месяц, “гггг” — год.</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СПИСОК АФФИЛИРОВАННЫХ ЛИЦ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0409051</w:t>
        <w:br/>
        <w:t>На нерегулярной основе</w:t>
      </w:r>
    </w:p>
    <w:tbl>
      <w:tblPr>
        <w:tblW w:w="16261" w:type="dxa"/>
        <w:jc w:val="center"/>
        <w:tblInd w:w="0" w:type="dxa"/>
        <w:tblLayout w:type="fixed"/>
        <w:tblCellMar>
          <w:top w:w="0" w:type="dxa"/>
          <w:start w:w="28" w:type="dxa"/>
          <w:bottom w:w="0" w:type="dxa"/>
          <w:end w:w="28" w:type="dxa"/>
        </w:tblCellMar>
      </w:tblPr>
      <w:tblGrid>
        <w:gridCol w:w="1244"/>
        <w:gridCol w:w="567"/>
        <w:gridCol w:w="1445"/>
        <w:gridCol w:w="1445"/>
        <w:gridCol w:w="1445"/>
        <w:gridCol w:w="1445"/>
        <w:gridCol w:w="1445"/>
        <w:gridCol w:w="1445"/>
        <w:gridCol w:w="1396"/>
        <w:gridCol w:w="566"/>
        <w:gridCol w:w="1135"/>
        <w:gridCol w:w="2683"/>
      </w:tblGrid>
      <w:tr>
        <w:trPr>
          <w:tblHeader w:val="true"/>
          <w:cantSplit/>
        </w:trPr>
        <w:tc>
          <w:tcPr>
            <w:tcW w:w="10481" w:type="dxa"/>
            <w:gridSpan w:val="8"/>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Аффилированные лица</w:t>
            </w:r>
          </w:p>
        </w:tc>
        <w:tc>
          <w:tcPr>
            <w:tcW w:w="1396"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Дата наступления</w:t>
            </w:r>
          </w:p>
        </w:tc>
        <w:tc>
          <w:tcPr>
            <w:tcW w:w="1701"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Основания, в силу</w:t>
            </w:r>
          </w:p>
        </w:tc>
        <w:tc>
          <w:tcPr>
            <w:tcW w:w="2683"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Принадлежащие</w:t>
            </w:r>
          </w:p>
        </w:tc>
      </w:tr>
      <w:tr>
        <w:trPr>
          <w:tblHeader w:val="true"/>
          <w:cantSplit/>
        </w:trPr>
        <w:tc>
          <w:tcPr>
            <w:tcW w:w="1244"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индивидуальный код</w:t>
            </w:r>
          </w:p>
        </w:tc>
        <w:tc>
          <w:tcPr>
            <w:tcW w:w="567"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тип кода</w:t>
            </w:r>
          </w:p>
        </w:tc>
        <w:tc>
          <w:tcPr>
            <w:tcW w:w="14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полное и сокращенное наименование юридического лица</w:t>
            </w:r>
          </w:p>
        </w:tc>
        <w:tc>
          <w:tcPr>
            <w:tcW w:w="14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место нахождения (юридический адрес) юридического лица (из устава)</w:t>
            </w:r>
          </w:p>
        </w:tc>
        <w:tc>
          <w:tcPr>
            <w:tcW w:w="14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фактическое место нахождения (почтовый адрес) юридического лица</w:t>
            </w:r>
          </w:p>
        </w:tc>
        <w:tc>
          <w:tcPr>
            <w:tcW w:w="14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для юридического лица не заполняется</w:t>
            </w:r>
          </w:p>
        </w:tc>
        <w:tc>
          <w:tcPr>
            <w:tcW w:w="14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код ОКПО юридического лица</w:t>
            </w:r>
          </w:p>
        </w:tc>
        <w:tc>
          <w:tcPr>
            <w:tcW w:w="14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код ИНН юридического лица</w:t>
            </w:r>
          </w:p>
        </w:tc>
        <w:tc>
          <w:tcPr>
            <w:tcW w:w="1396" w:type="dxa"/>
            <w:tcBorders>
              <w:start w:val="single" w:sz="6" w:space="0" w:color="000000"/>
              <w:end w:val="single" w:sz="6" w:space="0" w:color="000000"/>
            </w:tcBorders>
          </w:tcPr>
          <w:p>
            <w:pPr>
              <w:pStyle w:val="MainText"/>
              <w:keepNext w:val="true"/>
              <w:ind w:hanging="0" w:end="0"/>
              <w:jc w:val="center"/>
              <w:rPr>
                <w:sz w:val="14"/>
              </w:rPr>
            </w:pPr>
            <w:r>
              <w:rPr>
                <w:sz w:val="14"/>
              </w:rPr>
              <w:t>основания, в силу которого лицо является аффилированным лицом кредитной</w:t>
            </w:r>
          </w:p>
        </w:tc>
        <w:tc>
          <w:tcPr>
            <w:tcW w:w="1701" w:type="dxa"/>
            <w:gridSpan w:val="2"/>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которых лицо является аффилированным лицом кредитной организации</w:t>
            </w:r>
          </w:p>
        </w:tc>
        <w:tc>
          <w:tcPr>
            <w:tcW w:w="2683" w:type="dxa"/>
            <w:tcBorders>
              <w:start w:val="single" w:sz="6" w:space="0" w:color="000000"/>
              <w:end w:val="single" w:sz="6" w:space="0" w:color="000000"/>
            </w:tcBorders>
          </w:tcPr>
          <w:p>
            <w:pPr>
              <w:pStyle w:val="MainText"/>
              <w:keepNext w:val="true"/>
              <w:ind w:hanging="0" w:end="0"/>
              <w:jc w:val="center"/>
              <w:rPr>
                <w:sz w:val="14"/>
              </w:rPr>
            </w:pPr>
            <w:r>
              <w:rPr>
                <w:sz w:val="14"/>
              </w:rPr>
              <w:t>аффилированному лицу акции (доли) кредитной организации (процент голосов к общему количеству голосующих акций (долей) кредитной организации) / принадлежащие</w:t>
            </w:r>
          </w:p>
        </w:tc>
      </w:tr>
      <w:tr>
        <w:trPr>
          <w:tblHeader w:val="true"/>
          <w:cantSplit/>
        </w:trPr>
        <w:tc>
          <w:tcPr>
            <w:tcW w:w="124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56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4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Ф.И.О. физического лица</w:t>
            </w:r>
          </w:p>
        </w:tc>
        <w:tc>
          <w:tcPr>
            <w:tcW w:w="14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гражданство физического лица</w:t>
            </w:r>
          </w:p>
        </w:tc>
        <w:tc>
          <w:tcPr>
            <w:tcW w:w="14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место жительства физического лица</w:t>
            </w:r>
          </w:p>
        </w:tc>
        <w:tc>
          <w:tcPr>
            <w:tcW w:w="14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наименование документа, удостоверяющего личность физического лица</w:t>
            </w:r>
          </w:p>
        </w:tc>
        <w:tc>
          <w:tcPr>
            <w:tcW w:w="14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серия документа, удостоверяющего личность физического лица</w:t>
            </w:r>
          </w:p>
        </w:tc>
        <w:tc>
          <w:tcPr>
            <w:tcW w:w="14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номер документа, удостоверяющего личность физического лица</w:t>
            </w:r>
          </w:p>
        </w:tc>
        <w:tc>
          <w:tcPr>
            <w:tcW w:w="1396"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организации</w:t>
            </w:r>
          </w:p>
        </w:tc>
        <w:tc>
          <w:tcPr>
            <w:tcW w:w="5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код</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примечания</w:t>
            </w:r>
          </w:p>
        </w:tc>
        <w:tc>
          <w:tcPr>
            <w:tcW w:w="2683"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кредитной организации акции (доли) аффилированного лица (процент голосов к общему количеству голосующих акций (долей) аффилированного лица)</w:t>
            </w:r>
          </w:p>
        </w:tc>
      </w:tr>
      <w:tr>
        <w:trPr>
          <w:tblHeader w:val="true"/>
          <w:cantSplit/>
        </w:trPr>
        <w:tc>
          <w:tcPr>
            <w:tcW w:w="12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w:t>
            </w:r>
          </w:p>
        </w:tc>
        <w:tc>
          <w:tcPr>
            <w:tcW w:w="56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w:t>
            </w:r>
          </w:p>
        </w:tc>
        <w:tc>
          <w:tcPr>
            <w:tcW w:w="14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3</w:t>
            </w:r>
          </w:p>
        </w:tc>
        <w:tc>
          <w:tcPr>
            <w:tcW w:w="14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4</w:t>
            </w:r>
          </w:p>
        </w:tc>
        <w:tc>
          <w:tcPr>
            <w:tcW w:w="14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5</w:t>
            </w:r>
          </w:p>
        </w:tc>
        <w:tc>
          <w:tcPr>
            <w:tcW w:w="14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6</w:t>
            </w:r>
          </w:p>
        </w:tc>
        <w:tc>
          <w:tcPr>
            <w:tcW w:w="14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7</w:t>
            </w:r>
          </w:p>
        </w:tc>
        <w:tc>
          <w:tcPr>
            <w:tcW w:w="14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8</w:t>
            </w:r>
          </w:p>
        </w:tc>
        <w:tc>
          <w:tcPr>
            <w:tcW w:w="13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9</w:t>
            </w:r>
          </w:p>
        </w:tc>
        <w:tc>
          <w:tcPr>
            <w:tcW w:w="5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10</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11</w:t>
            </w:r>
          </w:p>
        </w:tc>
        <w:tc>
          <w:tcPr>
            <w:tcW w:w="268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12</w:t>
            </w:r>
          </w:p>
        </w:tc>
      </w:tr>
      <w:tr>
        <w:trPr>
          <w:cantSplit/>
        </w:trPr>
        <w:tc>
          <w:tcPr>
            <w:tcW w:w="12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6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BezOtstupa"/>
        <w:tabs>
          <w:tab w:val="clear" w:pos="720"/>
          <w:tab w:val="left" w:pos="4564" w:leader="none"/>
        </w:tabs>
        <w:spacing w:before="120" w:after="0"/>
        <w:rPr/>
      </w:pPr>
      <w:r>
        <w:rPr/>
        <w:t>Руководитель</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0409051 “Список аффилированных лиц”</w:t>
      </w:r>
    </w:p>
    <w:p>
      <w:pPr>
        <w:pStyle w:val="MainText"/>
        <w:rPr/>
      </w:pPr>
      <w:r>
        <w:rPr/>
        <w:t>1. Отчетность по форме 0409051 “Список аффилированных лиц” (далее — Отчет) составляется в целях соблюдения требований Положения Банка России от 20 июля 2007 года № 307-П “О порядке ведения учета и представления информации об аффилированных лицах кредитных организаций”, зарегистрированного Министерством юстиции Российской Федерации 28 августа 2007 года № 10061, 7 июля 2009 года № 14246 (“Вестник Банка России” от 10 сентября 2007 года № 52, от 15 июля 2009 года № 42) (далее — Положение Банка России № 307-П).</w:t>
      </w:r>
    </w:p>
    <w:p>
      <w:pPr>
        <w:pStyle w:val="MainText"/>
        <w:rPr/>
      </w:pPr>
      <w:r>
        <w:rPr/>
        <w:t>2. Отчет представляется кредитными организациями в территориальные учреждения Банка России:</w:t>
      </w:r>
    </w:p>
    <w:p>
      <w:pPr>
        <w:pStyle w:val="MainText"/>
        <w:rPr/>
      </w:pPr>
      <w:r>
        <w:rPr/>
        <w:t>по мере внесения сведений в Отчет — не позднее 10 рабочих дней со дня внесения сведений;</w:t>
      </w:r>
    </w:p>
    <w:p>
      <w:pPr>
        <w:pStyle w:val="MainText"/>
        <w:rPr/>
      </w:pPr>
      <w:r>
        <w:rPr/>
        <w:t>по требованию Банка России — не позднее 10 рабочих дней со дня получения письменного требования Банка России.</w:t>
      </w:r>
    </w:p>
    <w:p>
      <w:pPr>
        <w:pStyle w:val="MainText"/>
        <w:rPr/>
      </w:pPr>
      <w:r>
        <w:rPr/>
        <w:t>3. В графе 1 Отчета в целях учета и обработки информации аффилированному лицу кредитной организации присваивается индивидуальный код, который представляет собой порядковый номер, начиная с цифры “2”.</w:t>
      </w:r>
    </w:p>
    <w:p>
      <w:pPr>
        <w:pStyle w:val="MainText"/>
        <w:rPr/>
      </w:pPr>
      <w:r>
        <w:rPr/>
        <w:t>Индивидуальный код аффилированного лица не подлежит изменению. При исключении аффилированного лица из списка аффилированных лиц кредитной организации его индивидуальный код не может быть присвоен иному аффилированному лицу кредитной организации.</w:t>
      </w:r>
    </w:p>
    <w:p>
      <w:pPr>
        <w:pStyle w:val="MainText"/>
        <w:rPr/>
      </w:pPr>
      <w:r>
        <w:rPr/>
        <w:t>4. В графе 2 Отчета проставляется тип кода аффилированного лица: для юридического лица — “1”, для физического лица — “2”.</w:t>
      </w:r>
    </w:p>
    <w:p>
      <w:pPr>
        <w:pStyle w:val="MainText"/>
        <w:rPr/>
      </w:pPr>
      <w:r>
        <w:rPr/>
        <w:t>5. В случае если аффилированным лицом кредитной организации является физическое лицо, в Отчете указываются:</w:t>
      </w:r>
    </w:p>
    <w:p>
      <w:pPr>
        <w:pStyle w:val="MainText"/>
        <w:rPr/>
      </w:pPr>
      <w:r>
        <w:rPr/>
        <w:t>в графе 5 в качестве места жительства физического лица — страна и населенный пункт;</w:t>
      </w:r>
    </w:p>
    <w:p>
      <w:pPr>
        <w:pStyle w:val="MainText"/>
        <w:rPr/>
      </w:pPr>
      <w:r>
        <w:rPr/>
        <w:t>в графе 6 в качестве наименования документа, удостоверяющего личность, — паспорт или иной документ, удостоверяющий личность в соответствии с законодательством Российской Федерации либо законодательством страны, гражданином которой является данное лицо.</w:t>
      </w:r>
    </w:p>
    <w:p>
      <w:pPr>
        <w:pStyle w:val="MainText"/>
        <w:rPr/>
      </w:pPr>
      <w:r>
        <w:rPr/>
        <w:t>6. В графе 9 Отчета указывается дата наступления основания, в силу которого лицо является аффилированным лицом кредитной организации. При этом каждому коду основания, в силу которого лицо является аффилированным лицом кредитной организации, указанному в графе 10 Отчета, должна соответствовать только одна дата наступления основания, в силу которого лицо признается аффилированным лицом кредитной организации. По коду основания А2 указанная дата определяется исходя из наиболее ранней даты возникновения взаимосвязи, на основании которой лицо будет отнесено к группе лиц, к которой принадлежит кредитная организация. В случае если дата наступления основания, в силу которого лицо признается аффилированным лицом кредитной организации, не подтверждена документально, в графе 9 Отчета указывается дата, устанавливаемая на основании информации, позволяющей признать лицо аффилированным лицом кредитной организации.</w:t>
      </w:r>
    </w:p>
    <w:p>
      <w:pPr>
        <w:pStyle w:val="MainText"/>
        <w:rPr/>
      </w:pPr>
      <w:r>
        <w:rPr/>
        <w:t>7. В графе 10 Отчета указывается код основания, в силу которого лицо является аффилированным лицом кредитной организации в соответствии с пунктом 1.1 Положения Банка России № 307-П.</w:t>
      </w:r>
    </w:p>
    <w:p>
      <w:pPr>
        <w:pStyle w:val="MainText"/>
        <w:rPr/>
      </w:pPr>
      <w:r>
        <w:rPr/>
        <w:t>8. При наличии двух и более оснований, в силу которых лицо является аффилированным лицом кредитной организации, в графах 9—11 Отчета должны быть перечислены соответственно все даты, коды и все основания, в силу которых лицо является аффилированным лицом кредитной организации.</w:t>
      </w:r>
    </w:p>
    <w:p>
      <w:pPr>
        <w:pStyle w:val="MainText"/>
        <w:rPr/>
      </w:pPr>
      <w:r>
        <w:rPr/>
        <w:t>9. В графе 11 Отчета указываются следующие примечания:</w:t>
      </w:r>
    </w:p>
    <w:p>
      <w:pPr>
        <w:pStyle w:val="MainText"/>
        <w:rPr/>
      </w:pPr>
      <w:r>
        <w:rPr/>
        <w:t>по кодам А1-1, А1-2, А1-3 — наименование коллегиального органа управления, коллегиального исполнительного органа, наименование должности единоличного исполнительного органа кредитной организации соответственно;</w:t>
      </w:r>
    </w:p>
    <w:p>
      <w:pPr>
        <w:pStyle w:val="MainText"/>
        <w:rPr/>
      </w:pPr>
      <w:r>
        <w:rPr/>
        <w:t>по коду А2 — номер взаимосвязи между лицами, входящими в группу лиц, к которой принадлежит кредитная организация, в соответствии с заполненной отчетностью по форме 0409052 “Список аффилированных лиц, принадлежащих к группе лиц, к которой принадлежит кредитная организация”. При участии лица в нескольких взаимосвязях между лицами, входящими в группу лиц, указываются номера всех взаимосвязей, в которых участвует данное лицо;</w:t>
      </w:r>
    </w:p>
    <w:p>
      <w:pPr>
        <w:pStyle w:val="MainText"/>
        <w:rPr/>
      </w:pPr>
      <w:r>
        <w:rPr/>
        <w:t>по коду A3 — основание возникновения права распоряжаться более чем 20 процентами общего количества голосов, приходящихся на голосующие акции (доли), составляющие уставный капитал кредитной организации;</w:t>
      </w:r>
    </w:p>
    <w:p>
      <w:pPr>
        <w:pStyle w:val="MainText"/>
        <w:rPr/>
      </w:pPr>
      <w:r>
        <w:rPr/>
        <w:t>по коду А4 — основание возникновения права кредитной организации распоряжаться более чем 20 процентами общего количества голосов, приходящихся на голосующие акции (доли, вклады), составляющие уставный (складочный) капитал юридического лица.</w:t>
      </w:r>
    </w:p>
    <w:p>
      <w:pPr>
        <w:pStyle w:val="MainText"/>
        <w:rPr/>
      </w:pPr>
      <w:r>
        <w:rPr/>
        <w:t>10. В графе 12 Отчета указываются принадлежащие аффилированному лицу акции (доли) кредитной организации (процент голосов к общему количеству голосующих акций (долей) кредитной организации) и принадлежащие кредитной организации акции (доли) аффилированного лица (процент голосов к общему количеству голосующих акций (долей) аффилированного лица), разделенные символом “/”. При отсутствии одного из компонентов информации вместо него ставится прочерк. При отсутствии информации, которую необходимо отражать в указанной графе, графа не заполняется.</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СПИСОК АФФИЛИРОВАННЫХ ЛИЦ, ПРИНАДЛЕЖАЩИХ К ГРУППЕ ЛИЦ, </w:t>
        <w:br/>
        <w:t xml:space="preserve">К КОТОРОЙ ПРИНАДЛЕЖИТ КРЕДИТНАЯ ОРГАНИЗАЦИЯ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0409052</w:t>
        <w:br/>
        <w:t>На нерегулярной основе</w:t>
      </w:r>
    </w:p>
    <w:tbl>
      <w:tblPr>
        <w:tblW w:w="16254" w:type="dxa"/>
        <w:jc w:val="center"/>
        <w:tblInd w:w="0" w:type="dxa"/>
        <w:tblLayout w:type="fixed"/>
        <w:tblCellMar>
          <w:top w:w="0" w:type="dxa"/>
          <w:start w:w="108" w:type="dxa"/>
          <w:bottom w:w="0" w:type="dxa"/>
          <w:end w:w="108" w:type="dxa"/>
        </w:tblCellMar>
      </w:tblPr>
      <w:tblGrid>
        <w:gridCol w:w="3794"/>
        <w:gridCol w:w="1842"/>
        <w:gridCol w:w="2126"/>
        <w:gridCol w:w="4678"/>
        <w:gridCol w:w="3814"/>
      </w:tblGrid>
      <w:tr>
        <w:trPr>
          <w:tblHeader w:val="true"/>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п/п взаимосвязи между лицами, принадлежащими к группе лиц, к которой принадлежит кредитная организация</w:t>
            </w:r>
          </w:p>
        </w:tc>
        <w:tc>
          <w:tcPr>
            <w:tcW w:w="18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Индивидуальный код лица</w:t>
            </w:r>
          </w:p>
        </w:tc>
        <w:tc>
          <w:tcPr>
            <w:tcW w:w="21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Индивидуальный код лица</w:t>
            </w:r>
          </w:p>
        </w:tc>
        <w:tc>
          <w:tcPr>
            <w:tcW w:w="46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Процент голосов, приходящихся на голосующие акции (доли) в уставном (складочном) капитале лица, указанного в графе 2, которыми имеет право распоряжаться лицо, указанное в графе 3</w:t>
            </w:r>
          </w:p>
        </w:tc>
        <w:tc>
          <w:tcPr>
            <w:tcW w:w="38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Код основания принадлежности лиц к группе лиц, к которой принадлежит кредитная организация</w:t>
            </w:r>
          </w:p>
        </w:tc>
      </w:tr>
      <w:tr>
        <w:trPr>
          <w:tblHeader w:val="true"/>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18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21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46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c>
          <w:tcPr>
            <w:tcW w:w="38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5</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18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1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46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8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spacing w:before="120" w:after="0"/>
        <w:rPr/>
      </w:pPr>
      <w:r>
        <w:rPr/>
        <w:t>Справочно:</w:t>
      </w:r>
    </w:p>
    <w:p>
      <w:pPr>
        <w:pStyle w:val="MainTextBezOtstupa"/>
        <w:rPr/>
      </w:pPr>
      <w:r>
        <w:rPr/>
        <w:t>суммарный процент голосов, приходящихся на голосующие акции (доли) в уставном капитале кредитной организации, которым имеют право распоряжаться члены группы лиц, к которой принадлежит кредитная организация, — ____ процент.</w:t>
      </w:r>
    </w:p>
    <w:p>
      <w:pPr>
        <w:pStyle w:val="MainTextBezOtstupa"/>
        <w:tabs>
          <w:tab w:val="clear" w:pos="720"/>
          <w:tab w:val="left" w:pos="4564" w:leader="none"/>
        </w:tabs>
        <w:spacing w:before="360" w:after="0"/>
        <w:rPr/>
      </w:pPr>
      <w:r>
        <w:rPr/>
        <w:t>Руководитель</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0409052 “Список аффилированных лиц, принадлежащих к группе лиц, к которой принадлежит кредитная организация”</w:t>
      </w:r>
    </w:p>
    <w:p>
      <w:pPr>
        <w:pStyle w:val="MainText"/>
        <w:rPr/>
      </w:pPr>
      <w:r>
        <w:rPr/>
        <w:t>1. Отчетность по форме 0409052 “Список аффилированных лиц, принадлежащих к группе лиц, к которой принадлежит кредитная организация” (далее — Отчет) составляется в целях соблюдения требований Положения Банка России от 20 июля 2007 года № 307-П “О порядке ведения учета и представления информации об аффилированных лицах кредитных организаций”, зарегистрированного Министерством юстиции Российской Федерации 28 августа 2007 года № 10061, 7 июля 2009 года № 14246 (“Вестник Банка России” от 10 сентября 2007 года № 52, от 15 июля 2009 года № 42) (далее — Положение Банка России № 307-П).</w:t>
      </w:r>
    </w:p>
    <w:p>
      <w:pPr>
        <w:pStyle w:val="MainText"/>
        <w:rPr/>
      </w:pPr>
      <w:r>
        <w:rPr/>
        <w:t>2. Отчет представляется в территориальное учреждение Банка России одновременно с отчетностью по форме 0409051 “Список аффилированных лиц” (далее — отчетность по форме 0409051) в случае, если лицо, включенное в Список аффилированных лиц, является аффилированным лицом кредитной организации по основанию принадлежности его к группе лиц, к которой принадлежит данная кредитная организация:</w:t>
      </w:r>
    </w:p>
    <w:p>
      <w:pPr>
        <w:pStyle w:val="MainText"/>
        <w:rPr/>
      </w:pPr>
      <w:r>
        <w:rPr/>
        <w:t>по мере внесения сведений в Отчет — не позднее 10 рабочих дней со дня внесения сведений;</w:t>
      </w:r>
    </w:p>
    <w:p>
      <w:pPr>
        <w:pStyle w:val="MainText"/>
        <w:rPr/>
      </w:pPr>
      <w:r>
        <w:rPr/>
        <w:t>по требованию Банка России — не позднее 10 рабочих дней со дня получения письменного требования Банка России.</w:t>
      </w:r>
    </w:p>
    <w:p>
      <w:pPr>
        <w:pStyle w:val="MainText"/>
        <w:rPr/>
      </w:pPr>
      <w:r>
        <w:rPr/>
        <w:t>3. В Отчете информация об аффилированных лицах отражается в разрезе взаимосвязей между лицами, принадлежащими к группе лиц, к которой принадлежит кредитная организация, по основаниям, предусмотренным Положением Банка России № 307-П. Каждой взаимосвязи в группе лиц присваивается порядковый номер, который проставляется в графе 1 Отчета.</w:t>
      </w:r>
    </w:p>
    <w:p>
      <w:pPr>
        <w:pStyle w:val="MainText"/>
        <w:rPr/>
      </w:pPr>
      <w:r>
        <w:rPr/>
        <w:t>4. В графах 2 и 3 Отчета индивидуальный код аффилированного лица кредитной организации должен совпадать с индивидуальным кодом данного лица, указанным в графе 1 отчетности по форме 0409051. В целях автоматизированной обработки информации об аффилированных лицах, принадлежащих к группе лиц, к которой принадлежит кредитная организация, данной кредитной организации присваивается индивидуальный код “1”.</w:t>
      </w:r>
    </w:p>
    <w:p>
      <w:pPr>
        <w:pStyle w:val="MainText"/>
        <w:rPr/>
      </w:pPr>
      <w:r>
        <w:rPr/>
        <w:t>5. В графе 2 Отчета указывается индивидуальный код:</w:t>
      </w:r>
    </w:p>
    <w:p>
      <w:pPr>
        <w:pStyle w:val="MainText"/>
        <w:rPr/>
      </w:pPr>
      <w:r>
        <w:rPr/>
        <w:t>юридического лица, голосующие акции (доли) которого принадлежат лицу, указанному в графе 3 Отчета;</w:t>
      </w:r>
    </w:p>
    <w:p>
      <w:pPr>
        <w:pStyle w:val="MainText"/>
        <w:rPr/>
      </w:pPr>
      <w:r>
        <w:rPr/>
        <w:t>юридического лица, полномочия единоличного исполнительного органа которого осуществляет лицо, указанное в графе 3 Отчета;</w:t>
      </w:r>
    </w:p>
    <w:p>
      <w:pPr>
        <w:pStyle w:val="MainText"/>
        <w:rPr/>
      </w:pPr>
      <w:r>
        <w:rPr/>
        <w:t>юридического лица, которому лицо, указанное в графе 3 Отчета, вправе давать обязательные для исполнения указания;</w:t>
      </w:r>
    </w:p>
    <w:p>
      <w:pPr>
        <w:pStyle w:val="MainText"/>
        <w:rPr/>
      </w:pPr>
      <w:r>
        <w:rPr/>
        <w:t>юридического лица, единоличный исполнительный орган и (или) более чем 50 процентов количественного состава коллегиального исполнительного органа либо совета директоров (наблюдательного совета) которого избраны или назначены по предложению лица, указанного в графе 3 Отчета;</w:t>
      </w:r>
    </w:p>
    <w:p>
      <w:pPr>
        <w:pStyle w:val="MainText"/>
        <w:rPr/>
      </w:pPr>
      <w:r>
        <w:rPr/>
        <w:t>физического или юридического лица, входящего в группу лиц с лицом, указанным в графе 3 Отчета, по основаниям, указанным в пунктах 2, 4, 6, 8, 10, 11, 13 части первой статьи 9 Федерального закона от 26 июля 2006 года № 135-ФЗ “О защите конкуренции” (Собрание законодательства Российской Федерации, 2006, № 31, ст. 3434; 2007, № 49, ст. 6079; 2008, № 18, ст. 1941; № 27, ст. 3126; № 45, ст. 5141; 2009, № 29, ст. 3601, ст. 3610).</w:t>
      </w:r>
    </w:p>
    <w:p>
      <w:pPr>
        <w:pStyle w:val="MainText"/>
        <w:rPr/>
      </w:pPr>
      <w:r>
        <w:rPr/>
        <w:t>6. В графе 3 Отчета указывается индивидуальный код лица в соответствии с взаимосвязями, перечисленными в пункте 5 настоящего Порядка.</w:t>
      </w:r>
    </w:p>
    <w:p>
      <w:pPr>
        <w:pStyle w:val="MainText"/>
        <w:rPr/>
      </w:pPr>
      <w:r>
        <w:rPr/>
        <w:t>7. Графа 4 Отчета заполняется при наличии права распоряжаться голосами, приходящимися на голосующие акции либо на составляющие уставный или складочный капитал вклады, доли юридического лица.</w:t>
      </w:r>
    </w:p>
    <w:p>
      <w:pPr>
        <w:pStyle w:val="MainText"/>
        <w:rPr/>
      </w:pPr>
      <w:r>
        <w:rPr/>
        <w:t>8. В графе 5 Отчета указывается код основания, указанного в пункте 1.2 Положения Банка России № 307-П, в соответствии с которым лица, указанные в графах 2 и 3 Отчета, принадлежат к группе лиц, к которой принадлежит кредитная организация. При наличии двух и более оснований указываются коды всех оснований.</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ind w:start="1418" w:end="1418"/>
        <w:rPr/>
      </w:pPr>
      <w:r>
        <w:rPr>
          <w:color w:val="000000"/>
        </w:rPr>
        <w:t xml:space="preserve">СВЕДЕНИЯ ОБ ИСПОЛЬЗОВАНИИ КРЕДИТНОЙ ОРГАНИЗАЦИЕЙ ИНТЕРНЕТ-ТЕХНОЛОГИЙ </w:t>
        <w:br/>
        <w:t>по состоянию на “</w:t>
      </w:r>
      <w:r>
        <w:rPr/>
        <w:t>___” __________ _____</w:t>
      </w:r>
      <w:r>
        <w:rPr>
          <w:b w:val="false"/>
        </w:rPr>
        <w:t xml:space="preserve"> </w:t>
      </w:r>
      <w:r>
        <w:rPr/>
        <w:t>г.</w:t>
      </w:r>
    </w:p>
    <w:p>
      <w:pPr>
        <w:pStyle w:val="MainTextLine155"/>
        <w:tabs>
          <w:tab w:val="clear" w:pos="8787"/>
          <w:tab w:val="right" w:pos="7937" w:leader="underscore"/>
        </w:tabs>
        <w:rPr/>
      </w:pPr>
      <w:r>
        <w:rPr/>
        <w:t>Сокращенное фирменное наименование кредитной организации</w:t>
        <w:tab/>
      </w:r>
    </w:p>
    <w:p>
      <w:pPr>
        <w:pStyle w:val="MainTextLine155"/>
        <w:tabs>
          <w:tab w:val="clear" w:pos="8787"/>
          <w:tab w:val="right" w:pos="7937" w:leader="underscore"/>
        </w:tabs>
        <w:rPr/>
      </w:pPr>
      <w:r>
        <w:rPr/>
        <w:t>Почтовый адрес</w:t>
        <w:tab/>
      </w:r>
    </w:p>
    <w:p>
      <w:pPr>
        <w:pStyle w:val="MainTextBezOtstupa"/>
        <w:spacing w:before="120" w:after="60"/>
        <w:jc w:val="end"/>
        <w:rPr/>
      </w:pPr>
      <w:r>
        <w:rPr/>
        <w:t>Код формы по ОКУД 0409070</w:t>
        <w:br/>
        <w:t>На нерегулярной основе</w:t>
      </w:r>
    </w:p>
    <w:tbl>
      <w:tblPr>
        <w:tblW w:w="10989" w:type="dxa"/>
        <w:jc w:val="center"/>
        <w:tblInd w:w="0" w:type="dxa"/>
        <w:tblLayout w:type="fixed"/>
        <w:tblCellMar>
          <w:top w:w="0" w:type="dxa"/>
          <w:start w:w="108" w:type="dxa"/>
          <w:bottom w:w="0" w:type="dxa"/>
          <w:end w:w="108" w:type="dxa"/>
        </w:tblCellMar>
      </w:tblPr>
      <w:tblGrid>
        <w:gridCol w:w="817"/>
        <w:gridCol w:w="8363"/>
        <w:gridCol w:w="1809"/>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83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Вид сведений</w:t>
            </w:r>
          </w:p>
        </w:tc>
        <w:tc>
          <w:tcPr>
            <w:tcW w:w="18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Содержание</w:t>
            </w:r>
            <w:r>
              <w:rPr>
                <w:vertAlign w:val="superscript"/>
              </w:rPr>
              <w:t>1</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83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18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I. Общие сведения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Код причины для представления сведений</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N</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Номер филиала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NN/0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Интернет-адрес (URL или IP-адрес)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текст</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Функциональное назначение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И/О</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Дата возникновения основания для представления сведений</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внутреннего документа, регламентирующего порядок использования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Причины прекращения использования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текст</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внутреннего документа, определяющего порядок прекращения использования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внутреннего документа, определяющего порядок уведомления клиентов о прекращении использования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Место нахождения стартовой (главной) страницы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КО/ИП/РС/ДР</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Поддержка WEB-сайта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КО/ИП/РС/ДР</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договора с владельцем WEB-сервера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договора с провайдером интернет-услуг</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внутреннего документа, регламентирующего порядок предоставления услуг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Название программного продукта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текст</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Наименование фирмы-разработчика программного продукта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текст</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Общее количество филиалов кредитной организации, использующих интернет-технологии</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число</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II. Сведения о клиентском обслуживании</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Операционные услуги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Открытие банковских счетов без явки клиентов в банк</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19</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Переводы денежных средств в рублях</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Переводы денежных средств в иностранной валюте</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Переводы средств со счетов держателей банковских карт</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Пополнение счетов держателей банковских карт</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Покупка (продажа) иностранной валюты</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Обязательная продажа части валютной выручки</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Покупка (продажа) ценных бумаг</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 виды операций</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текст</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Информационные и коммуникационные услуги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Оформление кредитных договоров</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Обмен электронными документами</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29</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Предоставление выписок из счетов</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Предоставление выписок по операциям</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интерактивного консалтингового сервиса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III. Обеспечение интернет-банкинга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структурного подразделения информационных технологий (далее — ИТ)</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системного администратора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администратора безопасности ИТ</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Количество работников, обеспечивающих функционирование системы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число</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внутреннего документа, регламентирующего порядок осуществления сетевого мониторинга и системного аудита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методического документа по контролю за рисками, связанными с интернет-банкингом</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документа по результатам контроля за рисками, связанными с интернет-банкингом</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39</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ограничений на объем операций с использованием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40</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документа, определяющего процедуры внутреннего контроля за технологиями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плана обеспечения непрерывности функционирования в части операций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внутреннего документа, регламентирующего порядок действий при обнаружении сетевых атак в системе интернет-банкинга</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дд.мм.гггг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сетевой связи системы интернет-банкинга с банковской автоматизированной системой</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двухуровневой системы межсетевой защиты</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Использование для идентификации клиентов интернет-банкинга одноразовых идентификаторов (в качестве паролей)</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используемых в системе интернет-банкинга сертифицированных программных средств электронной цифровой подписи</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Использование в качестве клиентской части системы интернет-банкинга стандартных интернет-браузеров</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Использование в составе клиентской части системы интернет-банкинга специализированных программно-информационных средств</w:t>
            </w:r>
          </w:p>
        </w:tc>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Руководитель подразделения</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240"/>
        <w:rPr/>
      </w:pPr>
      <w:r>
        <w:rPr/>
        <w:t>“</w:t>
      </w:r>
      <w:r>
        <w:rPr/>
        <w:t>___” __________ _____ г.</w:t>
      </w:r>
    </w:p>
    <w:p>
      <w:pPr>
        <w:pStyle w:val="SnoskaLineTab"/>
        <w:keepLines w:val="false"/>
        <w:pBdr>
          <w:top w:val="single" w:sz="6" w:space="1" w:color="000000"/>
        </w:pBdr>
        <w:rPr/>
      </w:pPr>
      <w:r>
        <w:rPr>
          <w:vertAlign w:val="superscript"/>
        </w:rPr>
        <w:t>1</w:t>
      </w:r>
      <w:r>
        <w:rPr/>
        <w:t> В графе 3 указан формат представляемых сведений. При заполнении графы 3 вместо формата должны указываться сведения.</w:t>
      </w:r>
    </w:p>
    <w:p>
      <w:pPr>
        <w:pStyle w:val="MainText"/>
        <w:rPr/>
      </w:pPr>
      <w:r>
        <w:rPr/>
      </w:r>
      <w:r>
        <w:br w:type="page"/>
      </w:r>
    </w:p>
    <w:p>
      <w:pPr>
        <w:pStyle w:val="MZagolovokCenter"/>
        <w:rPr/>
      </w:pPr>
      <w:r>
        <w:rPr/>
        <w:t>Порядок составления и представления отчетности по форме 0409070 “Сведения об использовании кредитной организацией интернет-технологий”</w:t>
      </w:r>
    </w:p>
    <w:p>
      <w:pPr>
        <w:pStyle w:val="MainText"/>
        <w:rPr/>
      </w:pPr>
      <w:r>
        <w:rPr/>
        <w:t>1. Отчетность по форме 0409070 “Сведения об использовании кредитной организацией интернет-технологий” (далее — Отчет) составляется в соответствии с Указанием Банка России от 1 марта 2004 года № 1390-У “О порядке информирования кредитными организациями Центрального банка Российской Федерации об использовании в своей деятельности интернет-технологий”, зарегистрированным Министерством юстиции Российской Федерации 19 марта 2004 года № 5683, 22 декабря 2004 года № 6223 (“Вестник Банка России” от 31 марта 2004 года № 20, от 31 декабря 2004 года № 74).</w:t>
      </w:r>
    </w:p>
    <w:p>
      <w:pPr>
        <w:pStyle w:val="MainText"/>
        <w:rPr/>
      </w:pPr>
      <w:r>
        <w:rPr/>
        <w:t>2. Отчет представляется кредитными организациями в территориальные учреждения Банка России в срок не позднее 2 недель со дня ввода WEB-сайта в эксплуатацию, изменения функционального назначения и (или) функциональных возможностей WEB-сайта, изменения места нахождения WEB-сайта либо прекращения использования WEB-сайта.</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rPr/>
      </w:pPr>
      <w:r>
        <w:rPr>
          <w:color w:val="000000"/>
        </w:rPr>
        <w:t>ОБОРОТНАЯ ВЕДОМОСТЬ ПО СЧЕТАМ БУХГАЛТЕРСКОГО УЧЕТА КРЕДИТНОЙ ОРГАНИЗАЦИИ</w:t>
        <w:br/>
        <w:t xml:space="preserve">за </w:t>
      </w:r>
      <w:r>
        <w:rPr/>
        <w:t>______________________ месяц ______ 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120" w:after="60"/>
        <w:jc w:val="end"/>
        <w:rPr/>
      </w:pPr>
      <w:r>
        <w:rPr/>
        <w:t>Код формы по ОКУД 0409101</w:t>
        <w:br/>
        <w:t>Месячная (Суточная)</w:t>
        <w:br/>
        <w:t>тыс. руб.</w:t>
      </w:r>
    </w:p>
    <w:tbl>
      <w:tblPr>
        <w:tblW w:w="10985" w:type="dxa"/>
        <w:jc w:val="center"/>
        <w:tblInd w:w="0" w:type="dxa"/>
        <w:tblLayout w:type="fixed"/>
        <w:tblCellMar>
          <w:top w:w="0" w:type="dxa"/>
          <w:start w:w="28" w:type="dxa"/>
          <w:bottom w:w="0" w:type="dxa"/>
          <w:end w:w="28" w:type="dxa"/>
        </w:tblCellMar>
      </w:tblPr>
      <w:tblGrid>
        <w:gridCol w:w="845"/>
        <w:gridCol w:w="845"/>
        <w:gridCol w:w="845"/>
        <w:gridCol w:w="845"/>
        <w:gridCol w:w="845"/>
        <w:gridCol w:w="845"/>
        <w:gridCol w:w="845"/>
        <w:gridCol w:w="845"/>
        <w:gridCol w:w="845"/>
        <w:gridCol w:w="845"/>
        <w:gridCol w:w="845"/>
        <w:gridCol w:w="845"/>
        <w:gridCol w:w="845"/>
      </w:tblGrid>
      <w:tr>
        <w:trPr>
          <w:cantSplit/>
        </w:trPr>
        <w:tc>
          <w:tcPr>
            <w:tcW w:w="845" w:type="dxa"/>
            <w:tcBorders>
              <w:top w:val="single" w:sz="6" w:space="0" w:color="000000"/>
              <w:start w:val="single" w:sz="6" w:space="0" w:color="000000"/>
              <w:end w:val="single" w:sz="6" w:space="0" w:color="000000"/>
            </w:tcBorders>
          </w:tcPr>
          <w:p>
            <w:pPr>
              <w:pStyle w:val="Normal"/>
              <w:jc w:val="center"/>
              <w:rPr>
                <w:rFonts w:ascii="Arial" w:hAnsi="Arial" w:cs="Arial"/>
                <w:sz w:val="14"/>
              </w:rPr>
            </w:pPr>
            <w:r>
              <w:rPr>
                <w:rFonts w:cs="Arial" w:ascii="Arial" w:hAnsi="Arial"/>
                <w:sz w:val="14"/>
              </w:rPr>
              <w:t>Номер</w:t>
            </w:r>
          </w:p>
        </w:tc>
        <w:tc>
          <w:tcPr>
            <w:tcW w:w="2535" w:type="dxa"/>
            <w:gridSpan w:val="3"/>
            <w:tcBorders>
              <w:top w:val="single" w:sz="6" w:space="0" w:color="000000"/>
              <w:start w:val="single" w:sz="6" w:space="0" w:color="000000"/>
            </w:tcBorders>
          </w:tcPr>
          <w:p>
            <w:pPr>
              <w:pStyle w:val="Normal"/>
              <w:jc w:val="center"/>
              <w:rPr>
                <w:rFonts w:ascii="Arial" w:hAnsi="Arial" w:cs="Arial"/>
                <w:sz w:val="14"/>
              </w:rPr>
            </w:pPr>
            <w:r>
              <w:rPr>
                <w:rFonts w:cs="Arial" w:ascii="Arial" w:hAnsi="Arial"/>
                <w:sz w:val="14"/>
              </w:rPr>
              <w:t>Входящие остатки</w:t>
            </w:r>
          </w:p>
        </w:tc>
        <w:tc>
          <w:tcPr>
            <w:tcW w:w="5070" w:type="dxa"/>
            <w:gridSpan w:val="6"/>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Обороты за отчетный период</w:t>
            </w:r>
          </w:p>
        </w:tc>
        <w:tc>
          <w:tcPr>
            <w:tcW w:w="2535" w:type="dxa"/>
            <w:gridSpan w:val="3"/>
            <w:tcBorders>
              <w:top w:val="single" w:sz="6" w:space="0" w:color="000000"/>
              <w:start w:val="single" w:sz="6" w:space="0" w:color="000000"/>
              <w:end w:val="single" w:sz="6" w:space="0" w:color="000000"/>
            </w:tcBorders>
          </w:tcPr>
          <w:p>
            <w:pPr>
              <w:pStyle w:val="Normal"/>
              <w:jc w:val="center"/>
              <w:rPr>
                <w:rFonts w:ascii="Arial" w:hAnsi="Arial" w:cs="Arial"/>
                <w:sz w:val="14"/>
              </w:rPr>
            </w:pPr>
            <w:r>
              <w:rPr>
                <w:rFonts w:cs="Arial" w:ascii="Arial" w:hAnsi="Arial"/>
                <w:sz w:val="14"/>
              </w:rPr>
              <w:t>Исходящие остатки</w:t>
            </w:r>
          </w:p>
        </w:tc>
      </w:tr>
      <w:tr>
        <w:trPr>
          <w:cantSplit/>
        </w:trPr>
        <w:tc>
          <w:tcPr>
            <w:tcW w:w="845" w:type="dxa"/>
            <w:tcBorders>
              <w:start w:val="single" w:sz="6" w:space="0" w:color="000000"/>
              <w:end w:val="single" w:sz="6" w:space="0" w:color="000000"/>
            </w:tcBorders>
          </w:tcPr>
          <w:p>
            <w:pPr>
              <w:pStyle w:val="Normal"/>
              <w:jc w:val="center"/>
              <w:rPr>
                <w:rFonts w:ascii="Arial" w:hAnsi="Arial" w:cs="Arial"/>
                <w:sz w:val="14"/>
              </w:rPr>
            </w:pPr>
            <w:r>
              <w:rPr>
                <w:rFonts w:cs="Arial" w:ascii="Arial" w:hAnsi="Arial"/>
                <w:sz w:val="14"/>
              </w:rPr>
              <w:t>счета</w:t>
            </w:r>
          </w:p>
        </w:tc>
        <w:tc>
          <w:tcPr>
            <w:tcW w:w="2535" w:type="dxa"/>
            <w:gridSpan w:val="3"/>
            <w:tcBorders>
              <w:start w:val="single" w:sz="6" w:space="0" w:color="000000"/>
              <w:bottom w:val="single" w:sz="6" w:space="0" w:color="000000"/>
            </w:tcBorders>
          </w:tcPr>
          <w:p>
            <w:pPr>
              <w:pStyle w:val="Normal"/>
              <w:snapToGrid w:val="false"/>
              <w:jc w:val="center"/>
              <w:rPr>
                <w:rFonts w:ascii="Arial" w:hAnsi="Arial" w:cs="Arial"/>
                <w:sz w:val="14"/>
              </w:rPr>
            </w:pPr>
            <w:r>
              <w:rPr>
                <w:rFonts w:cs="Arial" w:ascii="Arial" w:hAnsi="Arial"/>
                <w:sz w:val="14"/>
              </w:rPr>
            </w:r>
          </w:p>
        </w:tc>
        <w:tc>
          <w:tcPr>
            <w:tcW w:w="2535" w:type="dxa"/>
            <w:gridSpan w:val="3"/>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по дебету</w:t>
            </w:r>
          </w:p>
        </w:tc>
        <w:tc>
          <w:tcPr>
            <w:tcW w:w="2535" w:type="dxa"/>
            <w:gridSpan w:val="3"/>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по кредиту</w:t>
            </w:r>
          </w:p>
        </w:tc>
        <w:tc>
          <w:tcPr>
            <w:tcW w:w="2535" w:type="dxa"/>
            <w:gridSpan w:val="3"/>
            <w:tcBorders>
              <w:start w:val="single" w:sz="6" w:space="0" w:color="000000"/>
              <w:bottom w:val="single" w:sz="6" w:space="0" w:color="000000"/>
              <w:end w:val="single" w:sz="6" w:space="0" w:color="000000"/>
            </w:tcBorders>
          </w:tcPr>
          <w:p>
            <w:pPr>
              <w:pStyle w:val="Normal"/>
              <w:snapToGrid w:val="false"/>
              <w:jc w:val="center"/>
              <w:rPr>
                <w:rFonts w:ascii="Arial" w:hAnsi="Arial" w:cs="Arial"/>
                <w:sz w:val="14"/>
              </w:rPr>
            </w:pPr>
            <w:r>
              <w:rPr>
                <w:rFonts w:cs="Arial" w:ascii="Arial" w:hAnsi="Arial"/>
                <w:sz w:val="14"/>
              </w:rPr>
            </w:r>
          </w:p>
        </w:tc>
      </w:tr>
      <w:tr>
        <w:trPr>
          <w:cantSplit/>
        </w:trPr>
        <w:tc>
          <w:tcPr>
            <w:tcW w:w="845" w:type="dxa"/>
            <w:tcBorders>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второго порядка</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в рублях</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ин. вал., драг. металлы</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итого</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в рублях</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ин. вал., драг. металлы</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итого</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в рублях</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ин. вал., драг. металлы</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итого</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в рублях</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ин. вал., драг. металлы</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итого</w:t>
            </w:r>
          </w:p>
        </w:tc>
      </w:tr>
      <w:tr>
        <w:trPr>
          <w:cantSplit/>
        </w:trPr>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1</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2</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3</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4</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5</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6</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7</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8</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9</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10</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11</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12</w:t>
            </w:r>
          </w:p>
        </w:tc>
        <w:tc>
          <w:tcPr>
            <w:tcW w:w="84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4"/>
              </w:rPr>
            </w:pPr>
            <w:r>
              <w:rPr>
                <w:rFonts w:cs="Arial" w:ascii="Arial" w:hAnsi="Arial"/>
                <w:sz w:val="14"/>
              </w:rPr>
              <w:t>13</w:t>
            </w:r>
          </w:p>
        </w:tc>
      </w:tr>
    </w:tbl>
    <w:p>
      <w:pPr>
        <w:pStyle w:val="MainTextBezOtstupa"/>
        <w:spacing w:before="120" w:after="0"/>
        <w:jc w:val="center"/>
        <w:rPr>
          <w:b/>
          <w:spacing w:val="100"/>
        </w:rPr>
      </w:pPr>
      <w:r>
        <w:rPr>
          <w:b/>
          <w:u w:val="single"/>
        </w:rPr>
        <w:t>А</w:t>
      </w:r>
      <w:r>
        <w:rPr>
          <w:b/>
          <w:spacing w:val="100"/>
          <w:u w:val="single"/>
        </w:rPr>
        <w:t>. Балансовые счет</w:t>
      </w:r>
      <w:r>
        <w:rPr>
          <w:b/>
          <w:u w:val="single"/>
        </w:rPr>
        <w:t>а</w:t>
      </w:r>
    </w:p>
    <w:p>
      <w:pPr>
        <w:pStyle w:val="MainTextBezOtstupa"/>
        <w:spacing w:before="57" w:after="57"/>
        <w:rPr/>
      </w:pPr>
      <w:r>
        <w:rPr/>
        <w:t>Актив</w:t>
      </w:r>
    </w:p>
    <w:p>
      <w:pPr>
        <w:pStyle w:val="MainTextBezOtstupa"/>
        <w:pBdr>
          <w:top w:val="single" w:sz="6" w:space="0" w:color="000000"/>
          <w:bottom w:val="single" w:sz="12" w:space="0" w:color="000000"/>
        </w:pBdr>
        <w:spacing w:before="57" w:after="57"/>
        <w:rPr/>
      </w:pPr>
      <w:r>
        <w:rPr/>
        <w:t>Итого по активу (баланс)</w:t>
      </w:r>
    </w:p>
    <w:p>
      <w:pPr>
        <w:pStyle w:val="MainTextBezOtstupa"/>
        <w:spacing w:before="113" w:after="57"/>
        <w:rPr/>
      </w:pPr>
      <w:r>
        <w:rPr/>
        <w:t>Пассив</w:t>
      </w:r>
    </w:p>
    <w:p>
      <w:pPr>
        <w:pStyle w:val="MainTextBezOtstupa"/>
        <w:pBdr>
          <w:top w:val="single" w:sz="12" w:space="0" w:color="000000"/>
          <w:bottom w:val="single" w:sz="12" w:space="0" w:color="000000"/>
        </w:pBdr>
        <w:spacing w:before="57" w:after="57"/>
        <w:rPr/>
      </w:pPr>
      <w:r>
        <w:rPr/>
        <w:t>Итого по пассиву (баланс)</w:t>
      </w:r>
    </w:p>
    <w:p>
      <w:pPr>
        <w:pStyle w:val="MainTextBezOtstupa"/>
        <w:spacing w:before="120" w:after="0"/>
        <w:jc w:val="center"/>
        <w:rPr>
          <w:b/>
          <w:spacing w:val="100"/>
        </w:rPr>
      </w:pPr>
      <w:r>
        <w:rPr>
          <w:b/>
          <w:u w:val="single"/>
        </w:rPr>
        <w:t>Б</w:t>
      </w:r>
      <w:r>
        <w:rPr>
          <w:b/>
          <w:spacing w:val="100"/>
          <w:u w:val="single"/>
        </w:rPr>
        <w:t>. Счета доверительного управлени</w:t>
      </w:r>
      <w:r>
        <w:rPr>
          <w:b/>
          <w:u w:val="single"/>
        </w:rPr>
        <w:t>я</w:t>
      </w:r>
    </w:p>
    <w:p>
      <w:pPr>
        <w:pStyle w:val="MainTextBezOtstupa"/>
        <w:spacing w:before="57" w:after="57"/>
        <w:rPr/>
      </w:pPr>
      <w:r>
        <w:rPr/>
        <w:t>Актив</w:t>
      </w:r>
    </w:p>
    <w:p>
      <w:pPr>
        <w:pStyle w:val="MainTextBezOtstupa"/>
        <w:pBdr>
          <w:top w:val="single" w:sz="6" w:space="0" w:color="000000"/>
          <w:bottom w:val="single" w:sz="12" w:space="0" w:color="000000"/>
        </w:pBdr>
        <w:spacing w:before="57" w:after="57"/>
        <w:rPr/>
      </w:pPr>
      <w:r>
        <w:rPr/>
        <w:t>Итого по активу (баланс)</w:t>
      </w:r>
    </w:p>
    <w:p>
      <w:pPr>
        <w:pStyle w:val="MainTextBezOtstupa"/>
        <w:spacing w:before="113" w:after="57"/>
        <w:rPr/>
      </w:pPr>
      <w:r>
        <w:rPr/>
        <w:t>Пассив</w:t>
      </w:r>
    </w:p>
    <w:p>
      <w:pPr>
        <w:pStyle w:val="MainTextBezOtstupa"/>
        <w:pBdr>
          <w:top w:val="single" w:sz="12" w:space="0" w:color="000000"/>
          <w:bottom w:val="single" w:sz="12" w:space="0" w:color="000000"/>
        </w:pBdr>
        <w:spacing w:before="57" w:after="57"/>
        <w:rPr/>
      </w:pPr>
      <w:r>
        <w:rPr/>
        <w:t>Итого по пассиву (баланс)</w:t>
      </w:r>
    </w:p>
    <w:p>
      <w:pPr>
        <w:pStyle w:val="MainTextBezOtstupa"/>
        <w:spacing w:before="120" w:after="0"/>
        <w:jc w:val="center"/>
        <w:rPr>
          <w:b/>
          <w:spacing w:val="100"/>
        </w:rPr>
      </w:pPr>
      <w:r>
        <w:rPr>
          <w:b/>
          <w:u w:val="single"/>
        </w:rPr>
        <w:t>В</w:t>
      </w:r>
      <w:r>
        <w:rPr>
          <w:b/>
          <w:spacing w:val="100"/>
          <w:u w:val="single"/>
        </w:rPr>
        <w:t>. Внебалансовые счет</w:t>
      </w:r>
      <w:r>
        <w:rPr>
          <w:b/>
          <w:u w:val="single"/>
        </w:rPr>
        <w:t>а</w:t>
      </w:r>
    </w:p>
    <w:p>
      <w:pPr>
        <w:pStyle w:val="MainTextBezOtstupa"/>
        <w:spacing w:before="57" w:after="57"/>
        <w:rPr/>
      </w:pPr>
      <w:r>
        <w:rPr/>
        <w:t>Актив</w:t>
      </w:r>
    </w:p>
    <w:p>
      <w:pPr>
        <w:pStyle w:val="MainTextBezOtstupa"/>
        <w:pBdr>
          <w:top w:val="single" w:sz="6" w:space="0" w:color="000000"/>
          <w:bottom w:val="single" w:sz="12" w:space="0" w:color="000000"/>
        </w:pBdr>
        <w:spacing w:before="57" w:after="57"/>
        <w:rPr/>
      </w:pPr>
      <w:r>
        <w:rPr/>
        <w:t>Итого по активу (баланс)</w:t>
      </w:r>
    </w:p>
    <w:p>
      <w:pPr>
        <w:pStyle w:val="MainTextBezOtstupa"/>
        <w:spacing w:before="113" w:after="57"/>
        <w:rPr/>
      </w:pPr>
      <w:r>
        <w:rPr/>
        <w:t>Пассив</w:t>
      </w:r>
    </w:p>
    <w:p>
      <w:pPr>
        <w:pStyle w:val="MainTextBezOtstupa"/>
        <w:pBdr>
          <w:top w:val="single" w:sz="12" w:space="0" w:color="000000"/>
          <w:bottom w:val="single" w:sz="12" w:space="0" w:color="000000"/>
        </w:pBdr>
        <w:spacing w:before="57" w:after="57"/>
        <w:rPr/>
      </w:pPr>
      <w:r>
        <w:rPr/>
        <w:t>Итого по пассиву (баланс)</w:t>
      </w:r>
    </w:p>
    <w:p>
      <w:pPr>
        <w:pStyle w:val="MainTextBezOtstupa"/>
        <w:spacing w:before="120" w:after="0"/>
        <w:jc w:val="center"/>
        <w:rPr>
          <w:b/>
          <w:spacing w:val="100"/>
        </w:rPr>
      </w:pPr>
      <w:r>
        <w:rPr>
          <w:b/>
          <w:u w:val="single"/>
        </w:rPr>
        <w:t>Г</w:t>
      </w:r>
      <w:r>
        <w:rPr>
          <w:b/>
          <w:spacing w:val="100"/>
          <w:u w:val="single"/>
        </w:rPr>
        <w:t>. Срочные сделки</w:t>
      </w:r>
    </w:p>
    <w:p>
      <w:pPr>
        <w:pStyle w:val="MainTextBezOtstupa"/>
        <w:spacing w:before="57" w:after="57"/>
        <w:rPr/>
      </w:pPr>
      <w:r>
        <w:rPr/>
        <w:t>Актив</w:t>
      </w:r>
    </w:p>
    <w:p>
      <w:pPr>
        <w:pStyle w:val="MainTextBezOtstupa"/>
        <w:pBdr>
          <w:top w:val="single" w:sz="6" w:space="0" w:color="000000"/>
          <w:bottom w:val="single" w:sz="12" w:space="0" w:color="000000"/>
        </w:pBdr>
        <w:spacing w:before="57" w:after="57"/>
        <w:rPr/>
      </w:pPr>
      <w:r>
        <w:rPr/>
        <w:t>Итого по активу (баланс)</w:t>
      </w:r>
    </w:p>
    <w:p>
      <w:pPr>
        <w:pStyle w:val="MainTextBezOtstupa"/>
        <w:spacing w:before="113" w:after="57"/>
        <w:rPr/>
      </w:pPr>
      <w:r>
        <w:rPr/>
        <w:t>Пассив</w:t>
      </w:r>
    </w:p>
    <w:p>
      <w:pPr>
        <w:pStyle w:val="MainTextBezOtstupa"/>
        <w:pBdr>
          <w:top w:val="single" w:sz="12" w:space="0" w:color="000000"/>
          <w:bottom w:val="single" w:sz="12" w:space="0" w:color="000000"/>
        </w:pBdr>
        <w:spacing w:before="57" w:after="57"/>
        <w:rPr/>
      </w:pPr>
      <w:r>
        <w:rPr/>
        <w:t>Итого по пассиву (баланс)</w:t>
      </w:r>
    </w:p>
    <w:p>
      <w:pPr>
        <w:pStyle w:val="MainTextBezOtstupa"/>
        <w:spacing w:before="120" w:after="0"/>
        <w:jc w:val="center"/>
        <w:rPr>
          <w:b/>
          <w:spacing w:val="100"/>
        </w:rPr>
      </w:pPr>
      <w:r>
        <w:rPr>
          <w:b/>
          <w:u w:val="single"/>
        </w:rPr>
        <w:t>Д</w:t>
      </w:r>
      <w:r>
        <w:rPr>
          <w:b/>
          <w:spacing w:val="100"/>
          <w:u w:val="single"/>
        </w:rPr>
        <w:t>. Счета деп</w:t>
      </w:r>
      <w:r>
        <w:rPr>
          <w:b/>
          <w:u w:val="single"/>
        </w:rPr>
        <w:t>о</w:t>
      </w:r>
    </w:p>
    <w:p>
      <w:pPr>
        <w:pStyle w:val="MainTextBezOtstupa"/>
        <w:spacing w:before="57" w:after="57"/>
        <w:rPr/>
      </w:pPr>
      <w:r>
        <w:rPr/>
        <w:t>Актив</w:t>
      </w:r>
    </w:p>
    <w:p>
      <w:pPr>
        <w:pStyle w:val="MainTextBezOtstupa"/>
        <w:pBdr>
          <w:top w:val="single" w:sz="6" w:space="0" w:color="000000"/>
          <w:bottom w:val="single" w:sz="12" w:space="0" w:color="000000"/>
        </w:pBdr>
        <w:spacing w:before="57" w:after="57"/>
        <w:rPr/>
      </w:pPr>
      <w:r>
        <w:rPr/>
        <w:t>Итого по активу (баланс)</w:t>
      </w:r>
    </w:p>
    <w:p>
      <w:pPr>
        <w:pStyle w:val="MainTextBezOtstupa"/>
        <w:spacing w:before="113" w:after="57"/>
        <w:rPr/>
      </w:pPr>
      <w:r>
        <w:rPr/>
        <w:t>Пассив</w:t>
      </w:r>
    </w:p>
    <w:p>
      <w:pPr>
        <w:pStyle w:val="MainTextBezOtstupa"/>
        <w:pBdr>
          <w:top w:val="single" w:sz="12" w:space="0" w:color="000000"/>
          <w:bottom w:val="single" w:sz="12" w:space="0" w:color="000000"/>
        </w:pBdr>
        <w:spacing w:before="57" w:after="57"/>
        <w:rPr/>
      </w:pPr>
      <w:r>
        <w:rPr/>
        <w:t>Итого по пассиву (баланс)</w:t>
      </w:r>
    </w:p>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60" w:after="0"/>
        <w:rPr/>
      </w:pPr>
      <w:r>
        <w:rPr/>
        <w:t>Главный бухгалтер</w:t>
        <w:tab/>
        <w:t>(Ф.И.О.)</w:t>
      </w:r>
    </w:p>
    <w:p>
      <w:pPr>
        <w:pStyle w:val="MainTextBezOtstupa"/>
        <w:spacing w:before="60" w:after="0"/>
        <w:rPr/>
      </w:pPr>
      <w:r>
        <w:rPr/>
        <w:t>М.П.</w:t>
      </w:r>
    </w:p>
    <w:p>
      <w:pPr>
        <w:pStyle w:val="MainTextBezOtstupa"/>
        <w:tabs>
          <w:tab w:val="clear" w:pos="720"/>
          <w:tab w:val="left" w:pos="4564" w:leader="none"/>
        </w:tabs>
        <w:spacing w:before="60" w:after="0"/>
        <w:rPr/>
      </w:pPr>
      <w:r>
        <w:rPr/>
        <w:t>Исполнитель</w:t>
        <w:tab/>
        <w:t>(Ф.И.О.)</w:t>
      </w:r>
    </w:p>
    <w:p>
      <w:pPr>
        <w:pStyle w:val="MainTextBezOtstupa"/>
        <w:spacing w:before="60" w:after="0"/>
        <w:rPr/>
      </w:pPr>
      <w:r>
        <w:rPr/>
        <w:t>Телефон:</w:t>
      </w:r>
    </w:p>
    <w:p>
      <w:pPr>
        <w:pStyle w:val="MainTextBezOtstupa"/>
        <w:spacing w:before="60"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0409101 “Оборотная ведомость по счетам бухгалтерского учета кредитной организации”</w:t>
      </w:r>
    </w:p>
    <w:p>
      <w:pPr>
        <w:pStyle w:val="MainText"/>
        <w:rPr/>
      </w:pPr>
      <w:r>
        <w:rPr/>
        <w:t>1. В отчетность по форме 0409101 “Оборотная ведомость по счетам бухгалтерского учета кредитной организации” (далее — Отчет) включаются все определенные составленным в соответствии с Положением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зарегистрированным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 рабочим планом счетов бухгалтерского учета в кредитных организациях балансовые и внебалансовые счета второго порядка, за исключением тех, по которым операции в отчетном периоде не осуществлялись, то есть когда входящие и исходящие остатки, а также дебетовые и кредитовые обороты по балансовым и внебалансовым счетам второго порядка равны нулю.</w:t>
      </w:r>
    </w:p>
    <w:p>
      <w:pPr>
        <w:pStyle w:val="MainText"/>
        <w:rPr/>
      </w:pPr>
      <w:r>
        <w:rPr/>
        <w:t>2. По разделам А, Б, В, Г Отчет составляется в целых тысячах рублей, по разделу Д — в штуках.</w:t>
      </w:r>
    </w:p>
    <w:p>
      <w:pPr>
        <w:pStyle w:val="MainText"/>
        <w:rPr/>
      </w:pPr>
      <w:r>
        <w:rPr/>
        <w:t>3. Суммы в графах 3, 6, 9, 12 Отчета указываются в рублевом эквиваленте.</w:t>
      </w:r>
    </w:p>
    <w:p>
      <w:pPr>
        <w:pStyle w:val="MainText"/>
        <w:rPr/>
      </w:pPr>
      <w:r>
        <w:rPr/>
        <w:t>4. В разделе Д данные отражаются только по графам 4, 7, 10 и 13.</w:t>
      </w:r>
    </w:p>
    <w:p>
      <w:pPr>
        <w:pStyle w:val="MainText"/>
        <w:rPr/>
      </w:pPr>
      <w:r>
        <w:rPr/>
        <w:t>5. Отчет на бумажном носителе распечатывается на бумаге формата А4 (297 мм х 210 мм) с горизонтальным расположением текста.</w:t>
      </w:r>
    </w:p>
    <w:p>
      <w:pPr>
        <w:pStyle w:val="MainText"/>
        <w:rPr/>
      </w:pPr>
      <w:r>
        <w:rPr/>
        <w:t>6. Отчет представляется кредитными организациями (включая небанковские кредитные организации) по состоянию на 1-е число месяца, следующего за отчетным, в территориальное учреждение Банка России:</w:t>
      </w:r>
    </w:p>
    <w:p>
      <w:pPr>
        <w:pStyle w:val="MainText"/>
        <w:rPr/>
      </w:pPr>
      <w:r>
        <w:rPr/>
        <w:t>кредитными организациями (включая небанковские кредитные организации) (за исключением кредитных организаций, указанных в абзаце третьем настоящего пункта) — не позднее 4-го рабочего дня месяца, следующего за отчетным;</w:t>
      </w:r>
    </w:p>
    <w:p>
      <w:pPr>
        <w:pStyle w:val="MainText"/>
        <w:rPr/>
      </w:pPr>
      <w:r>
        <w:rPr/>
        <w:t>крупными кредитными организациями с широкой сетью подразделений</w:t>
      </w:r>
      <w:r>
        <w:rPr>
          <w:vertAlign w:val="superscript"/>
        </w:rPr>
        <w:t>1</w:t>
      </w:r>
      <w:r>
        <w:rPr/>
        <w:t> — не позднее 10-го рабочего дня месяца, следующего за отчетным.</w:t>
      </w:r>
    </w:p>
    <w:p>
      <w:pPr>
        <w:pStyle w:val="MainText"/>
        <w:rPr/>
      </w:pPr>
      <w:r>
        <w:rPr/>
        <w:t>Банки, размер собственных средств (капитала) которых начиная с 1 января 2010 года составляет менее 90 миллионов рублей, представляют Отчет начиная с 1 января 2010 года на ежедневной основе — не позднее 3-го рабочего дня, следующего за отчетным (за исключением случаев снижения размера собственных средств (капитала) вследствие применения измененной методики определения размера собственных средств (капитала) банка).</w:t>
      </w:r>
    </w:p>
    <w:p>
      <w:pPr>
        <w:pStyle w:val="MainText"/>
        <w:rPr/>
      </w:pPr>
      <w:r>
        <w:rPr/>
        <w:t>Банки, размер собственных средств (капитала) которых начиная с 1 января 2012 года составляет менее 180 миллионов рублей, представляют Отчет начиная с 1 января 2012 года на ежедневной основе — не позднее 3-го рабочего дня, следующего за отчетным (за исключением случаев снижения размера собственных средств (капитала) вследствие применения измененной методики определения размера собственных средств (капитала) банка).</w:t>
      </w:r>
    </w:p>
    <w:p>
      <w:pPr>
        <w:pStyle w:val="MainText"/>
        <w:rPr/>
      </w:pPr>
      <w:r>
        <w:rPr/>
        <w:t>7. Головные офисы и филиалы кредитных организаций представляют Отчет по состоянию на 1-е число месяца, следующего за отчетным, — не позднее 3-го рабочего дня месяца, следующего за отчетным.</w:t>
      </w:r>
    </w:p>
    <w:p>
      <w:pPr>
        <w:pStyle w:val="MainText"/>
        <w:rPr/>
      </w:pPr>
      <w:r>
        <w:rPr/>
        <w:t>Отчеты зарубежных филиалов</w:t>
      </w:r>
      <w:r>
        <w:rPr>
          <w:vertAlign w:val="superscript"/>
        </w:rPr>
        <w:t>2</w:t>
      </w:r>
      <w:r>
        <w:rPr/>
        <w:t xml:space="preserve"> кредитной организации — резидента Российской Федерации представляются головным офисом кредитной организации в территориальное учреждение Банка России, осуществляющее надзор за деятельностью кредитной организации.</w:t>
      </w:r>
    </w:p>
    <w:p>
      <w:pPr>
        <w:pStyle w:val="MainText"/>
        <w:rPr/>
      </w:pPr>
      <w:r>
        <w:rPr/>
        <w:t>Отчет составляется и представляется всеми филиалами кредитной организации. Отсутствие у филиала корреспондентского субсчета в расчетно-кассовом центре Банка России не может являться основанием для непредставления Отчета.</w:t>
      </w:r>
    </w:p>
    <w:p>
      <w:pPr>
        <w:pStyle w:val="MainText"/>
        <w:rPr/>
      </w:pPr>
      <w:r>
        <w:rPr/>
        <w:t>Головные офисы и территориальные банки крупных кредитных организаций с широкой сетью подразделений представляют Отчет (с учетом операций подчиненных им отделений) в разрезе субъектов Российской Федерации по состоянию на 1-е число месяца, следующего за отчетным, — не позднее 8-го рабочего дня месяца, следующего за отчетным.</w:t>
      </w:r>
    </w:p>
    <w:p>
      <w:pPr>
        <w:pStyle w:val="MainText"/>
        <w:rPr/>
      </w:pPr>
      <w:r>
        <w:rPr/>
        <w:t>8.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t>9. Реорганизуемые кредитные организации представляют Отчет в территориальное учреждение Банка России в следующем порядке.</w:t>
      </w:r>
    </w:p>
    <w:p>
      <w:pPr>
        <w:pStyle w:val="MainText"/>
        <w:rPr/>
      </w:pPr>
      <w:r>
        <w:rPr/>
        <w:t>Отчет, составленный на день, предшествующий дню внесения соответствующих изменений в Единый государственный реестр юридических лиц, представляется не позднее 10-го рабочего дня месяца после дня внесения соответствующих изменений в Единый государственный реестр юридических лиц, в составе заключительной бухгалтерской отчетности реорганизуемой кредитной организации, прекращающей свою деятельность.</w:t>
      </w:r>
    </w:p>
    <w:p>
      <w:pPr>
        <w:pStyle w:val="MainText"/>
        <w:rPr/>
      </w:pPr>
      <w:r>
        <w:rPr/>
        <w:t>Отчет, составленный на дату государственной регистрации кредитных организаций, возникающих в результате реорганизации, представляется не позднее 10-го рабочего дня месяца после дня их государственной регистрации, в составе вступительной бухгалтерской отчетности.</w:t>
      </w:r>
    </w:p>
    <w:p>
      <w:pPr>
        <w:pStyle w:val="MainText"/>
        <w:rPr/>
      </w:pPr>
      <w:r>
        <w:rPr/>
        <w:t>В случае получения кредитной организацией уведомления о факте внесения соответствующей записи в Единый государственный реестр юридических лиц после даты регистрации кредитной организации Отчет представляется в следующем порядке.</w:t>
      </w:r>
    </w:p>
    <w:p>
      <w:pPr>
        <w:pStyle w:val="MainText"/>
        <w:rPr/>
      </w:pPr>
      <w:r>
        <w:rPr/>
        <w:t>Отчет, составленный на день, следующий за днем получения уведомления о внесении соответствующей записи в Единый государственный реестр юридических лиц, представляется не позднее 10-го рабочего дня месяца после дня получения уведомления о внесении соответствующей записи в Единый государственный реестр юридических лиц, в составе заключительной бухгалтерской отчетности реорганизуемой кредитной организации, прекращающей свою деятельность.</w:t>
      </w:r>
    </w:p>
    <w:p>
      <w:pPr>
        <w:pStyle w:val="MainText"/>
        <w:keepNext w:val="true"/>
        <w:keepLines/>
        <w:spacing w:before="0" w:after="120"/>
        <w:rPr/>
      </w:pPr>
      <w:r>
        <w:rPr/>
        <w:t>Отчет, составленный на дату, следующую за днем составления заключительной бухгалтерской отчетности кредитных организаций, возникающих в результате реорганизации, представляется не позднее 10-го рабочего дня месяца после дня составления Отчета, в составе вступительной бухгалтерской отчетности.</w:t>
      </w:r>
    </w:p>
    <w:p>
      <w:pPr>
        <w:pStyle w:val="SnoskaLineTab"/>
        <w:keepLines w:val="false"/>
        <w:pBdr>
          <w:top w:val="single" w:sz="6" w:space="1" w:color="000000"/>
        </w:pBdr>
        <w:rPr/>
      </w:pPr>
      <w:r>
        <w:rPr>
          <w:vertAlign w:val="superscript"/>
        </w:rPr>
        <w:t>1</w:t>
      </w:r>
      <w:r>
        <w:rPr/>
        <w:t> Здесь и далее по тексту настоящего Указания в целях составления отчетности к данным кредитным организациям относятся кредитные организации, имеющие подразделения более чем в 80 процентах субъектов Российской Федерации и величину активов более 7 триллионов рублей.</w:t>
      </w:r>
    </w:p>
    <w:p>
      <w:pPr>
        <w:pStyle w:val="Snoska"/>
        <w:keepLines w:val="false"/>
        <w:rPr/>
      </w:pPr>
      <w:r>
        <w:rPr>
          <w:vertAlign w:val="superscript"/>
        </w:rPr>
        <w:t>2</w:t>
      </w:r>
      <w:r>
        <w:rPr/>
        <w:t> Здесь и далее по тексту настоящего Указания имеется в виду, что зарубежные филиалы кредитных организаций представляют отчетность в случае прямого указания на необходимость ее представления в соответствующем порядке составления и представления отчетности.</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 ПРИБЫЛЯХ И УБЫТКАХ КРЕДИТНОЙ ОРГАНИЗАЦИИ </w:t>
        <w:br/>
        <w:t>по состоянию на “</w:t>
      </w:r>
      <w:r>
        <w:rPr/>
        <w:t>___” __________ _____</w:t>
      </w:r>
      <w:r>
        <w:rPr>
          <w:b w:val="false"/>
        </w:rPr>
        <w:t xml:space="preserve"> </w:t>
      </w:r>
      <w:r>
        <w:rPr/>
        <w:t>г.</w:t>
      </w:r>
    </w:p>
    <w:p>
      <w:pPr>
        <w:pStyle w:val="MainTextLine155"/>
        <w:tabs>
          <w:tab w:val="clear" w:pos="8787"/>
          <w:tab w:val="right" w:pos="7937" w:leader="underscore"/>
        </w:tabs>
        <w:rPr/>
      </w:pPr>
      <w:r>
        <w:rPr/>
        <w:t>Сокращенное фирменное наименование кредитной организации</w:t>
        <w:tab/>
      </w:r>
    </w:p>
    <w:p>
      <w:pPr>
        <w:pStyle w:val="MainTextLine155"/>
        <w:tabs>
          <w:tab w:val="clear" w:pos="8787"/>
          <w:tab w:val="right" w:pos="7937" w:leader="underscore"/>
        </w:tabs>
        <w:rPr/>
      </w:pPr>
      <w:r>
        <w:rPr/>
        <w:t>Почтовый адрес</w:t>
        <w:tab/>
      </w:r>
    </w:p>
    <w:p>
      <w:pPr>
        <w:pStyle w:val="MainTextBezOtstupa"/>
        <w:spacing w:before="120" w:after="60"/>
        <w:jc w:val="end"/>
        <w:rPr/>
      </w:pPr>
      <w:r>
        <w:rPr/>
        <w:t>Код формы по ОКУД 0409102</w:t>
        <w:br/>
        <w:t>Квартальная</w:t>
        <w:br/>
        <w:t>тыс. руб.</w:t>
      </w:r>
    </w:p>
    <w:tbl>
      <w:tblPr>
        <w:tblW w:w="10989" w:type="dxa"/>
        <w:jc w:val="center"/>
        <w:tblInd w:w="0" w:type="dxa"/>
        <w:tblLayout w:type="fixed"/>
        <w:tblCellMar>
          <w:top w:w="0" w:type="dxa"/>
          <w:start w:w="108" w:type="dxa"/>
          <w:bottom w:w="0" w:type="dxa"/>
          <w:end w:w="108" w:type="dxa"/>
        </w:tblCellMar>
      </w:tblPr>
      <w:tblGrid>
        <w:gridCol w:w="957"/>
        <w:gridCol w:w="1561"/>
        <w:gridCol w:w="1135"/>
        <w:gridCol w:w="1133"/>
        <w:gridCol w:w="4525"/>
        <w:gridCol w:w="1678"/>
      </w:tblGrid>
      <w:tr>
        <w:trPr>
          <w:tblHeader w:val="true"/>
          <w:cantSplit/>
        </w:trPr>
        <w:tc>
          <w:tcPr>
            <w:tcW w:w="957" w:type="dxa"/>
            <w:tcBorders>
              <w:top w:val="single" w:sz="6" w:space="0" w:color="000000"/>
              <w:start w:val="single" w:sz="6" w:space="0" w:color="000000"/>
              <w:end w:val="single" w:sz="6" w:space="0" w:color="000000"/>
            </w:tcBorders>
          </w:tcPr>
          <w:p>
            <w:pPr>
              <w:pStyle w:val="MainText"/>
              <w:keepNext w:val="true"/>
              <w:ind w:hanging="0" w:end="0"/>
              <w:jc w:val="center"/>
              <w:rPr/>
            </w:pPr>
            <w:r>
              <w:rPr/>
              <w:t>Номер</w:t>
            </w:r>
          </w:p>
        </w:tc>
        <w:tc>
          <w:tcPr>
            <w:tcW w:w="1561" w:type="dxa"/>
            <w:tcBorders>
              <w:top w:val="single" w:sz="6" w:space="0" w:color="000000"/>
              <w:start w:val="single" w:sz="6" w:space="0" w:color="000000"/>
              <w:end w:val="single" w:sz="6" w:space="0" w:color="000000"/>
            </w:tcBorders>
          </w:tcPr>
          <w:p>
            <w:pPr>
              <w:pStyle w:val="MainText"/>
              <w:keepNext w:val="true"/>
              <w:ind w:hanging="0" w:end="0"/>
              <w:jc w:val="center"/>
              <w:rPr/>
            </w:pPr>
            <w:r>
              <w:rPr/>
              <w:t>Наименование</w:t>
            </w:r>
          </w:p>
        </w:tc>
        <w:tc>
          <w:tcPr>
            <w:tcW w:w="1135" w:type="dxa"/>
            <w:tcBorders>
              <w:top w:val="single" w:sz="6" w:space="0" w:color="000000"/>
              <w:start w:val="single" w:sz="6" w:space="0" w:color="000000"/>
              <w:end w:val="single" w:sz="6" w:space="0" w:color="000000"/>
            </w:tcBorders>
          </w:tcPr>
          <w:p>
            <w:pPr>
              <w:pStyle w:val="MainText"/>
              <w:keepNext w:val="true"/>
              <w:ind w:hanging="0" w:end="0"/>
              <w:jc w:val="center"/>
              <w:rPr/>
            </w:pPr>
            <w:r>
              <w:rPr/>
              <w:t>Символы</w:t>
            </w:r>
          </w:p>
        </w:tc>
        <w:tc>
          <w:tcPr>
            <w:tcW w:w="565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Суммы</w:t>
            </w:r>
          </w:p>
        </w:tc>
        <w:tc>
          <w:tcPr>
            <w:tcW w:w="1678" w:type="dxa"/>
            <w:tcBorders>
              <w:top w:val="single" w:sz="6" w:space="0" w:color="000000"/>
              <w:start w:val="single" w:sz="6" w:space="0" w:color="000000"/>
              <w:end w:val="single" w:sz="6" w:space="0" w:color="000000"/>
            </w:tcBorders>
          </w:tcPr>
          <w:p>
            <w:pPr>
              <w:pStyle w:val="MainText"/>
              <w:keepNext w:val="true"/>
              <w:ind w:hanging="0" w:end="0"/>
              <w:jc w:val="center"/>
              <w:rPr/>
            </w:pPr>
            <w:r>
              <w:rPr/>
              <w:t>Всего</w:t>
            </w:r>
          </w:p>
        </w:tc>
      </w:tr>
      <w:tr>
        <w:trPr>
          <w:tblHeader w:val="true"/>
          <w:cantSplit/>
        </w:trPr>
        <w:tc>
          <w:tcPr>
            <w:tcW w:w="957" w:type="dxa"/>
            <w:tcBorders>
              <w:start w:val="single" w:sz="6" w:space="0" w:color="000000"/>
              <w:bottom w:val="single" w:sz="6" w:space="0" w:color="000000"/>
              <w:end w:val="single" w:sz="6" w:space="0" w:color="000000"/>
            </w:tcBorders>
          </w:tcPr>
          <w:p>
            <w:pPr>
              <w:pStyle w:val="MainText"/>
              <w:keepNext w:val="true"/>
              <w:ind w:hanging="0" w:end="0"/>
              <w:jc w:val="center"/>
              <w:rPr/>
            </w:pPr>
            <w:r>
              <w:rPr/>
              <w:t>строки</w:t>
            </w:r>
          </w:p>
        </w:tc>
        <w:tc>
          <w:tcPr>
            <w:tcW w:w="1561" w:type="dxa"/>
            <w:tcBorders>
              <w:start w:val="single" w:sz="6" w:space="0" w:color="000000"/>
              <w:bottom w:val="single" w:sz="6" w:space="0" w:color="000000"/>
              <w:end w:val="single" w:sz="6" w:space="0" w:color="000000"/>
            </w:tcBorders>
          </w:tcPr>
          <w:p>
            <w:pPr>
              <w:pStyle w:val="MainText"/>
              <w:keepNext w:val="true"/>
              <w:ind w:hanging="0" w:end="0"/>
              <w:jc w:val="center"/>
              <w:rPr/>
            </w:pPr>
            <w:r>
              <w:rPr/>
              <w:t>статей</w:t>
            </w:r>
          </w:p>
        </w:tc>
        <w:tc>
          <w:tcPr>
            <w:tcW w:w="113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pPr>
            <w:r>
              <w:rPr/>
            </w:r>
          </w:p>
        </w:tc>
        <w:tc>
          <w:tcPr>
            <w:tcW w:w="11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в рублях</w:t>
            </w:r>
          </w:p>
        </w:tc>
        <w:tc>
          <w:tcPr>
            <w:tcW w:w="45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в иностранной валюте и драгоценных металлах в рублевом эквиваленте</w:t>
            </w:r>
          </w:p>
        </w:tc>
        <w:tc>
          <w:tcPr>
            <w:tcW w:w="1678" w:type="dxa"/>
            <w:tcBorders>
              <w:start w:val="single" w:sz="6" w:space="0" w:color="000000"/>
              <w:bottom w:val="single" w:sz="6" w:space="0" w:color="000000"/>
              <w:end w:val="single" w:sz="6" w:space="0" w:color="000000"/>
            </w:tcBorders>
          </w:tcPr>
          <w:p>
            <w:pPr>
              <w:pStyle w:val="MainText"/>
              <w:keepNext w:val="true"/>
              <w:ind w:hanging="0" w:end="0"/>
              <w:jc w:val="center"/>
              <w:rPr/>
            </w:pPr>
            <w:r>
              <w:rPr/>
              <w:t>(гр. 4 + гр. 5)</w:t>
            </w:r>
          </w:p>
        </w:tc>
      </w:tr>
      <w:tr>
        <w:trPr>
          <w:tblHeader w:val="true"/>
          <w:cantSplit/>
        </w:trPr>
        <w:tc>
          <w:tcPr>
            <w:tcW w:w="95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11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c>
          <w:tcPr>
            <w:tcW w:w="45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5</w:t>
            </w:r>
          </w:p>
        </w:tc>
        <w:tc>
          <w:tcPr>
            <w:tcW w:w="16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6</w:t>
            </w:r>
          </w:p>
        </w:tc>
      </w:tr>
      <w:tr>
        <w:trPr>
          <w:cantSplit/>
        </w:trPr>
        <w:tc>
          <w:tcPr>
            <w:tcW w:w="95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15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4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15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4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15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4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spacing w:before="240" w:after="0"/>
        <w:rPr/>
      </w:pPr>
      <w:r>
        <w:rPr/>
        <w:t>Раздел “Справочно”</w:t>
      </w:r>
    </w:p>
    <w:p>
      <w:pPr>
        <w:pStyle w:val="MainTextBezOtstupa"/>
        <w:spacing w:before="0" w:after="60"/>
        <w:jc w:val="end"/>
        <w:rPr/>
      </w:pPr>
      <w:r>
        <w:rPr/>
        <w:t>тыс. руб.</w:t>
      </w:r>
    </w:p>
    <w:tbl>
      <w:tblPr>
        <w:tblW w:w="10989" w:type="dxa"/>
        <w:jc w:val="center"/>
        <w:tblInd w:w="0" w:type="dxa"/>
        <w:tblLayout w:type="fixed"/>
        <w:tblCellMar>
          <w:top w:w="0" w:type="dxa"/>
          <w:start w:w="108" w:type="dxa"/>
          <w:bottom w:w="0" w:type="dxa"/>
          <w:end w:w="108" w:type="dxa"/>
        </w:tblCellMar>
      </w:tblPr>
      <w:tblGrid>
        <w:gridCol w:w="959"/>
        <w:gridCol w:w="8363"/>
        <w:gridCol w:w="1667"/>
      </w:tblGrid>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показателя</w:t>
            </w:r>
          </w:p>
        </w:tc>
        <w:tc>
          <w:tcPr>
            <w:tcW w:w="16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Сумма</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6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Расходы по развитию бизнеса, всего, </w:t>
              <w:br/>
              <w:t>в том числе:</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на оплату труда, включая премии и компенсации (часть символа 26101)</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налоги и сборы в виде начислений на заработную плату, уплачиваемые работодателями в соответствии с законодательством Российской Федерации (часть символа 26102)</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связанные с перемещением персонала (кроме расходов на оплату труда) (часть символа 26103)</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 расходы на содержание персонала (часть символа 26104)</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амортизация по основным средствам (часть символа 26201)</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амортизация по основным средствам, полученным в финансовую аренду (лизинг) (часть символа 26202)</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амортизация по нематериальным активам (часть символа 26203)</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ремонту основных средств и другого имущества (часть символа 26301)</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1.9</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содержанию основных средств и другого имущества (включая коммунальные расходы) (часть символа 26302)</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1.10</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арендной плате по арендованным основным средствам и другому имуществу (часть символа 26303)</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списанию стоимости материальных запасов (часть символа 26305)</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подготовке и переподготовке кадров (часть символа 26401)</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служебным командировкам (часть символа 26402)</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охране (часть символа 26403)</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рекламе (часть символа 26404)</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представительские расходы (часть символа 26405)</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за услуги связи, телекоммуникационных и информационных систем (часть символа 26406)</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страхованию (часть символа 26410)</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1.19</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 организационные и управленческие расходы (часть символа 26412)</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rPr/>
      </w:pPr>
      <w:r>
        <w:rPr/>
        <w:t>Главный бухгалтер</w:t>
        <w:tab/>
        <w:t>(Ф.И.О.)</w:t>
      </w:r>
    </w:p>
    <w:p>
      <w:pPr>
        <w:pStyle w:val="MainTextBezOtstupa"/>
        <w:rPr/>
      </w:pPr>
      <w:r>
        <w:rPr/>
        <w:t>М.П.</w:t>
      </w:r>
    </w:p>
    <w:p>
      <w:pPr>
        <w:pStyle w:val="MainTextBezOtstupa"/>
        <w:tabs>
          <w:tab w:val="clear" w:pos="720"/>
          <w:tab w:val="left" w:pos="4564" w:leader="none"/>
        </w:tabs>
        <w:rPr/>
      </w:pPr>
      <w:r>
        <w:rPr/>
        <w:t>Исполнитель</w:t>
        <w:tab/>
        <w:t>(Ф.И.О.)</w:t>
      </w:r>
    </w:p>
    <w:p>
      <w:pPr>
        <w:pStyle w:val="MainTextBezOtstupa"/>
        <w:rPr/>
      </w:pPr>
      <w:r>
        <w:rPr/>
        <w:t>Телефон:</w:t>
      </w:r>
    </w:p>
    <w:p>
      <w:pPr>
        <w:pStyle w:val="MainTextBezOtstupa"/>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0409102 “Отчет о прибылях и убытках кредитной организации”</w:t>
      </w:r>
    </w:p>
    <w:p>
      <w:pPr>
        <w:pStyle w:val="MainText"/>
        <w:rPr/>
      </w:pPr>
      <w:r>
        <w:rPr/>
        <w:t>1. Отчетность по форме 0409102 “Отчет о прибылях и убытках кредитной организации” (далее — Отчет) составляется в целом по кредитной организации (в том числе по небанковской кредитной организации) в соответствии с порядком составления регистра синтетического учета (Отчета о прибылях и убытках), изложенным в приложении 4 к приложению к Положению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зарегистрированному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w:t>
      </w:r>
    </w:p>
    <w:p>
      <w:pPr>
        <w:pStyle w:val="MainText"/>
        <w:rPr/>
      </w:pPr>
      <w:r>
        <w:rPr/>
        <w:t>2. Отчет составляется в целых тысячах рублей.</w:t>
      </w:r>
    </w:p>
    <w:p>
      <w:pPr>
        <w:pStyle w:val="MainText"/>
        <w:rPr/>
      </w:pPr>
      <w:r>
        <w:rPr/>
        <w:t>3. Доходы и расходы от проведения иностранных операций отражаются в следующем порядке:</w:t>
      </w:r>
    </w:p>
    <w:p>
      <w:pPr>
        <w:pStyle w:val="MainText"/>
        <w:rPr/>
      </w:pPr>
      <w:r>
        <w:rPr/>
        <w:t>в графе 4 Отчета проставляются суммы доходов (расходов), полученные (произведенные) в рублях;</w:t>
      </w:r>
    </w:p>
    <w:p>
      <w:pPr>
        <w:pStyle w:val="MainText"/>
        <w:rPr/>
      </w:pPr>
      <w:r>
        <w:rPr/>
        <w:t>в графе 5 Отчета проставляются суммы доходов (расходов) на дату их получения (осуществления), полученные (произведенные) в иностранной валюте и драгоценных металлах в рублевом эквиваленте по официальному курсу иностранной валюты по отношению к рублю, установленному Банком России, или по учетной цене на драгоценные металлы, установленной Банком России.</w:t>
      </w:r>
    </w:p>
    <w:p>
      <w:pPr>
        <w:pStyle w:val="MainText"/>
        <w:rPr/>
      </w:pPr>
      <w:r>
        <w:rPr/>
        <w:t>4. Раздел “Справочно” Отчета заполняется только кредитными организациями, в отношении которых Комитетом банковского надзора Банка России принято решение об определении их финансового результата без учета расходов (убытков), обусловленных развитием бизнеса, в соответствии с подпунктом 5.2.1 пункта 5.2 Указания Банка России от 16 января 2004 года № 1379-У “Об оценке финансовой устойчивости банка в целях признания ее достаточной для участия в системе страхования вкладов”, зарегистрированного Министерством юстиции Российской Федерации 23 января 2004 года № 5485, 31 марта 2006 года № 7648, 23 июля 2007 года № 9874, 23 июня 2009 года № 14120 (“Вестник Банка России” от 27 января 2004 года № 5, от 12 апреля 2006 года № 22, от 2 августа 2007 года № 44, от 1 июля 2009 года № 39).</w:t>
      </w:r>
    </w:p>
    <w:p>
      <w:pPr>
        <w:pStyle w:val="MainText"/>
        <w:rPr/>
      </w:pPr>
      <w:r>
        <w:rPr/>
        <w:t>5. Отчет представляется кредитными организациями (включая небанковские кредитные организации) по состоянию на 1-е число месяца, следующего за отчетным кварталом, в территориальное учреждение Банка России:</w:t>
      </w:r>
    </w:p>
    <w:p>
      <w:pPr>
        <w:pStyle w:val="MainText"/>
        <w:rPr/>
      </w:pPr>
      <w:r>
        <w:rPr/>
        <w:t>кредитными организациями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 кварталом;</w:t>
      </w:r>
    </w:p>
    <w:p>
      <w:pPr>
        <w:pStyle w:val="MainText"/>
        <w:rPr/>
      </w:pPr>
      <w:r>
        <w:rPr/>
        <w:t>крупными кредитными организациями с широкой сетью подразделений — не позднее 12-го рабочего дня месяца, следующего за отчетным кварталом.</w:t>
      </w:r>
    </w:p>
    <w:p>
      <w:pPr>
        <w:pStyle w:val="MainText"/>
        <w:rPr/>
      </w:pPr>
      <w:r>
        <w:rPr/>
        <w:t>6. Реорганизуемые кредитные организации представляют Отчет в территориальное учреждение Банка России в следующем порядке.</w:t>
      </w:r>
    </w:p>
    <w:p>
      <w:pPr>
        <w:pStyle w:val="MainText"/>
        <w:rPr/>
      </w:pPr>
      <w:r>
        <w:rPr/>
        <w:t>Отчет, составленный на день, предшествующий дню внесения соответствующих изменений в Единый государственный реестр юридических лиц, представляется не позднее 10-го рабочего дня месяца после дня внесения соответствующих изменений в Единый государственный реестр юридических лиц, в составе заключительной бухгалтерской отчетности реорганизуемой кредитной организации, прекращающей свою деятельность.</w:t>
      </w:r>
    </w:p>
    <w:p>
      <w:pPr>
        <w:pStyle w:val="MainText"/>
        <w:rPr/>
      </w:pPr>
      <w:r>
        <w:rPr/>
        <w:t>Отчет, составленный на дату государственной регистрации кредитных организаций, возникающих в результате реорганизации, представляется не позднее 10-го рабочего дня месяца после дня их государственной регистрации, в составе вступительной бухгалтерской отчетности.</w:t>
      </w:r>
    </w:p>
    <w:p>
      <w:pPr>
        <w:pStyle w:val="MainText"/>
        <w:rPr/>
      </w:pPr>
      <w:r>
        <w:rPr/>
        <w:t>В случае получения кредитной организацией уведомления о факте внесения соответствующей записи в Единый государственный реестр юридических лиц после даты регистрации кредитной организации Отчет представляется в следующем порядке.</w:t>
      </w:r>
    </w:p>
    <w:p>
      <w:pPr>
        <w:pStyle w:val="MainText"/>
        <w:rPr/>
      </w:pPr>
      <w:r>
        <w:rPr/>
        <w:t>Отчет, составленный на день, следующий за днем получения уведомления о внесении соответствующей записи в Единый государственный реестр юридических лиц, представляется не позднее 10-го рабочего дня месяца после дня получения уведомления о внесении соответствующей записи в Единый государственный реестр юридических лиц, в составе заключительной бухгалтерской отчетности реорганизуемой кредитной организации, прекращающей свою деятельность.</w:t>
      </w:r>
    </w:p>
    <w:p>
      <w:pPr>
        <w:pStyle w:val="MainText"/>
        <w:rPr/>
      </w:pPr>
      <w:r>
        <w:rPr/>
        <w:t>Отчет, составленный на дату, следующую за днем составления заключительной бухгалтерской отчетности кредитных организаций, возникающих в результате реорганизации, представляется не позднее 10-го рабочего дня месяца после дня составления Отчета, в составе вступительной бухгалтерской отчетности.</w:t>
      </w:r>
    </w:p>
    <w:p>
      <w:pPr>
        <w:pStyle w:val="MainText"/>
        <w:rPr/>
      </w:pPr>
      <w:r>
        <w:rPr/>
        <w:t>7. Территориальное учреждение Банка России вправе потребовать от кредитной организации представления Отчета на месячные и внутримесячные даты в установленный им срок.</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РАСШИФРОВКИ ОТДЕЛЬНЫХ ПОКАЗАТЕЛЕЙ </w:t>
        <w:br/>
        <w:t xml:space="preserve">ДЕЯТЕЛЬНОСТИ КРЕДИТНОЙ ОРГАНИЗАЦИИ </w:t>
        <w:br/>
        <w:t>по состоянию на “</w:t>
      </w:r>
      <w:r>
        <w:rPr/>
        <w:t>___” __________ _____</w:t>
      </w:r>
      <w:r>
        <w:rPr>
          <w:b w:val="false"/>
        </w:rPr>
        <w:t xml:space="preserve"> </w:t>
      </w:r>
      <w:r>
        <w:rPr/>
        <w:t>г.</w:t>
      </w:r>
    </w:p>
    <w:p>
      <w:pPr>
        <w:pStyle w:val="MainTextLine155"/>
        <w:tabs>
          <w:tab w:val="clear" w:pos="8787"/>
          <w:tab w:val="right" w:pos="7937" w:leader="underscore"/>
        </w:tabs>
        <w:rPr/>
      </w:pPr>
      <w:r>
        <w:rPr/>
        <w:t>Сокращенное фирменное наименование кредитной организации</w:t>
        <w:tab/>
      </w:r>
    </w:p>
    <w:p>
      <w:pPr>
        <w:pStyle w:val="MainTextLine155"/>
        <w:tabs>
          <w:tab w:val="clear" w:pos="8787"/>
          <w:tab w:val="right" w:pos="7937" w:leader="underscore"/>
        </w:tabs>
        <w:rPr/>
      </w:pPr>
      <w:r>
        <w:rPr/>
        <w:t>Почтовый адрес</w:t>
        <w:tab/>
      </w:r>
    </w:p>
    <w:p>
      <w:pPr>
        <w:pStyle w:val="MainTextBezOtstupa"/>
        <w:spacing w:before="120" w:after="60"/>
        <w:jc w:val="end"/>
        <w:rPr/>
      </w:pPr>
      <w:r>
        <w:rPr/>
        <w:t>Код формы по ОКУД 0409110</w:t>
        <w:br/>
        <w:t>Месячная</w:t>
        <w:br/>
        <w:t>тыс. руб.</w:t>
      </w:r>
    </w:p>
    <w:tbl>
      <w:tblPr>
        <w:tblW w:w="10990" w:type="dxa"/>
        <w:jc w:val="center"/>
        <w:tblInd w:w="0" w:type="dxa"/>
        <w:tblLayout w:type="fixed"/>
        <w:tblCellMar>
          <w:top w:w="0" w:type="dxa"/>
          <w:start w:w="108" w:type="dxa"/>
          <w:bottom w:w="0" w:type="dxa"/>
          <w:end w:w="108" w:type="dxa"/>
        </w:tblCellMar>
      </w:tblPr>
      <w:tblGrid>
        <w:gridCol w:w="817"/>
        <w:gridCol w:w="3261"/>
        <w:gridCol w:w="5103"/>
        <w:gridCol w:w="1809"/>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836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Код обозначения расшифровки</w:t>
            </w:r>
          </w:p>
        </w:tc>
        <w:tc>
          <w:tcPr>
            <w:tcW w:w="18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836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18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1099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Раздел I. Расшифровки, используемые для формирования бухгалтерского баланса (публикуемая форма)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А102/16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A20321/3.1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А30126/3.1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А30226/3.1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А40109/5.1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А40109/9.1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A50505/4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А50505/6.1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A50507/4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А50507/6.2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А50319/17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А50719/17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А60206/6.3</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А/3.2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А/5.2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А/5.3</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А/6.4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А/9.2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19</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А/12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А/13.1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А/13.2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А/14.1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А/14.2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099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Раздел II. Расшифровки, используемые для формирования отчета о прибылях и убытках (публикуемая форма)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S12406/1.2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S131/6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S131/7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S15101/6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S152/6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29</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S152/7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S152/8</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S16203/1.2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S16305/4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S16305/4.1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S16305/4.2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S16305/4.2.1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S16305/4.2.2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37</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S16305/14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38</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S16305/15</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39</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S17101/1.1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40</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S17201/1.1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S231/6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S231/7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S24101/6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S242/6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S242/7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S242/8</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47</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S25302/4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48</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S25302/4.1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49</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S25302/4.2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50</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S25302/4.2.1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S25302/4.2.2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S25302/14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S25302/15</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S27101/2.1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S27201/2.1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099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Раздел III. Расшифровки для расчета показателей, используемых для оценки финансовой устойчивости кредитных организаций</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5101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57</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6101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58</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6102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099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Раздел IV. Расшифровки, используемые при расчете денежно-кредитных показателей</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59</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60</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D/3</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D/5</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D/8</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67</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D/9</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68</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D/10</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69</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D/11</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70</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D/12</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71</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D/13</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72</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D/14</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73</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D/15</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74</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D/16</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75</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D/17</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76</w:t>
            </w:r>
          </w:p>
        </w:tc>
        <w:tc>
          <w:tcPr>
            <w:tcW w:w="3261" w:type="dxa"/>
            <w:tcBorders>
              <w:top w:val="single" w:sz="6" w:space="0" w:color="000000"/>
              <w:start w:val="single" w:sz="6" w:space="0" w:color="000000"/>
              <w:bottom w:val="single" w:sz="6" w:space="0" w:color="000000"/>
            </w:tcBorders>
          </w:tcPr>
          <w:p>
            <w:pPr>
              <w:pStyle w:val="MainText"/>
              <w:snapToGrid w:val="false"/>
              <w:ind w:hanging="0" w:end="0"/>
              <w:jc w:val="center"/>
              <w:rPr/>
            </w:pPr>
            <w:r>
              <w:rPr/>
            </w:r>
          </w:p>
        </w:tc>
        <w:tc>
          <w:tcPr>
            <w:tcW w:w="5103" w:type="dxa"/>
            <w:tcBorders>
              <w:top w:val="single" w:sz="6" w:space="0" w:color="000000"/>
              <w:bottom w:val="single" w:sz="6" w:space="0" w:color="000000"/>
              <w:end w:val="single" w:sz="6" w:space="0" w:color="000000"/>
            </w:tcBorders>
          </w:tcPr>
          <w:p>
            <w:pPr>
              <w:pStyle w:val="MainText"/>
              <w:ind w:hanging="0" w:end="0"/>
              <w:jc w:val="start"/>
              <w:rPr/>
            </w:pPr>
            <w:r>
              <w:rPr/>
              <w:t>D/18</w:t>
            </w:r>
          </w:p>
        </w:tc>
        <w:tc>
          <w:tcPr>
            <w:tcW w:w="18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28" w:after="0"/>
        <w:rPr/>
      </w:pPr>
      <w:r>
        <w:rPr/>
        <w:t>Главный бухгалтер</w:t>
        <w:tab/>
        <w:t>(Ф.И.О.)</w:t>
      </w:r>
    </w:p>
    <w:p>
      <w:pPr>
        <w:pStyle w:val="MainTextBezOtstupa"/>
        <w:spacing w:before="28" w:after="0"/>
        <w:rPr/>
      </w:pPr>
      <w:r>
        <w:rPr/>
        <w:t>М.П.</w:t>
      </w:r>
    </w:p>
    <w:p>
      <w:pPr>
        <w:pStyle w:val="MainTextBezOtstupa"/>
        <w:tabs>
          <w:tab w:val="clear" w:pos="720"/>
          <w:tab w:val="left" w:pos="4564" w:leader="none"/>
        </w:tabs>
        <w:spacing w:before="28" w:after="0"/>
        <w:rPr/>
      </w:pPr>
      <w:r>
        <w:rPr/>
        <w:t>Исполнитель</w:t>
        <w:tab/>
        <w:t>(Ф.И.О.)</w:t>
      </w:r>
    </w:p>
    <w:p>
      <w:pPr>
        <w:pStyle w:val="MainTextBezOtstupa"/>
        <w:spacing w:before="28" w:after="0"/>
        <w:rPr/>
      </w:pPr>
      <w:r>
        <w:rPr/>
        <w:t>Телефон:</w:t>
      </w:r>
    </w:p>
    <w:p>
      <w:pPr>
        <w:pStyle w:val="MainTextBezOtstupa"/>
        <w:spacing w:before="28"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0409110 “Расшифровки отдельных показателей деятельности кредитной организации”</w:t>
      </w:r>
    </w:p>
    <w:p>
      <w:pPr>
        <w:pStyle w:val="MainText"/>
        <w:rPr/>
      </w:pPr>
      <w:r>
        <w:rPr/>
        <w:t>1. Отчетность по форме 0409110 “Расшифровки отдельных показателей деятельности кредитной организации” (далее — Отчет) составляется в целом по кредитной организации по состоянию на 1-е число месяца, следующего за отчетным, и представляется в территориальное учреждение Банка России:</w:t>
      </w:r>
    </w:p>
    <w:p>
      <w:pPr>
        <w:pStyle w:val="MainText"/>
        <w:rPr/>
      </w:pPr>
      <w:r>
        <w:rPr/>
        <w:t>кредитными организациями (за исключением крупных кредитных организаций с широкой сетью подразделений) — не позднее 8-го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2.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t>3. На внутриквартальные отчетные даты Отчет составляется только по разделам I и IV.</w:t>
      </w:r>
    </w:p>
    <w:p>
      <w:pPr>
        <w:pStyle w:val="MainText"/>
        <w:rPr/>
      </w:pPr>
      <w:r>
        <w:rPr/>
        <w:t>4. Расшифровки раздела II Отчета формируются в течение отчетного года нарастающим итогом.</w:t>
      </w:r>
    </w:p>
    <w:p>
      <w:pPr>
        <w:pStyle w:val="MainText"/>
        <w:spacing w:before="0" w:after="120"/>
        <w:rPr/>
      </w:pPr>
      <w:r>
        <w:rPr/>
        <w:t>5. При заполнении Отчета используются следующие группировки балансовых счетов:</w:t>
      </w:r>
    </w:p>
    <w:tbl>
      <w:tblPr>
        <w:tblW w:w="10989" w:type="dxa"/>
        <w:jc w:val="center"/>
        <w:tblInd w:w="0" w:type="dxa"/>
        <w:tblLayout w:type="fixed"/>
        <w:tblCellMar>
          <w:top w:w="0" w:type="dxa"/>
          <w:start w:w="108" w:type="dxa"/>
          <w:bottom w:w="0" w:type="dxa"/>
          <w:end w:w="108" w:type="dxa"/>
        </w:tblCellMar>
      </w:tblPr>
      <w:tblGrid>
        <w:gridCol w:w="817"/>
        <w:gridCol w:w="1559"/>
        <w:gridCol w:w="8613"/>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5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Код обозначения расшифровки</w:t>
            </w:r>
          </w:p>
        </w:tc>
        <w:tc>
          <w:tcPr>
            <w:tcW w:w="861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Определение расшифровки</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5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861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Раздел I. Расшифровки, используемые для формирования бухгалтерского баланса (публикуемая форма)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А102/16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102 в части незарегистрированного уставного капитала кредитной организации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A20321/3.1</w:t>
            </w:r>
          </w:p>
        </w:tc>
        <w:tc>
          <w:tcPr>
            <w:tcW w:w="8613"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Балансовые счета №№ 20321, 30126, 30226 в части сформированных в соответствии с Положением Банка России от 20 марта 2006 года № 283-П “О порядке формирования кредитными организациями резервов на возможные потери”, зарегистрированным Министерством юстиции Российской Федерации 25 апреля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А30126/3.1</w:t>
            </w:r>
          </w:p>
        </w:tc>
        <w:tc>
          <w:tcPr>
            <w:tcW w:w="8613" w:type="dxa"/>
            <w:tcBorders>
              <w:start w:val="single" w:sz="6" w:space="0" w:color="000000"/>
              <w:end w:val="single" w:sz="6" w:space="0" w:color="000000"/>
            </w:tcBorders>
          </w:tcPr>
          <w:p>
            <w:pPr>
              <w:pStyle w:val="MainText"/>
              <w:ind w:hanging="0" w:end="0"/>
              <w:jc w:val="start"/>
              <w:rPr>
                <w:sz w:val="16"/>
              </w:rPr>
            </w:pPr>
            <w:r>
              <w:rPr>
                <w:sz w:val="16"/>
              </w:rPr>
              <w:t>2006 года № 7741, 2 июля 2007 года № 9739, 6 декабря 2007 года № 10639, 10 сентября 2008 года № 12260, 5 августа 2009 года № 14477 (“Вестник Банка России” от 4 мая 2006 года № 26, от 11 июля 2007 года № 39, от 17 декабря 2007 года № 69, от 17 сентября 2008 года № 49, от 12 августа 2009 года № 47) (далее —</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А30226/3.1</w:t>
            </w:r>
          </w:p>
        </w:tc>
        <w:tc>
          <w:tcPr>
            <w:tcW w:w="8613"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Положение Банка России № 283-П) резервов на возможные потери по остаткам средств на корреспондентских счетах “НОСТРО” и на иных счетах, используемых для межбанковских расчетов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А40109/5.1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40109 в части задолженности клиентов по средствам федерального бюджета, выделенным на возвратной основе по отдельным государственным программам, при отсутствиив соглашении (договоре), заключенном между кредитной организацией и Министерством финансов Российской Федерации и (или) соответствующим федеральным органом исполнительной власти, условия о том, что кредитная организация выполняет исключительно агентские функции или функции комиссионера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А40109/9.1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40109 в части начисленных процентов за пользование средствами федерального бюджета, выделенными на возвратной основе по отдельным государственным программам, при наличии в соглашении (договоре), заключенном между кредитной организацией и Министерством финансов Российской Федерации и (или) соответствующим федеральным органом исполнительной власти, условия о том, что кредитная организация выполняет исключительно агентские функции или функции комиссионера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A50505/4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50505 в части долговых обязательств, не погашенных в срок, оцениваемых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А50505/6.1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50505 в части долговых обязательств, не погашенных в срок, имеющихся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A50507/4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50507 в части резервов на возможные потери, сформированных под долговые обязательства, не погашенные в срок, оцениваемые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А50507/6.2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50507 в части резервов на возможные потери, сформированных под долговые обязательства, не погашенные в срок, имеющиеся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А50319/17</w:t>
            </w:r>
          </w:p>
        </w:tc>
        <w:tc>
          <w:tcPr>
            <w:tcW w:w="8613"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Балансовые счета №№ 50319, 50719 в части резервов на возможные потери под операции кредитных организаций с резидентами офшорных зон, сформированных в соответствии с Указанием Банка России от 22 июня 2005 года № 1584-У “О формировании и размере резерва на возможные потери под операции кредитных организаций с резидентами офшорных зон”, зарегистрированным Министерством юстиции Российской Федерации 15 июля 2005 года № 6799 (“Вестник Банка России” от 27 июля 2005 года № 38)</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А50719/17</w:t>
            </w:r>
          </w:p>
        </w:tc>
        <w:tc>
          <w:tcPr>
            <w:tcW w:w="8613"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Балансовый счет № 60206 в части резервов на возможные потери, сформированных под инвестиции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А60206/6.3</w:t>
            </w:r>
          </w:p>
        </w:tc>
        <w:tc>
          <w:tcPr>
            <w:tcW w:w="8613"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в дочерние и зависимые юридические лица, созданные в любой организационно-правовой форме, кроме акционерного общества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А/3.2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20317 и 20318 в части просроченной задолженности по депозитным счетам в драгоценных металлах, открытым в кредитных организациях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А/5.2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20321, 32115, 32311, 32403, 45615, 45715, 45818, 47308, 47425, 51610, 51710, 51810, 51910, 60324 в части резервов на возможные потери по ссудам, ссудной и приравненной к ней задолженности, сформированных в соответствии с Положением Банка России от 26 марта 2004 года №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зарегистрированным Министерством юстиции Российской Федерации 26 апреля 2004 года № 5774, 20 апреля 2006 года № 7728, 27 декабря 2006 года № 8676, 10 декабря 2007 года № 10660, 23 января 2008 года № 10968, 22 мая 2008 года № 11730, 22 мая 2008 года № 11724, 30 июня 2008 года № 11903, 29 января 2009 года № 13219, 20 февраля 2009 года № 13414 (“Вестник Банка России” от 7 мая 2004 года № 28, от 4 мая 2006 года № 26, от 15 января 2007 года № 1, от 17 декабря 2007 года № 69, от 31 января 2008 года № 4, от 28 мая 2008 года № 25, от 4 июня 2008 года № 28, от 9 июля 2008 года № 36, от 4 февраля 2009 года № 7, от 4 марта 2009 года № 15), с учетом корректировки на коэффициент (индекс) категории качества обеспечения, либо в части резервов на возможные потери, сформированных в соответствии с Положением Банка России № 283-П</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А/5.3</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47408, 47423 в части требований кредитной организации по сделкам продажи (покупки) финансовых активов с отсрочкой платежа (поставки финансовых активов)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А/6.4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60201, 60202, 60203, 60204, 60205 в части инвестиций в дочерние и зависимые юридические лица, созданные в любой организационно-правовой форме, кроме акционерного общества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А/9.2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30607, 47425, 60324 в части резервов на возможные потери по прочим активам, сформированных в соответствии с Положением Банка России № 283-П</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А/12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30214 в части средств расчетных небанковских кредитных организаций — участников расчетов; балансовый счет № 30601 в части средств клиентов — кредитных организаций по брокерским операциям с ценными бумагами и другими финансовыми активами; балансовый счет № 47418 в части средств, списанных с корреспондентских счетов клиентов — кредитных организаций, но не проведенных по корреспондентскому счету кредитной организации из-за недостаточности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A/13.1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40806, 40809, 40812, 40814, 40815, 40818, 40819 в части остатков на лицевых счетах по учету денежных средств физических лиц, подлежащих отражению в отчетности по форме 0409345 “Данные о ежедневных остатках подлежащих страхованию денежных средств физических лиц, размещенных во вклады” (далее — отчетность по форме 0409345)</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A/13.2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522 и 52404 в части остатков на лицевых счетах по учету сберегательных сертификатов, подлежащих отражению в отчетности по форме 0409345</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А/14.1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315, 316 в части обязательств по возврату кредитору — кредитной организации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А/14.2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423, 426, 427, 428, 429, 430, 431, 432, 433, 434, 435, 436, 437, 438, 439, 440 в части обязательств по возврату кредитору, не являющемуся кредитной организацией, заимствованных ценных бумаг</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Раздел II. Расшифровки, используемые для формирования отчета о прибылях и убытках (публикуемая форма)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S12406/1.2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12406 отчетности по форме 0409102 “Отчет о прибылях и убытках кредитной организации” (далее — отчетность по форме 0409102) в части доходов от оказания консультационных и информационных услуг в связи с предоставлением ссуд</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S131/6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13101—13108 отчетности по форме 0409102 в части доходов от операций с приобретенными ценными бумагами, оцениваемыми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S131/7</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13101—13108 отчетности по форме 0409102 в части доходов от операций с приобретенными ценными бумагами, имеющимися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S15101/6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15101 отчетности по форме 0409102 в части положительной переоценки ценных бумаг, оцениваемых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S152/6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15201 и 15203 отчетности по форме 0409102 в части доходов от применения встроенных производных инструментов, не отделяемых от основного договора (далее — НВПИ), от изменения курса ценной бумаги и (или) от изменения индекса цен ценных бумаг, оцениваемых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29</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S152/7</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15201 и 15203 отчетности по форме 0409102 в части доходов от применения НВПИ от изменения курса ценной бумаги и (или) от изменения индекса цен ценных бумаг, имеющихся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S152/8</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15201 и 15203 отчетности по форме 0409102 в части доходов от применения НВПИ от изменения курса ценной бумаги и (или) от изменения индекса цен ценных бумаг, удерживаемых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S16203/1.2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16203 отчетности по форме 0409102 в части доходов от открытия и ведения ссудных счетов клиентов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S16305/4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16305 отчетности по форме 0409102 в части доходов от восстановления сумм резервов на возможные потери по ссудам, ссудной и приравненной к ней задолженности, средствам, размещенным на корреспондентских счетах, а также начисленным процентным доходам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S16305/4.1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16305 отчетности по форме 0409102 в части доходов от восстановления сумм резервов на возможные потери, сформированных под требования по получению процентных доходов по предоставленным кредитам, депозитам и иным размещенным средствам, включая средства, размещенные на корреспондентских счетах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S16305/4.2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16305 отчетности по форме 0409102 в части доходов от восстановления сумм резервов на возможные потери, сформированных под требования по получению процентных доходов по вложениям в ценные бумаги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S16305/4.2.1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16305 отчетности по форме 0409102 в части доходов от восстановления сумм резервов на возможные потери, сформированных под требования по получению процентных доходов по вложениям в ценные бумаги, имеющиеся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S16305/4.2.2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16305 отчетности по форме 0409102 в части доходов от восстановления сумм резервов на возможные потери, сформированных под требования по получению процентных доходов по вложениям в ценные бумаги, удерживаемые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37</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S16305/14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16305 отчетности по форме 0409102 в части доходов от восстановления сумм резервов на возможные потери по ценным бумагам, имеющимся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38</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S16305/15</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16305 отчетности по форме 0409102 в части доходов от восстановления сумм резервов на возможные потери по ценным бумагам, удерживаемым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39</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S17101/1.1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17101 отчетности по форме 0409102 в части штрафов, пеней, неустоек, отнесенных на доходы, по операциям с кредитными организациями по привлечению и предоставлению (размещению) денежных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40</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S17201/1.1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17201 отчетности по форме 0409102 в части доходов прошлых лет, выявленных в отчетном году, полученных от кредитных организаций по операциям по привлечению и предоставлению (размещению) денежных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S231/6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23101—23109 отчетности по форме 0409102 в части расходов по операциям с приобретенными ценными бумагами, оцениваемыми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S231/7</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23101—23109 отчетности по форме 0409102 в части расходов по операциям с приобретенными ценными бумагами, имеющимися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S24101/6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24101 отчетности по форме 0409102 в части отрицательной переоценки ценных бумаг, оцениваемых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S242/6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24201 и 24203 отчетности по форме 0409102 в части расходов от применения НВПИ от изменения курса ценной бумаги и (или) от изменения индекса цен ценных бумаг, оцениваемых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S242/7</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24201 и 24203 отчетности по форме 0409102 в части расходов от применения НВПИ от изменения курса ценной бумаги и (или) от изменения индекса цен ценных бумаг, имеющихся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S242/8</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Символы 24201 и 24203 отчетности по форме 0409102 в части расходов от применения НВПИ от изменения курса ценной бумаги и (или) от изменения индекса цен ценных бумаг, удерживаемых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47</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S25302/4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25302 отчетности по форме 0409102 в части отчислений в резервы на возможные потери по ссудам, ссудной и приравненной к ней задолженности, средствам, размещенным на корреспондентских счетах, а также начисленным процентным доходам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48</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S25302/4.1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25302 отчетности по форме 0409102 в части отчислений в резервы на возможные потери, сформированные под требования по получению процентных доходов по предоставленным кредитам, депозитам и иным размещенным средствам, включая средства, размещенные на корреспондентских счетах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49</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S25302/4.2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25302 отчетности по форме 0409102 в части отчислений в резервы на возможные потери, сформированные под требования по получению процентных доходов от вложений в ценные бумаги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50</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S25302/4.2.1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25302 отчетности по форме 0409102 в части отчислений в резервы на возможные потери, сформированные под требования по получению процентных доходов от вложений в ценные бумаги, имеющиеся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S25302/4.2.2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25302 отчетности по форме 0409102 в части отчислений в резервы на возможные потери, сформированные под требования по получению процентных доходов от вложений в ценные бумаги, удерживаемые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S25302/14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25302 отчетности по форме 0409102 в части отчислений в резервы на возможные потери по ценным бумагам, имеющимся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S25302/15</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25302 отчетности по форме 0409102 в части отчислений в резервы на возможные потери по ценным бумагам, удерживаемым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S27101/2.1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27101 отчетности по форме 0409102 в части штрафов, пеней, неустоек, отнесенных на расходы, по операциям с кредитными организациями по привлечению и предоставлению (размещению) денежных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S27201/2.1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Символ 27201 отчетности по форме 0409102 в части расходов прошлых лет, выявленных в отчетном году, по операциям с кредитными организациями по привлечению и предоставлению (размещению) денежных средств</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Раздел III. Расшифровки для расчета показателей, используемых для оценки финансовой устойчивости кредитных организаций</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5101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нераспределенной прибыли прошлых лет, а также средства из других источников, направленные по решению годового собрания акционеров (участников) кредитной организации на погашение убытков завершившегося отчетного года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57</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6101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70602 в части положительной переоценки ценных бумаг, текущая (справедливая) стоимость которых определена кредитной организацией при отсутствии средневзвешенной цены, раскрываемой организатором торговли на рынке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58</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6102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70607 в части отрицательной переоценки ценных бумаг, текущая (справедливая) стоимость которых определена кредитной организацией при отсутствии средневзвешенной цены, раскрываемой организатором торговли на рынке ценных бумаг</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Раздел IV. Расшифровки, используемые при расчете денежно-кредитных показателей</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59</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315 в части обязательств по возврату кредитной организации — резиденту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60</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316, 440 в части обязательств по возврату нерезидентам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D/3</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431, 434, 437 в части обязательств по возврату финансовым организациям заимствованных ценных бумаг в рублях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431, 434, 437 в части обязательств по возврату финансовым организациям заимствованных ценных бумаг в иностранной валюте</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D/5</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432, 433, 435, 436 в части обязательств по возврату нефинансовым организациям, находящимся в федеральной и государственной (кроме федеральной) собственности, заимствованных ценных бумаг в рублях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432, 433, 435, 436 в части обязательств по возврату нефинансовым организациям, находящимся в федеральной и государственной (кроме федеральной) собственности, заимствованных ценных бумаг в иностранной валюте</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D/7</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438, 439 в части обязательств по возврату нефинансовым негосударственным организациям заимствованных ценных бумаг в рублях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D/8</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438, 439 в части обязательств по возврату нефинансовым негосударственным организациям заимствованных ценных бумаг в иностранной валюте</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67</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D/9</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Балансовый счет № 322 в части требований по возврату кредитными организациями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68</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D/10</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323, 473 в части требований по возврату нерезидентами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69</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D/11</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464, 467, 470 в части требований по возврату финансовыми организациями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70</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D/12</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465, 466, 468, 469 в части требований по возврату нефинансовыми организациями, находящимися в федеральной и государственной (кроме федеральной) собственности,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71</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D/13</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471, 472 в части требований по возврату нефинансовыми негосударственными организациями заимствованных ценных бумаг</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72</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D/14</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50118, 50218, 50318 в части долговых обязательств Российской Федерации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73</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D/15</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50118, 50218, 50318 в части долговых обязательств субъектов Российской Федерации и органов местного самоуправления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74</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D/16</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50118, 50218, 50318, 50618, 50718 в части долговых обязательств и долевых ценных бумаг кредитных организаций</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75</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D/17</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50118, 50218, 50318, 50618, 50718 в части долговых обязательств и долевых ценных бумаг прочих юридических лиц</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76</w:t>
            </w:r>
          </w:p>
        </w:tc>
        <w:tc>
          <w:tcPr>
            <w:tcW w:w="15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D/18</w:t>
            </w:r>
          </w:p>
        </w:tc>
        <w:tc>
          <w:tcPr>
            <w:tcW w:w="861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Балансовые счета №№ 50118, 50218, 50318, 50618, 50718 в части долговых обязательств и долевых ценных бумаг нерезидентов</w:t>
            </w:r>
          </w:p>
        </w:tc>
      </w:tr>
    </w:tbl>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ИНФОРМАЦИЯ О КАЧЕСТВЕ АКТИВОВ КРЕДИТНОЙ ОРГАНИЗАЦИИ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jc w:val="end"/>
        <w:rPr/>
      </w:pPr>
      <w:r>
        <w:rPr/>
        <w:t>Код формы по ОКУД 0409115</w:t>
        <w:br/>
        <w:t>Месячная (Квартальная)</w:t>
        <w:br/>
        <w:t>тыс. руб.</w:t>
      </w:r>
    </w:p>
    <w:p>
      <w:pPr>
        <w:pStyle w:val="MainTextBezOtstupa"/>
        <w:spacing w:before="0" w:after="120"/>
        <w:jc w:val="start"/>
        <w:rPr/>
      </w:pPr>
      <w:r>
        <w:rPr/>
        <w:t>Раздел 1. Информация о качестве активов, оцениваемых в целях создания резерва на возможные потери</w:t>
      </w:r>
    </w:p>
    <w:tbl>
      <w:tblPr>
        <w:tblW w:w="16240" w:type="dxa"/>
        <w:jc w:val="center"/>
        <w:tblInd w:w="0" w:type="dxa"/>
        <w:tblLayout w:type="fixed"/>
        <w:tblCellMar>
          <w:top w:w="0" w:type="dxa"/>
          <w:start w:w="28" w:type="dxa"/>
          <w:bottom w:w="0" w:type="dxa"/>
          <w:end w:w="28" w:type="dxa"/>
        </w:tblCellMar>
      </w:tblPr>
      <w:tblGrid>
        <w:gridCol w:w="679"/>
        <w:gridCol w:w="4082"/>
        <w:gridCol w:w="992"/>
        <w:gridCol w:w="510"/>
        <w:gridCol w:w="510"/>
        <w:gridCol w:w="510"/>
        <w:gridCol w:w="510"/>
        <w:gridCol w:w="510"/>
        <w:gridCol w:w="794"/>
        <w:gridCol w:w="794"/>
        <w:gridCol w:w="794"/>
        <w:gridCol w:w="794"/>
        <w:gridCol w:w="964"/>
        <w:gridCol w:w="1077"/>
        <w:gridCol w:w="680"/>
        <w:gridCol w:w="510"/>
        <w:gridCol w:w="510"/>
        <w:gridCol w:w="510"/>
        <w:gridCol w:w="510"/>
      </w:tblGrid>
      <w:tr>
        <w:trPr>
          <w:tblHeader w:val="true"/>
          <w:cantSplit/>
        </w:trPr>
        <w:tc>
          <w:tcPr>
            <w:tcW w:w="67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408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Состав активов</w:t>
            </w:r>
          </w:p>
        </w:tc>
        <w:tc>
          <w:tcPr>
            <w:tcW w:w="99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Сумма</w:t>
            </w:r>
          </w:p>
        </w:tc>
        <w:tc>
          <w:tcPr>
            <w:tcW w:w="2550" w:type="dxa"/>
            <w:gridSpan w:val="5"/>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Категория качества</w:t>
            </w:r>
          </w:p>
        </w:tc>
        <w:tc>
          <w:tcPr>
            <w:tcW w:w="3176"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Просроченная задолженность</w:t>
            </w:r>
          </w:p>
        </w:tc>
        <w:tc>
          <w:tcPr>
            <w:tcW w:w="4761" w:type="dxa"/>
            <w:gridSpan w:val="7"/>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Резерв на возможные потери</w:t>
            </w:r>
          </w:p>
        </w:tc>
      </w:tr>
      <w:tr>
        <w:trPr>
          <w:tblHeader w:val="true"/>
          <w:cantSplit/>
        </w:trPr>
        <w:tc>
          <w:tcPr>
            <w:tcW w:w="679" w:type="dxa"/>
            <w:tcBorders>
              <w:start w:val="single" w:sz="6" w:space="0" w:color="000000"/>
              <w:end w:val="single" w:sz="6" w:space="0" w:color="000000"/>
            </w:tcBorders>
          </w:tcPr>
          <w:p>
            <w:pPr>
              <w:pStyle w:val="MainText"/>
              <w:keepNext w:val="true"/>
              <w:ind w:hanging="0" w:end="0"/>
              <w:jc w:val="center"/>
              <w:rPr>
                <w:sz w:val="16"/>
              </w:rPr>
            </w:pPr>
            <w:r>
              <w:rPr>
                <w:sz w:val="16"/>
              </w:rPr>
              <w:t>строки</w:t>
            </w:r>
          </w:p>
        </w:tc>
        <w:tc>
          <w:tcPr>
            <w:tcW w:w="4082"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92" w:type="dxa"/>
            <w:tcBorders>
              <w:start w:val="single" w:sz="6" w:space="0" w:color="000000"/>
              <w:end w:val="single" w:sz="6" w:space="0" w:color="000000"/>
            </w:tcBorders>
          </w:tcPr>
          <w:p>
            <w:pPr>
              <w:pStyle w:val="MainText"/>
              <w:keepNext w:val="true"/>
              <w:ind w:hanging="0" w:end="0"/>
              <w:jc w:val="center"/>
              <w:rPr>
                <w:sz w:val="16"/>
              </w:rPr>
            </w:pPr>
            <w:r>
              <w:rPr>
                <w:sz w:val="16"/>
              </w:rPr>
              <w:t>требования</w:t>
            </w:r>
          </w:p>
        </w:tc>
        <w:tc>
          <w:tcPr>
            <w:tcW w:w="51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w:t>
            </w:r>
          </w:p>
        </w:tc>
        <w:tc>
          <w:tcPr>
            <w:tcW w:w="51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II</w:t>
            </w:r>
          </w:p>
        </w:tc>
        <w:tc>
          <w:tcPr>
            <w:tcW w:w="51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III</w:t>
            </w:r>
          </w:p>
        </w:tc>
        <w:tc>
          <w:tcPr>
            <w:tcW w:w="51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IV</w:t>
            </w:r>
          </w:p>
        </w:tc>
        <w:tc>
          <w:tcPr>
            <w:tcW w:w="51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V</w:t>
            </w:r>
          </w:p>
        </w:tc>
        <w:tc>
          <w:tcPr>
            <w:tcW w:w="7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до</w:t>
            </w:r>
          </w:p>
        </w:tc>
        <w:tc>
          <w:tcPr>
            <w:tcW w:w="7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от 31 до</w:t>
            </w:r>
          </w:p>
        </w:tc>
        <w:tc>
          <w:tcPr>
            <w:tcW w:w="7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от 91 до</w:t>
            </w:r>
          </w:p>
        </w:tc>
        <w:tc>
          <w:tcPr>
            <w:tcW w:w="7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свыше</w:t>
            </w:r>
          </w:p>
        </w:tc>
        <w:tc>
          <w:tcPr>
            <w:tcW w:w="96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расчетный</w:t>
            </w:r>
          </w:p>
        </w:tc>
        <w:tc>
          <w:tcPr>
            <w:tcW w:w="107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расчетный</w:t>
            </w:r>
          </w:p>
        </w:tc>
        <w:tc>
          <w:tcPr>
            <w:tcW w:w="2720" w:type="dxa"/>
            <w:gridSpan w:val="5"/>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фактически сформированный</w:t>
            </w:r>
          </w:p>
        </w:tc>
      </w:tr>
      <w:tr>
        <w:trPr>
          <w:tblHeader w:val="true"/>
          <w:cantSplit/>
        </w:trPr>
        <w:tc>
          <w:tcPr>
            <w:tcW w:w="679"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4082"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92"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94" w:type="dxa"/>
            <w:tcBorders>
              <w:start w:val="single" w:sz="6" w:space="0" w:color="000000"/>
              <w:end w:val="single" w:sz="6" w:space="0" w:color="000000"/>
            </w:tcBorders>
          </w:tcPr>
          <w:p>
            <w:pPr>
              <w:pStyle w:val="MainText"/>
              <w:keepNext w:val="true"/>
              <w:ind w:hanging="0" w:end="0"/>
              <w:jc w:val="center"/>
              <w:rPr>
                <w:sz w:val="16"/>
              </w:rPr>
            </w:pPr>
            <w:r>
              <w:rPr>
                <w:sz w:val="16"/>
              </w:rPr>
              <w:t>30 дней</w:t>
            </w:r>
          </w:p>
        </w:tc>
        <w:tc>
          <w:tcPr>
            <w:tcW w:w="794" w:type="dxa"/>
            <w:tcBorders>
              <w:start w:val="single" w:sz="6" w:space="0" w:color="000000"/>
              <w:end w:val="single" w:sz="6" w:space="0" w:color="000000"/>
            </w:tcBorders>
          </w:tcPr>
          <w:p>
            <w:pPr>
              <w:pStyle w:val="MainText"/>
              <w:keepNext w:val="true"/>
              <w:ind w:hanging="0" w:end="0"/>
              <w:jc w:val="center"/>
              <w:rPr>
                <w:sz w:val="16"/>
              </w:rPr>
            </w:pPr>
            <w:r>
              <w:rPr>
                <w:sz w:val="16"/>
              </w:rPr>
              <w:t>90 дней</w:t>
            </w:r>
          </w:p>
        </w:tc>
        <w:tc>
          <w:tcPr>
            <w:tcW w:w="794" w:type="dxa"/>
            <w:tcBorders>
              <w:start w:val="single" w:sz="6" w:space="0" w:color="000000"/>
              <w:end w:val="single" w:sz="6" w:space="0" w:color="000000"/>
            </w:tcBorders>
          </w:tcPr>
          <w:p>
            <w:pPr>
              <w:pStyle w:val="MainText"/>
              <w:keepNext w:val="true"/>
              <w:ind w:hanging="0" w:end="0"/>
              <w:jc w:val="center"/>
              <w:rPr>
                <w:sz w:val="16"/>
              </w:rPr>
            </w:pPr>
            <w:r>
              <w:rPr>
                <w:sz w:val="16"/>
              </w:rPr>
              <w:t>180 дней</w:t>
            </w:r>
          </w:p>
        </w:tc>
        <w:tc>
          <w:tcPr>
            <w:tcW w:w="794" w:type="dxa"/>
            <w:tcBorders>
              <w:start w:val="single" w:sz="6" w:space="0" w:color="000000"/>
              <w:end w:val="single" w:sz="6" w:space="0" w:color="000000"/>
            </w:tcBorders>
          </w:tcPr>
          <w:p>
            <w:pPr>
              <w:pStyle w:val="MainText"/>
              <w:keepNext w:val="true"/>
              <w:ind w:hanging="0" w:end="0"/>
              <w:jc w:val="center"/>
              <w:rPr>
                <w:sz w:val="16"/>
              </w:rPr>
            </w:pPr>
            <w:r>
              <w:rPr>
                <w:sz w:val="16"/>
              </w:rPr>
              <w:t>180 дней</w:t>
            </w:r>
          </w:p>
        </w:tc>
        <w:tc>
          <w:tcPr>
            <w:tcW w:w="964"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77" w:type="dxa"/>
            <w:tcBorders>
              <w:start w:val="single" w:sz="6" w:space="0" w:color="000000"/>
              <w:end w:val="single" w:sz="6" w:space="0" w:color="000000"/>
            </w:tcBorders>
          </w:tcPr>
          <w:p>
            <w:pPr>
              <w:pStyle w:val="MainText"/>
              <w:keepNext w:val="true"/>
              <w:ind w:hanging="0" w:end="0"/>
              <w:jc w:val="center"/>
              <w:rPr>
                <w:sz w:val="16"/>
              </w:rPr>
            </w:pPr>
            <w:r>
              <w:rPr>
                <w:sz w:val="16"/>
              </w:rPr>
              <w:t>с учетом</w:t>
            </w:r>
          </w:p>
        </w:tc>
        <w:tc>
          <w:tcPr>
            <w:tcW w:w="68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итого</w:t>
            </w:r>
          </w:p>
        </w:tc>
        <w:tc>
          <w:tcPr>
            <w:tcW w:w="204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категориям качества</w:t>
            </w:r>
          </w:p>
        </w:tc>
      </w:tr>
      <w:tr>
        <w:trPr>
          <w:tblHeader w:val="true"/>
          <w:cantSplit/>
        </w:trPr>
        <w:tc>
          <w:tcPr>
            <w:tcW w:w="67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408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9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9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9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9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9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6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77"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обеспечения</w:t>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II</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III</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IV</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V</w:t>
            </w:r>
          </w:p>
        </w:tc>
      </w:tr>
      <w:tr>
        <w:trPr>
          <w:tblHeader w:val="true"/>
          <w:cantSplit/>
        </w:trPr>
        <w:tc>
          <w:tcPr>
            <w:tcW w:w="6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408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7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7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7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7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96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10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16</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17</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18</w:t>
            </w:r>
          </w:p>
        </w:tc>
        <w:tc>
          <w:tcPr>
            <w:tcW w:w="5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19</w:t>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Требования к кредитным организациям, всего, </w:t>
              <w:br/>
              <w:t>в том числе:</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корреспондентские счета</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межбанковские кредиты и депозиты</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учтенные векселя</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вложения в ценные бумаги</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сделкам продажи (покупки) финансовых активов с отсрочкой платежа (поставки финансовых активов)</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возврату денежных средств, предоставленных по операциям, совершаемым с ценными бумагами на возвратной основе без признания получаемых ценных бумаг</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требования</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получению процентных доходов по требованиям к кредитным организациям</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Требования к юридическим лицам (кроме кредитных организаций), всего, </w:t>
              <w:br/>
              <w:t>в том числе:</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предоставленные кредиты (займы), размещенные депозиты</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учтенные векселя</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сделкам продажи (покупки) финансовых активов с отсрочкой платежа (поставки финансовых активов)</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вложения в ценные бумаги</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возврату денежных средств, предоставленных по операциям, совершаемым с ценными бумагами на возвратной основе без признания получаемых ценных бумаг</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требования</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получению процентных доходов по требованиям к юридическим лицам (кроме кредитных организаций)</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по ссудам, предоставленным субъектам малого и среднего предпринимательства, из общего объема требований к юридическим лицам</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Предоставленные физическим лицам ссуды (займы) и прочие требования к физическим лицам, всего, </w:t>
              <w:br/>
              <w:t>в том числе:</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на покупку жилья (кроме ипотечных ссуд)</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ипотечные жилищные ссуды</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автокредиты</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потребительские ссуды</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3.5</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требования</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3.6</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получению процентных доходов по требованиям к физическим лицам</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Активы, оцениваемые в целях создания резервов на возможные потери, итого (стр. 1 + стр. 2 + стр. 3), из них:</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ссуды, ссудная и приравненная к ней задолженность, всего, </w:t>
              <w:br/>
              <w:t>в том числе:</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классифицированные в соответствии с пунктом 3.10 Положения Банка России № 254-П, всего</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4.1.1.1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в отчетном периоде</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4.1.2</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классифицированные в соответствии с подпунктом 3.14.3 пункта 3.14 Положения Банка России № 254-П, всего</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4.1.2.1</w:t>
            </w:r>
          </w:p>
        </w:tc>
        <w:tc>
          <w:tcPr>
            <w:tcW w:w="408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в отчетном периоде</w:t>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9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bl>
    <w:p>
      <w:pPr>
        <w:sectPr>
          <w:type w:val="nextPage"/>
          <w:pgSz w:orient="landscape" w:w="16838" w:h="11906"/>
          <w:pgMar w:left="397" w:right="397" w:gutter="0" w:header="0" w:top="397" w:footer="0" w:bottom="397"/>
          <w:pgNumType w:fmt="decimal"/>
          <w:formProt w:val="false"/>
          <w:titlePg/>
          <w:textDirection w:val="lrTb"/>
          <w:docGrid w:type="default" w:linePitch="360" w:charSpace="0"/>
        </w:sectPr>
      </w:pPr>
    </w:p>
    <w:p>
      <w:pPr>
        <w:pStyle w:val="MainTextBezOtstupa"/>
        <w:spacing w:before="240" w:after="0"/>
        <w:jc w:val="start"/>
        <w:rPr/>
      </w:pPr>
      <w:r>
        <w:rPr/>
        <w:t>Раздел 2. Информация по сгруппированным в портфели однородным требованиям и ссудам, предоставленным юридическим лицам</w:t>
      </w:r>
    </w:p>
    <w:p>
      <w:pPr>
        <w:pStyle w:val="MainTextBezOtstupa"/>
        <w:spacing w:before="0" w:after="60"/>
        <w:jc w:val="end"/>
        <w:rPr/>
      </w:pPr>
      <w:r>
        <w:rPr/>
        <w:t>тыс. руб.</w:t>
      </w:r>
    </w:p>
    <w:tbl>
      <w:tblPr>
        <w:tblW w:w="10988" w:type="dxa"/>
        <w:jc w:val="center"/>
        <w:tblInd w:w="0" w:type="dxa"/>
        <w:tblLayout w:type="fixed"/>
        <w:tblCellMar>
          <w:top w:w="0" w:type="dxa"/>
          <w:start w:w="108" w:type="dxa"/>
          <w:bottom w:w="0" w:type="dxa"/>
          <w:end w:w="108" w:type="dxa"/>
        </w:tblCellMar>
      </w:tblPr>
      <w:tblGrid>
        <w:gridCol w:w="817"/>
        <w:gridCol w:w="7229"/>
        <w:gridCol w:w="1276"/>
        <w:gridCol w:w="1666"/>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статьи</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Сумма требований</w:t>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Сформированный резерв на возможные потери</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по ссудам, предоставленным юридическим лицам (кроме кредитных организаций и субъектов малого и среднего предпринимательства), сгруппированным в портфели однородных ссуд, всего</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Задолженность по ссудам, предоставленным субъектам малого и среднего предпринимательства, сгруппированным в портфели однородных ссуд,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обеспеченные ссуды, всего, </w:t>
              <w:br/>
              <w:t>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1 до 30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2.1.3</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31 до 90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2.1.4</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91 до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2.1.5</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свыше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прочие ссуды, всего, </w:t>
              <w:br/>
              <w:t>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1 до 30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2.2.3</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31 до 90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2.2.4</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91 до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2.2.5</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свыше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по ссудам, предоставленным субъектам малого и среднего предпринимательства, сгруппированным в портфели однородных ссуд, распределенная по категориям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Задолженность по предоставленным кредитным организациям ссудам, сгруппированным в портфели однородных ссуд, всего, </w:t>
              <w:br/>
              <w:t>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4.3</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4.4</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4.5</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Задолженность по однородным требованиям, сгруппированным в портфели, всего, </w:t>
              <w:br/>
              <w:t>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5.2</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5.3</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5.4</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5.5</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Требования по получению процентных доходов,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72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получению процентных доходов по однородным требованиям и ссудам с величиной резерва свыше 20%</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0"/>
        <w:jc w:val="start"/>
        <w:rPr/>
      </w:pPr>
      <w:r>
        <w:br w:type="page"/>
      </w:r>
      <w:r>
        <w:rPr/>
        <w:t>Раздел 3. Информация по сгруппированным в портфели однородным требованиям и ссудам, предоставленным физическим лицам</w:t>
      </w:r>
    </w:p>
    <w:p>
      <w:pPr>
        <w:pStyle w:val="MainTextBezOtstupa"/>
        <w:spacing w:before="0" w:after="60"/>
        <w:jc w:val="end"/>
        <w:rPr/>
      </w:pPr>
      <w:r>
        <w:rPr/>
        <w:t>тыс. руб.</w:t>
      </w:r>
    </w:p>
    <w:tbl>
      <w:tblPr>
        <w:tblW w:w="10987" w:type="dxa"/>
        <w:jc w:val="center"/>
        <w:tblInd w:w="0" w:type="dxa"/>
        <w:tblLayout w:type="fixed"/>
        <w:tblCellMar>
          <w:top w:w="0" w:type="dxa"/>
          <w:start w:w="108" w:type="dxa"/>
          <w:bottom w:w="0" w:type="dxa"/>
          <w:end w:w="108" w:type="dxa"/>
        </w:tblCellMar>
      </w:tblPr>
      <w:tblGrid>
        <w:gridCol w:w="817"/>
        <w:gridCol w:w="7228"/>
        <w:gridCol w:w="1276"/>
        <w:gridCol w:w="1666"/>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статьи</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Сумма требований</w:t>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Сформированный резерв на возможные потери</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Задолженность по ссудам, сгруппированным в портфели однородных ссуд,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ссуды на покупку жилья (кроме ипотечных ссуд), всего, </w:t>
              <w:br/>
              <w:t>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портфели ссуд без просроченных платежей и с просроченными платежами от 1 до 30 дней,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1.1.1.1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1 до 30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31 до 90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1.1.5</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91 до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1.1.6</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свыше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ипотечные жилищные ссуды, всего, 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портфели ссуд без просроченных платежей и с просроченными платежами от 1 до 30 дней,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1.2.1.1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1 до 30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31 до 90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1.2.5</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91 до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1.2.6</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свыше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автокредиты, всего, 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портфели ссуд без просроченных платежей и с просроченными платежами от 1 до 30 дней,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1.3.1.1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1 до 30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31 до 90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1.3.5</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91 до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1.3.6</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свыше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потребительские ссуды, всего, 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портфели ссуд без просроченных платежей и с просроченными платежами от 1 до 30 дней,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1.4.1.1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без просроченных платежей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1 до 30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31 до 90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1.4.5</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от 91 до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1.4.6</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с просроченными платежами свыше 180 дней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по ссудам, сгруппированным в портфели однородных ссуд, распределенная по категориям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IV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ссуд 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Задолженность по однородным требованиям, сгруппированным в портфели, всего, </w:t>
              <w:br/>
              <w:t>из них: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III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IV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3.5</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портфели требований V категории качества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получению процентных доходов, всего, 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72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 по получению процентных доходов по однородным требованиям и ссудам с величиной резерва свыше 20%</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0"/>
        <w:jc w:val="start"/>
        <w:rPr/>
      </w:pPr>
      <w:r>
        <w:br w:type="page"/>
      </w:r>
      <w:r>
        <w:rPr/>
        <w:t>Раздел “Справочно”</w:t>
      </w:r>
    </w:p>
    <w:p>
      <w:pPr>
        <w:pStyle w:val="BulletsMain"/>
        <w:tabs>
          <w:tab w:val="clear" w:pos="567"/>
          <w:tab w:val="left" w:pos="283" w:leader="none"/>
        </w:tabs>
        <w:spacing w:before="113" w:after="0"/>
        <w:ind w:start="283" w:end="0"/>
        <w:rPr/>
      </w:pPr>
      <w:r>
        <w:rPr/>
        <w:t>1.</w:t>
        <w:tab/>
        <w:t>Объем предоставленных физическим лицам ссуд, по которым срок платежа наступил в отчетном периоде (тыс. руб.), всего _________, в том числе:</w:t>
      </w:r>
    </w:p>
    <w:p>
      <w:pPr>
        <w:pStyle w:val="BulletsInBullets"/>
        <w:tabs>
          <w:tab w:val="clear" w:pos="850"/>
          <w:tab w:val="left" w:pos="737" w:leader="none"/>
        </w:tabs>
        <w:spacing w:before="113" w:after="0"/>
        <w:ind w:hanging="454" w:start="737" w:end="0"/>
        <w:jc w:val="start"/>
        <w:rPr>
          <w:rFonts w:ascii="Arial" w:hAnsi="Arial" w:cs="Arial"/>
        </w:rPr>
      </w:pPr>
      <w:r>
        <w:rPr>
          <w:rFonts w:cs="Arial" w:ascii="Arial" w:hAnsi="Arial"/>
        </w:rPr>
        <w:t>1.1.</w:t>
        <w:tab/>
        <w:t>ссуды на покупку жилья (кроме ипотечных ссуд)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1.2.</w:t>
        <w:tab/>
        <w:t>ипотечные жилищные ссуды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1.3.</w:t>
        <w:tab/>
        <w:t>автокредиты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1.4.</w:t>
        <w:tab/>
        <w:t>иные потребительские ссуды _________.</w:t>
      </w:r>
    </w:p>
    <w:p>
      <w:pPr>
        <w:pStyle w:val="BulletsMain"/>
        <w:tabs>
          <w:tab w:val="clear" w:pos="567"/>
          <w:tab w:val="left" w:pos="283" w:leader="none"/>
        </w:tabs>
        <w:spacing w:before="113" w:after="0"/>
        <w:ind w:start="283" w:end="0"/>
        <w:rPr/>
      </w:pPr>
      <w:r>
        <w:rPr/>
        <w:t>2.</w:t>
        <w:tab/>
        <w:t>Объем предоставленных физическим лицам ссуд, не погашенных в установленный договором срок в отчетном периоде (тыс. руб.), всего _________, в том числе:</w:t>
      </w:r>
    </w:p>
    <w:p>
      <w:pPr>
        <w:pStyle w:val="BulletsInBullets"/>
        <w:tabs>
          <w:tab w:val="clear" w:pos="850"/>
          <w:tab w:val="left" w:pos="737" w:leader="none"/>
        </w:tabs>
        <w:spacing w:before="113" w:after="0"/>
        <w:ind w:hanging="454" w:start="737" w:end="0"/>
        <w:jc w:val="start"/>
        <w:rPr>
          <w:rFonts w:ascii="Arial" w:hAnsi="Arial" w:cs="Arial"/>
        </w:rPr>
      </w:pPr>
      <w:r>
        <w:rPr>
          <w:rFonts w:cs="Arial" w:ascii="Arial" w:hAnsi="Arial"/>
        </w:rPr>
        <w:t>2.1.</w:t>
        <w:tab/>
        <w:t>ссуды на покупку жилья (кроме ипотечных ссуд)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2.2.</w:t>
        <w:tab/>
        <w:t>ипотечные жилищные ссуды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2.3.</w:t>
        <w:tab/>
        <w:t>автокредиты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2.4.</w:t>
        <w:tab/>
        <w:t>иные потребительские ссуды _________.</w:t>
      </w:r>
    </w:p>
    <w:p>
      <w:pPr>
        <w:pStyle w:val="BulletsMain"/>
        <w:tabs>
          <w:tab w:val="clear" w:pos="567"/>
          <w:tab w:val="left" w:pos="283" w:leader="none"/>
        </w:tabs>
        <w:spacing w:before="113" w:after="0"/>
        <w:ind w:start="283" w:end="0"/>
        <w:rPr/>
      </w:pPr>
      <w:r>
        <w:rPr/>
        <w:t>3.</w:t>
        <w:tab/>
        <w:t>Резерв на возможные потери (тыс. руб.):</w:t>
      </w:r>
    </w:p>
    <w:p>
      <w:pPr>
        <w:pStyle w:val="BulletsInBullets"/>
        <w:tabs>
          <w:tab w:val="clear" w:pos="850"/>
          <w:tab w:val="left" w:pos="737" w:leader="none"/>
        </w:tabs>
        <w:spacing w:before="113" w:after="0"/>
        <w:ind w:hanging="454" w:start="737" w:end="0"/>
        <w:jc w:val="start"/>
        <w:rPr>
          <w:rFonts w:ascii="Arial" w:hAnsi="Arial" w:cs="Arial"/>
        </w:rPr>
      </w:pPr>
      <w:r>
        <w:rPr>
          <w:rFonts w:cs="Arial" w:ascii="Arial" w:hAnsi="Arial"/>
        </w:rPr>
        <w:t>3.1.</w:t>
        <w:tab/>
        <w:t>расчетный резерв по ссудам III—V категорий качества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3.2.</w:t>
        <w:tab/>
        <w:t>расчетный резерв с учетом обеспечения по ссудам III—V категорий качества _________;</w:t>
      </w:r>
    </w:p>
    <w:p>
      <w:pPr>
        <w:pStyle w:val="BulletsInBullets"/>
        <w:tabs>
          <w:tab w:val="clear" w:pos="850"/>
          <w:tab w:val="left" w:pos="737" w:leader="none"/>
        </w:tabs>
        <w:ind w:hanging="454" w:start="737" w:end="0"/>
        <w:jc w:val="start"/>
        <w:rPr>
          <w:rFonts w:ascii="Arial" w:hAnsi="Arial" w:cs="Arial"/>
        </w:rPr>
      </w:pPr>
      <w:r>
        <w:rPr>
          <w:rFonts w:cs="Arial" w:ascii="Arial" w:hAnsi="Arial"/>
        </w:rPr>
        <w:t>3.3.</w:t>
        <w:tab/>
        <w:t>расчетный резерв по прочим потерям _________;</w:t>
      </w:r>
    </w:p>
    <w:p>
      <w:pPr>
        <w:pStyle w:val="BulletsInBullets"/>
        <w:tabs>
          <w:tab w:val="clear" w:pos="850"/>
          <w:tab w:val="left" w:pos="737" w:leader="none"/>
        </w:tabs>
        <w:ind w:hanging="454" w:start="738" w:end="0"/>
        <w:jc w:val="start"/>
        <w:rPr>
          <w:rFonts w:ascii="Arial" w:hAnsi="Arial" w:cs="Arial"/>
        </w:rPr>
      </w:pPr>
      <w:r>
        <w:rPr>
          <w:rFonts w:cs="Arial" w:ascii="Arial" w:hAnsi="Arial"/>
        </w:rPr>
        <w:t>3.4.</w:t>
        <w:tab/>
        <w:t>фактически сформированный резерв по прочим потерям _________.</w:t>
      </w:r>
    </w:p>
    <w:p>
      <w:pPr>
        <w:pStyle w:val="MainTextBezOtstupa"/>
        <w:tabs>
          <w:tab w:val="clear" w:pos="720"/>
          <w:tab w:val="left" w:pos="4564" w:leader="none"/>
        </w:tabs>
        <w:spacing w:before="24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0409115 “Информация о качестве активов кредитной организации”</w:t>
      </w:r>
    </w:p>
    <w:p>
      <w:pPr>
        <w:pStyle w:val="MainText"/>
        <w:rPr/>
      </w:pPr>
      <w:r>
        <w:rPr/>
        <w:t>1. В отчетности по форме 0409115 “Информация о качестве активов кредитной организации” (далее — Отчет) приводится информация о составе активов (за исключением средств, размещенных в Банке России), их качестве, а также величине расчетного и фактически сформированного резерва на возможные потери в соответствии с Положением Банка России от 26 марта 2004 года №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зарегистрированным Министерством юстиции Российской Федерации 26 апреля 2004 года № 5774, 20 апреля 2006 года № 7728, 27 декабря 2006 года № 8676, 10 декабря 2007 года № 10660, 23 января 2008 года № 10968, 22 мая 2008 года № 11730, 22 мая 2008 года № 11724, 30 июня 2008 года № 11903, 29 января 2009 года № 13219, 20 февраля 2009 года № 13414 (“Вестник Банка России” от 7 мая 2004 года № 28, от 4 мая 2006 года № 26, от 15 января 2007 года № 1, от 17 декабря 2007 года № 69, от 31 января 2008 года № 4, от 28 мая 2008 года № 25, от 4 июня 2008 года № 28, от 9 июля 2008 года № 36, от 4 февраля 2009 года № 7, от 4 марта 2009 года № 15 (далее — Положение Банка России № 254-П), и Положением Банка России от 20 марта 2006 года № 283-П “О порядке формирования кредитными организациями резервов на возможные потери”, зарегистрированным Министерством юстиции Российской Федерации 25 апреля 2006 года № 7741, 2 июля 2007 года № 9739, 6 декабря 2007 года № 10639, 10 сентября 2008 года № 12260, 5 августа 2009 года № 14477 (“Вестник Банка России” от 4 мая 2006 года № 26, от 11 июля 2007 года № 39, от 17 декабря 2007 года № 69, от 17 сентября 2008 года № 49, от 12 августа 2009 года № 47) (далее — Положение Банка России № 283-П).</w:t>
      </w:r>
    </w:p>
    <w:p>
      <w:pPr>
        <w:pStyle w:val="MainText"/>
        <w:rPr/>
      </w:pPr>
      <w:r>
        <w:rPr/>
        <w:t>2. В графах 3—12 раздела 1 и в графе 3 разделов 2 и 3 Отчета соответствующий вид актива отражается по балансовой стоимости.</w:t>
      </w:r>
    </w:p>
    <w:p>
      <w:pPr>
        <w:pStyle w:val="MainText"/>
        <w:rPr/>
      </w:pPr>
      <w:r>
        <w:rPr/>
        <w:t>3. Номинированные в иностранной валюте активы отражаются в Отчете в рублевом эквиваленте, определяемом по официальному курсу иностранной валюты по отношению к рублю, установленному Банком России, в котором указанный актив отражается в отчетности по форме 0409101 “Оборотная ведомость по счетам бухгалтерского учета кредитной организации”, составленной на данную отчетную дату.</w:t>
      </w:r>
    </w:p>
    <w:p>
      <w:pPr>
        <w:pStyle w:val="MainText"/>
        <w:rPr/>
      </w:pPr>
      <w:r>
        <w:rPr/>
        <w:t>4. В графах 9—12 раздела 1 Отчета активы, которые по условиям договора погашаются частями (долями), в случае непогашения в срок части (доли) отражаются в полном объеме по максимальному сроку задержки платежей.</w:t>
      </w:r>
    </w:p>
    <w:p>
      <w:pPr>
        <w:pStyle w:val="MainText"/>
        <w:rPr/>
      </w:pPr>
      <w:r>
        <w:rPr/>
        <w:t>В случае погашения на дату составления Отчета ранее просроченной задолженности такая задолженность не подлежит отражению в Отчете.</w:t>
      </w:r>
    </w:p>
    <w:p>
      <w:pPr>
        <w:pStyle w:val="MainText"/>
        <w:rPr/>
      </w:pPr>
      <w:r>
        <w:rPr/>
        <w:t>5. В раздел 1 Отчета не включаются ссуды, сгруппированные в портфели однородных ссуд в соответствии с главой 5 Положения Банка России № 254-П, и требования, сгруппированные в портфели однородных требований в соответствии с главой 4 Положения Банка России № 283-П. Указанные ссуды и требования отражаются в Отчете в разделах 2 и 3.</w:t>
      </w:r>
    </w:p>
    <w:p>
      <w:pPr>
        <w:pStyle w:val="MainText"/>
        <w:rPr/>
      </w:pPr>
      <w:r>
        <w:rPr/>
        <w:t>Требования к индивидуальным предпринимателям в целях составления Отчета классифицируются как требования к юридическим лицам.</w:t>
      </w:r>
    </w:p>
    <w:p>
      <w:pPr>
        <w:pStyle w:val="MainText"/>
        <w:rPr/>
      </w:pPr>
      <w:r>
        <w:rPr/>
        <w:t>6. По строкам 1.8, 2.7 и 3.6 раздела 1, строкам 6 и 6.1 раздела 2, строкам 4 и 4.1 раздела 3 Отчета отражаются требования кредитной организации по получению процентных доходов по соответствующим видам активов.</w:t>
      </w:r>
    </w:p>
    <w:p>
      <w:pPr>
        <w:pStyle w:val="MainText"/>
        <w:rPr/>
      </w:pPr>
      <w:r>
        <w:rPr/>
        <w:t>Комиссионные доходы, связанные с размещением денежных средств, включая вознаграждения за открытие и ведение ссудных счетов клиентов, а также штрафы (проценты по повышенной ставке) по ссудным операциям банка включаются в строки “Требования по получению процентных доходов” соответствующих разделов Отчета. Настоящий Порядок не устанавливает правомерность взимания с заемщика платежей (комиссий).</w:t>
      </w:r>
    </w:p>
    <w:p>
      <w:pPr>
        <w:pStyle w:val="MainText"/>
        <w:rPr/>
      </w:pPr>
      <w:r>
        <w:rPr/>
        <w:t>7. В целях составления Отчета:</w:t>
      </w:r>
    </w:p>
    <w:p>
      <w:pPr>
        <w:pStyle w:val="MainText"/>
        <w:rPr/>
      </w:pPr>
      <w:r>
        <w:rPr/>
        <w:t>по строке 3.1 раздела 1, строке 1.1 раздела 3, подпункту 1.1 пункта 1 и подпункту 2.1 пункта 2 раздела “Справочно” отражаются ссуды физическим лицам на приобретение жилья, не обеспеченные залогом недвижимости;</w:t>
      </w:r>
    </w:p>
    <w:p>
      <w:pPr>
        <w:pStyle w:val="MainText"/>
        <w:rPr/>
      </w:pPr>
      <w:r>
        <w:rPr/>
        <w:t>по строке 3.2 раздела 1, строке 1.2 раздела 3, подпункту 1.2 пункта 1 и подпункту 2.2 пункта 2 раздела “Справочно” отражаются ссуды физическим лицам на приобретение жилья под залог жилой недвижимости (ипотека), определяемые как ипотечные в соответствии с Федеральным законом от 16 июля 1998 года № 102-ФЗ “Об ипотеке (залоге недвижимости)” (Собрание законодательства Российской Федерации, 1998, № 29, ст. 3400; 2001, № 46, ст. 4308; 2002, № 7, ст. 629; № 52, ст. 5135; 2004, № 6, ст. 406; № 27, ст. 2711; № 45, ст. 4377; 2005, № 1, ст. 40, ст. 42; 2006, № 50, ст. 5279; № 52, ст. 5498; 2007, № 27, ст. 3213; № 50, ст. 6237; 2008, № 20, ст. 2251; № 52, ст. 6219; 2009, № 1, ст. 14; № 29, ст. 3603);</w:t>
      </w:r>
    </w:p>
    <w:p>
      <w:pPr>
        <w:pStyle w:val="MainText"/>
        <w:rPr/>
      </w:pPr>
      <w:r>
        <w:rPr/>
        <w:t>по строке 3.3 раздела 1, строке 1.3 раздела 3, подпункту 1.3 пункта 1 и подпункту 2.3 пункта 2 раздела “Справочно” отражаются ссуды физическим лицам на приобретение автотранспортного средства, обеспеченные залогом данного автотранспортного средства;</w:t>
      </w:r>
    </w:p>
    <w:p>
      <w:pPr>
        <w:pStyle w:val="MainText"/>
        <w:rPr/>
      </w:pPr>
      <w:r>
        <w:rPr/>
        <w:t>по строке 3.4 раздела 1, строке 1.4 раздела 3, подпункту 1.4 пункта 1 и подпункту 2.4 пункта 2 раздела “Справочно” отражаются ссуды физическим лицам на покупку товаров, предназначенных для личного, семейного, домашнего или иного использования, не связанного с предпринимательской деятельностью, а также на оплату различного рода расходов личного характера (плата за обучение, медицинское обслуживание и тому подобное), за исключением ипотечных жилищных ссуд, автокредитов и необеспеченных ссуд на покупку жилья.</w:t>
      </w:r>
    </w:p>
    <w:p>
      <w:pPr>
        <w:pStyle w:val="MainText"/>
        <w:rPr/>
      </w:pPr>
      <w:r>
        <w:rPr/>
        <w:t>8. По строке 4.1 раздела 1 Отчета отражаются ссуды, ссудная и приравненная к ней задолженность в соответствии с приложением 1 к Положению Банка России № 254-П.</w:t>
      </w:r>
    </w:p>
    <w:p>
      <w:pPr>
        <w:pStyle w:val="MainText"/>
        <w:rPr/>
      </w:pPr>
      <w:r>
        <w:rPr/>
        <w:t>По строкам 4.1.1 и 4.1.2 раздела 1 Отчета отражается общий объем ссуд, классификация которых произведена в соответствии с пунктом 3.10 и подпунктом 3.14.3 пункта 3.14 Положения Банка России № 254-П.</w:t>
      </w:r>
    </w:p>
    <w:p>
      <w:pPr>
        <w:pStyle w:val="MainText"/>
        <w:rPr/>
      </w:pPr>
      <w:r>
        <w:rPr/>
        <w:t>При уточнении классификации отдельного транша (отдельных траншей) в рамках открытой заемщику кредитной линии по строкам 4.1.1 и 4.1.2 раздела 1 Отчета указывается общий объем ссудной задолженности по данной кредитной линии.</w:t>
      </w:r>
    </w:p>
    <w:p>
      <w:pPr>
        <w:pStyle w:val="MainText"/>
        <w:rPr/>
      </w:pPr>
      <w:r>
        <w:rPr/>
        <w:t>По строкам 4.1.1.1 и 4.1.2.1 раздела 1 Отчета указывается объем задолженности, классификация которой в соответствии с Положением Банка России № 254-П произведена в месяце (квартале), предшествовавшем отчетной дате.</w:t>
      </w:r>
    </w:p>
    <w:p>
      <w:pPr>
        <w:pStyle w:val="MainText"/>
        <w:rPr/>
      </w:pPr>
      <w:r>
        <w:rPr/>
        <w:t>9. По строке 2 раздела 2 и по строке 1 раздела 3 Отчета отражается информация о сформированных в соответствии с пунктом 5.1 Положения Банка России № 254-П портфелях однородных ссуд, предоставленных, соответственно, субъектам малого и среднего предпринимательства, включая индивидуальных предпринимателей (раздел 2), и физическим лицам (раздел 3).</w:t>
      </w:r>
    </w:p>
    <w:p>
      <w:pPr>
        <w:pStyle w:val="MainText"/>
        <w:rPr/>
      </w:pPr>
      <w:r>
        <w:rPr/>
        <w:t>При объединении ссуд, предоставленных физическим лицам (строка 1 раздела 3), в один портфель ссуд без просроченных платежей и ссуд с просроченными платежами продолжительностью от 1 до 30 календарных дней в целях формирования минимального резерва по варианту 2 таблицы 3 пункта 5.1 Положения Банка России № 254-П информация по данным ссудам подлежит отражению в разделе 3 Отчета по строкам 1.1.1, 1.2.1, 1.3.1, 1.4.1. Одновременно по строкам 1.1.2, 1.1.3, 1.2.2, 1.2.3, 1.3.2, 1.3.3, 1.4.2, 1.4.3 раздела 3 Отчета проставляется символ “X”.</w:t>
      </w:r>
    </w:p>
    <w:p>
      <w:pPr>
        <w:pStyle w:val="MainText"/>
        <w:rPr/>
      </w:pPr>
      <w:r>
        <w:rPr/>
        <w:t>По строкам 3.1—3.4 раздела 2 и по строкам 2.1—2.4 раздела 3 Отчета отражается информация о распределении сформированных портфелей однородных ссуд, предоставленных, соответственно, субъектам малого и среднего предпринимательства, включая индивидуальных предпринимателей (строка 2 раздела 2), и физическим лицам (строка 1 раздела 3), по категориям качества в соответствии с требованиями пункта 1.7 Положения Банка России № 254-П.</w:t>
      </w:r>
    </w:p>
    <w:p>
      <w:pPr>
        <w:pStyle w:val="MainText"/>
        <w:rPr/>
      </w:pPr>
      <w:r>
        <w:rPr/>
        <w:t>10. По строке 5 раздела 2 и строке 3 раздела 3 Отчета отражаются требования, сгруппированные в портфели однородных требований в соответствии с главой 4 Положения Банка России № 283-П.</w:t>
      </w:r>
    </w:p>
    <w:p>
      <w:pPr>
        <w:pStyle w:val="MainText"/>
        <w:rPr/>
      </w:pPr>
      <w:r>
        <w:rPr/>
        <w:t>11. В пунктах 1 и 2 раздела “Справочно” Отчета отражается информация о предоставленных физическим лицам ссудах, включая сгруппированные в портфели однородных ссуд, за исключением задолженности “овердрафт” по расчетным (дебетовым) картам.</w:t>
      </w:r>
    </w:p>
    <w:p>
      <w:pPr>
        <w:pStyle w:val="MainText"/>
        <w:rPr/>
      </w:pPr>
      <w:r>
        <w:rPr/>
        <w:t>В пункте 1 раздела “Справочно” Отчета указывается объем задолженности, срок (сроки) погашения которой в соответствии с заключенным (заключенными) с заемщиком договором (договорами) приходится (приходятся) на отчетный месяц (квартал) (без учета пролонгации ссуд).</w:t>
      </w:r>
    </w:p>
    <w:p>
      <w:pPr>
        <w:pStyle w:val="MainText"/>
        <w:rPr/>
      </w:pPr>
      <w:r>
        <w:rPr/>
        <w:t>В пункте 2 раздела “Справочно” Отчета указывается объем задолженности, срок (сроки) погашения которой приходится (приходятся) на отчетный месяц (квартал), но не погашенной в установленный договором (договорами) срок (сроки).</w:t>
      </w:r>
    </w:p>
    <w:p>
      <w:pPr>
        <w:pStyle w:val="MainText"/>
        <w:rPr/>
      </w:pPr>
      <w:r>
        <w:rPr/>
        <w:t>В объем задолженности, не погашенной в срок в отчетном месяце (квартале), не включается задолженность, по которой в отчетном месяце (квартале) был нарушен срок погашения, но которая на дату составления отчетности была возвращена заемщиком.</w:t>
      </w:r>
    </w:p>
    <w:p>
      <w:pPr>
        <w:pStyle w:val="MainText"/>
        <w:rPr/>
      </w:pPr>
      <w:r>
        <w:rPr/>
        <w:t>В пунктах 1 и 2 раздела “Справочно” Отчета не подлежит отражению досрочно погашенная и пролонгированная в отчетном периоде ссудная задолженность, а также погашенная в отчетном периоде ссудная задолженность, срок погашения которой согласно договору приходился на предыдущие отчетные периоды.</w:t>
      </w:r>
    </w:p>
    <w:p>
      <w:pPr>
        <w:pStyle w:val="MainText"/>
        <w:rPr/>
      </w:pPr>
      <w:r>
        <w:rPr/>
        <w:t>Погашенная в отчетном периоде ссудная задолженность, номинированная в иностранной валюте, отражается в Отчете в рублевом эквиваленте, определяемом по официальному курсу иностранной валюты по отношению к рублю, установленному Банком России, действующему на дату погашения задолженности (либо ее части, доли).</w:t>
      </w:r>
    </w:p>
    <w:p>
      <w:pPr>
        <w:pStyle w:val="MainText"/>
        <w:rPr/>
      </w:pPr>
      <w:r>
        <w:rPr/>
        <w:t>В подпунктах 3.1 и 3.2 пункта 3 раздела “Справочно” Отчета отражается информация о резерве на возможные потери по ссудам III—V категорий качества, отраженным в разделе 1 Отчета.</w:t>
      </w:r>
    </w:p>
    <w:p>
      <w:pPr>
        <w:pStyle w:val="MainText"/>
        <w:rPr/>
      </w:pPr>
      <w:r>
        <w:rPr/>
        <w:t>В подпунктах 3.3 и 3.4 пункта 3 раздела “Справочно” Отчета указывается, соответственно, величина расчетного и фактически сформированного резерва по прочим потерям, определенного в соответствии с требованиями главы 6 Положения Банка России № 283-П.</w:t>
      </w:r>
    </w:p>
    <w:p>
      <w:pPr>
        <w:pStyle w:val="MainText"/>
        <w:rPr/>
      </w:pPr>
      <w:r>
        <w:rPr/>
        <w:t>12. Отчет составляется в целом по кредитной организации:</w:t>
      </w:r>
    </w:p>
    <w:p>
      <w:pPr>
        <w:pStyle w:val="MainText"/>
        <w:rPr/>
      </w:pPr>
      <w:r>
        <w:rPr/>
        <w:t>кредитными организациями (включая расчетные небанковские кредитные организации, за исключением небанковских кредитных организаций, осуществляющих депозитно-кредитные операции) — по состоянию на 1-е число месяца, следующего за отчетным;</w:t>
      </w:r>
    </w:p>
    <w:p>
      <w:pPr>
        <w:pStyle w:val="MainText"/>
        <w:rPr/>
      </w:pPr>
      <w:r>
        <w:rPr/>
        <w:t>небанковскими кредитными организациями, осуществляющими депозитно-кредитные операции, — по состоянию на 1-е число месяца, следующего за отчетным кварталом.</w:t>
      </w:r>
    </w:p>
    <w:p>
      <w:pPr>
        <w:pStyle w:val="MainText"/>
        <w:rPr/>
      </w:pPr>
      <w:r>
        <w:rPr/>
        <w:t>Отчет представляется в территориальное учреждение Банка России:</w:t>
      </w:r>
    </w:p>
    <w:p>
      <w:pPr>
        <w:pStyle w:val="MainText"/>
        <w:rPr/>
      </w:pPr>
      <w:r>
        <w:rPr/>
        <w:t>кредитными организациями (включая расчетные небанковские кредитные организации) (за исключением крупных кредитных организаций с широкой сетью подразделений и небанковских кредитных организаций, осуществляющих депозитно-кредитные операции) — не позднее 7-го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небанковскими кредитными организациями, осуществляющими депозитно-кредитные операции, — не позднее 7-го рабочего дня месяца, следующего за отчетным кварталом.</w:t>
      </w:r>
    </w:p>
    <w:p>
      <w:pPr>
        <w:pStyle w:val="MainText"/>
        <w:rPr/>
      </w:pPr>
      <w:r>
        <w:rPr/>
        <w:t>13.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ЦЕННЫХ БУМАГАХ, ПРИОБРЕТЕННЫХ КРЕДИТНОЙ ОРГАНИЗАЦИЕЙ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0409116</w:t>
        <w:br/>
        <w:t>Месячная (Квартальная)</w:t>
      </w:r>
    </w:p>
    <w:tbl>
      <w:tblPr>
        <w:tblW w:w="16242" w:type="dxa"/>
        <w:jc w:val="center"/>
        <w:tblInd w:w="0" w:type="dxa"/>
        <w:tblLayout w:type="fixed"/>
        <w:tblCellMar>
          <w:top w:w="0" w:type="dxa"/>
          <w:start w:w="108" w:type="dxa"/>
          <w:bottom w:w="0" w:type="dxa"/>
          <w:end w:w="108" w:type="dxa"/>
        </w:tblCellMar>
      </w:tblPr>
      <w:tblGrid>
        <w:gridCol w:w="813"/>
        <w:gridCol w:w="1403"/>
        <w:gridCol w:w="1148"/>
        <w:gridCol w:w="1274"/>
        <w:gridCol w:w="852"/>
        <w:gridCol w:w="1536"/>
        <w:gridCol w:w="1536"/>
        <w:gridCol w:w="1536"/>
        <w:gridCol w:w="1536"/>
        <w:gridCol w:w="1536"/>
        <w:gridCol w:w="1248"/>
        <w:gridCol w:w="1824"/>
      </w:tblGrid>
      <w:tr>
        <w:trPr>
          <w:tblHeader w:val="true"/>
          <w:cantSplit/>
        </w:trPr>
        <w:tc>
          <w:tcPr>
            <w:tcW w:w="81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40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эмитента</w:t>
            </w:r>
          </w:p>
        </w:tc>
        <w:tc>
          <w:tcPr>
            <w:tcW w:w="114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(код) эмитента</w:t>
            </w:r>
          </w:p>
        </w:tc>
        <w:tc>
          <w:tcPr>
            <w:tcW w:w="127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вида деятельности</w:t>
            </w:r>
          </w:p>
        </w:tc>
        <w:tc>
          <w:tcPr>
            <w:tcW w:w="85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типа</w:t>
            </w:r>
          </w:p>
        </w:tc>
        <w:tc>
          <w:tcPr>
            <w:tcW w:w="153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государственной</w:t>
            </w:r>
          </w:p>
        </w:tc>
        <w:tc>
          <w:tcPr>
            <w:tcW w:w="153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валюты ценной бумаги</w:t>
            </w:r>
          </w:p>
        </w:tc>
        <w:tc>
          <w:tcPr>
            <w:tcW w:w="153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 xml:space="preserve">Количество ценных бумаг, </w:t>
            </w:r>
          </w:p>
        </w:tc>
        <w:tc>
          <w:tcPr>
            <w:tcW w:w="307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 xml:space="preserve">Ценные бумаги, </w:t>
              <w:br/>
              <w:t>тыс. руб.</w:t>
            </w:r>
          </w:p>
        </w:tc>
        <w:tc>
          <w:tcPr>
            <w:tcW w:w="124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Категория качества</w:t>
            </w:r>
          </w:p>
        </w:tc>
        <w:tc>
          <w:tcPr>
            <w:tcW w:w="182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Фактически сформированный</w:t>
            </w:r>
          </w:p>
        </w:tc>
      </w:tr>
      <w:tr>
        <w:trPr>
          <w:tblHeader w:val="true"/>
          <w:cantSplit/>
        </w:trPr>
        <w:tc>
          <w:tcPr>
            <w:tcW w:w="81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40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7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эмитента</w:t>
            </w:r>
          </w:p>
        </w:tc>
        <w:tc>
          <w:tcPr>
            <w:tcW w:w="852"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ценных бумаг</w:t>
            </w:r>
          </w:p>
        </w:tc>
        <w:tc>
          <w:tcPr>
            <w:tcW w:w="1536"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регистрации выпуска ценных бумаг</w:t>
            </w:r>
          </w:p>
        </w:tc>
        <w:tc>
          <w:tcPr>
            <w:tcW w:w="1536"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536"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штук</w:t>
            </w:r>
          </w:p>
        </w:tc>
        <w:tc>
          <w:tcPr>
            <w:tcW w:w="1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цене приобретения</w:t>
            </w:r>
          </w:p>
        </w:tc>
        <w:tc>
          <w:tcPr>
            <w:tcW w:w="1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текущей (справедливой) стоимости</w:t>
            </w:r>
          </w:p>
        </w:tc>
        <w:tc>
          <w:tcPr>
            <w:tcW w:w="124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82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 xml:space="preserve">резерв на возможные потери, </w:t>
              <w:br/>
              <w:t>тыс. руб.</w:t>
            </w:r>
          </w:p>
        </w:tc>
      </w:tr>
      <w:tr>
        <w:trPr>
          <w:tblHeader w:val="true"/>
          <w:cantSplit/>
        </w:trPr>
        <w:tc>
          <w:tcPr>
            <w:tcW w:w="81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40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1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27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2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18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r>
      <w:tr>
        <w:trPr>
          <w:cantSplit/>
        </w:trPr>
        <w:tc>
          <w:tcPr>
            <w:tcW w:w="81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40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40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0409116 “Сведения о ценных бумагах, приобретенных кредитной организацией”</w:t>
      </w:r>
    </w:p>
    <w:p>
      <w:pPr>
        <w:pStyle w:val="MainText"/>
        <w:rPr/>
      </w:pPr>
      <w:r>
        <w:rPr/>
        <w:t>1. В Отчетности по форме 0409116 “Сведения о ценных бумагах, приобретенных кредитной организацией” (далее — Отчет) приводится информация о 20 крупнейших эмитентах ценных бумаг (лицах, выпустивших ценные бумаги) (далее — эмитент), вложения в ценные бумаги которых имеются у кредитной организации.</w:t>
      </w:r>
    </w:p>
    <w:p>
      <w:pPr>
        <w:pStyle w:val="MainText"/>
        <w:rPr/>
      </w:pPr>
      <w:r>
        <w:rPr/>
        <w:t>Информация в Отчете приводится в порядке убывания совокупной величины вложений по каждому эмитенту по стоимости ценных бумаг, отражаемой в бухгалтерском учете.</w:t>
      </w:r>
    </w:p>
    <w:p>
      <w:pPr>
        <w:pStyle w:val="MainText"/>
        <w:rPr/>
      </w:pPr>
      <w:r>
        <w:rPr/>
        <w:t>В Отчет включаются сведения о вложениях кредитной организации в долговые (кроме векселей) и долевые ценные бумаги, за исключением вложений в ценные бумаги Российской Федерации и в акции (доли участия) дочерних и зависимых обществ, отраженных в отчетности по форме 0409801 “Отчет о составе участников банковской (консолидированной) группы”, а также прочего участия в уставных капиталах юридических лиц.</w:t>
      </w:r>
    </w:p>
    <w:p>
      <w:pPr>
        <w:pStyle w:val="MainText"/>
        <w:rPr/>
      </w:pPr>
      <w:r>
        <w:rPr/>
        <w:t>Информация о ценных бумагах, номинированных в иностранной валюте, включается в Отчет в рублевом эквиваленте, определяемом по официальному курсу иностранной валюты по отношению к рублю, установленному Банком России на дату составления Отчета.</w:t>
      </w:r>
    </w:p>
    <w:p>
      <w:pPr>
        <w:pStyle w:val="MainText"/>
        <w:rPr/>
      </w:pPr>
      <w:r>
        <w:rPr/>
        <w:t>2. В графе 2 Отчета приводится полное наименование эмитента:</w:t>
      </w:r>
    </w:p>
    <w:p>
      <w:pPr>
        <w:pStyle w:val="MainText"/>
        <w:rPr/>
      </w:pPr>
      <w:r>
        <w:rPr/>
        <w:t>кредитной организации — резидента — в соответствии с Книгой государственной регистрации кредитных организаций;</w:t>
      </w:r>
    </w:p>
    <w:p>
      <w:pPr>
        <w:pStyle w:val="MainText"/>
        <w:rPr/>
      </w:pPr>
      <w:r>
        <w:rPr/>
        <w:t>кредитной организации — нерезидента — участника системы СВИФТ — в соответствии со справочником СВИФТ;</w:t>
      </w:r>
    </w:p>
    <w:p>
      <w:pPr>
        <w:pStyle w:val="MainText"/>
        <w:rPr/>
      </w:pPr>
      <w:r>
        <w:rPr/>
        <w:t>юридического лица — резидента, не являющегося кредитной организацией, — в соответствии с записью в Едином государственном реестре юридических лиц о его регистрации;</w:t>
      </w:r>
    </w:p>
    <w:p>
      <w:pPr>
        <w:pStyle w:val="MainText"/>
        <w:rPr/>
      </w:pPr>
      <w:r>
        <w:rPr/>
        <w:t>юридического лица — нерезидента, включая кредитные организации, не являющиеся участниками системы СВИФТ, — в соответствии с наименованием, приведенным в учредительных документах;</w:t>
      </w:r>
    </w:p>
    <w:p>
      <w:pPr>
        <w:pStyle w:val="MainText"/>
        <w:rPr/>
      </w:pPr>
      <w:r>
        <w:rPr/>
        <w:t>акционерного инвестиционного фонда — в соответствии с наименованием, приведенным в лицензии на осуществление деятельности;</w:t>
      </w:r>
    </w:p>
    <w:p>
      <w:pPr>
        <w:pStyle w:val="MainText"/>
        <w:rPr/>
      </w:pPr>
      <w:r>
        <w:rPr/>
        <w:t>паевого инвестиционного фонда — в соответствии с записью о регистрации в реестре паевых инвестиционных фондов федерального органа исполнительной власти по рынку ценных бумаг.</w:t>
      </w:r>
    </w:p>
    <w:p>
      <w:pPr>
        <w:pStyle w:val="MainText"/>
        <w:rPr/>
      </w:pPr>
      <w:r>
        <w:rPr/>
        <w:t>3. В графе 3 Отчета по каждому эмитенту указывается:</w:t>
      </w:r>
    </w:p>
    <w:p>
      <w:pPr>
        <w:pStyle w:val="MainText"/>
        <w:rPr/>
      </w:pPr>
      <w:r>
        <w:rPr/>
        <w:t>для юридического лица — резидента, не являющегося кредитной организацией, — основной государственный регистрационный номер (ОГРН);</w:t>
      </w:r>
    </w:p>
    <w:p>
      <w:pPr>
        <w:pStyle w:val="MainText"/>
        <w:rPr/>
      </w:pPr>
      <w:r>
        <w:rPr/>
        <w:t>для кредитной организации — резидента — регистрационный номер кредитной организации в соответствии с Книгой государственной регистрации кредитных организаций;</w:t>
      </w:r>
    </w:p>
    <w:p>
      <w:pPr>
        <w:pStyle w:val="MainText"/>
        <w:rPr/>
      </w:pPr>
      <w:r>
        <w:rPr/>
        <w:t>для юридического лица — нерезидента, включая кредитные организации — нерезиденты, не являющегося участником системы СВИФТ, — условное обозначение — НР;</w:t>
      </w:r>
    </w:p>
    <w:p>
      <w:pPr>
        <w:pStyle w:val="MainText"/>
        <w:rPr/>
      </w:pPr>
      <w:r>
        <w:rPr/>
        <w:t>для кредитной организации — нерезидента, являющегося участником системы СВИФТ, — код по справочнику СВИФТ.</w:t>
      </w:r>
    </w:p>
    <w:p>
      <w:pPr>
        <w:pStyle w:val="MainText"/>
        <w:rPr/>
      </w:pPr>
      <w:r>
        <w:rPr/>
        <w:t>По инвестиционным фондам графа 3 не заполняется.</w:t>
      </w:r>
    </w:p>
    <w:p>
      <w:pPr>
        <w:pStyle w:val="MainText"/>
        <w:rPr/>
      </w:pPr>
      <w:r>
        <w:rPr/>
        <w:t>4. В графе 4 Отчета указываются основные виды экономической деятельности эмитента в соответствии с классами, определенными в Общероссийском классификаторе видов экономической деятельности (ОКВЭД) (в количестве не более 5 видов). По эмитентам-нерезидентам графа 4 Отчета заполняется с использованием кодов классов ОКВЭД, соответствующих (или приближенных по содержанию) основным видам деятельности эмитента-нерезидента, указанным в его учредительных документах.</w:t>
      </w:r>
    </w:p>
    <w:p>
      <w:pPr>
        <w:pStyle w:val="MainText"/>
        <w:rPr/>
      </w:pPr>
      <w:r>
        <w:rPr/>
        <w:t>Если эмитентами являются органы исполнительной власти субъектов Российской Федерации и муниципальных образований (код типа ценных бумаг BON2), иностранные государства и иностранные центральные банки (код типа ценных бумаг BON5), а также если осуществлены вложения в паи (доли) инвестиционных фондов (коды типа ценных бумаг SHS7 и SHS8), графа 4 не заполняется.</w:t>
      </w:r>
    </w:p>
    <w:p>
      <w:pPr>
        <w:pStyle w:val="MainText"/>
        <w:rPr/>
      </w:pPr>
      <w:r>
        <w:rPr/>
        <w:t>5. В графе 5 Отчета в разрезе каждого эмитента указывается код типа ценной бумаги, выпущенной им и приобретенной кредитной организацией.</w:t>
      </w:r>
    </w:p>
    <w:p>
      <w:pPr>
        <w:pStyle w:val="MainText"/>
        <w:rPr/>
      </w:pPr>
      <w:r>
        <w:rPr/>
        <w:t>Сведения о типах ценных бумаг отражаются в соответствии с нижеприведенной классификацией только при наличии по ним информации.</w:t>
      </w:r>
    </w:p>
    <w:p>
      <w:pPr>
        <w:pStyle w:val="MainText"/>
        <w:rPr/>
      </w:pPr>
      <w:r>
        <w:rPr/>
        <w:t>Для формирования Отчета используются следующие коды:</w:t>
      </w:r>
    </w:p>
    <w:p>
      <w:pPr>
        <w:pStyle w:val="MainText"/>
        <w:rPr/>
      </w:pPr>
      <w:r>
        <w:rPr/>
        <w:t>BON2 — облигации органов исполнительной власти субъектов Российской Федерации и муниципальных образований;</w:t>
      </w:r>
    </w:p>
    <w:p>
      <w:pPr>
        <w:pStyle w:val="MainText"/>
        <w:rPr/>
      </w:pPr>
      <w:r>
        <w:rPr/>
        <w:t>BON3 — облигации кредитных организаций — резидентов;</w:t>
      </w:r>
    </w:p>
    <w:p>
      <w:pPr>
        <w:pStyle w:val="MainText"/>
        <w:rPr/>
      </w:pPr>
      <w:r>
        <w:rPr/>
        <w:t>BON4 — облигации прочих резидентов;</w:t>
      </w:r>
    </w:p>
    <w:p>
      <w:pPr>
        <w:pStyle w:val="MainText"/>
        <w:rPr/>
      </w:pPr>
      <w:r>
        <w:rPr/>
        <w:t>BON5 — облигации иностранных государств и облигации иностранных центральных банков;</w:t>
      </w:r>
    </w:p>
    <w:p>
      <w:pPr>
        <w:pStyle w:val="MainText"/>
        <w:rPr/>
      </w:pPr>
      <w:r>
        <w:rPr/>
        <w:t>BON6 — облигации банков-нерезидентов;</w:t>
      </w:r>
    </w:p>
    <w:p>
      <w:pPr>
        <w:pStyle w:val="MainText"/>
        <w:rPr/>
      </w:pPr>
      <w:r>
        <w:rPr/>
        <w:t>BON7 — облигации прочих нерезидентов;</w:t>
      </w:r>
    </w:p>
    <w:p>
      <w:pPr>
        <w:pStyle w:val="MainText"/>
        <w:rPr/>
      </w:pPr>
      <w:r>
        <w:rPr/>
        <w:t>DS1 — депозитные сертификаты кредитных организаций — резидентов;</w:t>
      </w:r>
    </w:p>
    <w:p>
      <w:pPr>
        <w:pStyle w:val="MainText"/>
        <w:rPr/>
      </w:pPr>
      <w:r>
        <w:rPr/>
        <w:t>DS2 — депозитные сертификаты банков-нерезидентов;</w:t>
      </w:r>
    </w:p>
    <w:p>
      <w:pPr>
        <w:pStyle w:val="MainText"/>
        <w:rPr/>
      </w:pPr>
      <w:r>
        <w:rPr/>
        <w:t>SHS1 — акции кредитных организаций — резидентов (обыкновенные);</w:t>
      </w:r>
    </w:p>
    <w:p>
      <w:pPr>
        <w:pStyle w:val="MainText"/>
        <w:rPr/>
      </w:pPr>
      <w:r>
        <w:rPr/>
        <w:t>SHS2 — акции кредитных организаций — резидентов (привилегированные);</w:t>
      </w:r>
    </w:p>
    <w:p>
      <w:pPr>
        <w:pStyle w:val="MainText"/>
        <w:rPr/>
      </w:pPr>
      <w:r>
        <w:rPr/>
        <w:t>SHS3 — акции прочих резидентов (обыкновенные);</w:t>
      </w:r>
    </w:p>
    <w:p>
      <w:pPr>
        <w:pStyle w:val="MainText"/>
        <w:rPr/>
      </w:pPr>
      <w:r>
        <w:rPr/>
        <w:t>SHS4 — акции прочих резидентов (привилегированные);</w:t>
      </w:r>
    </w:p>
    <w:p>
      <w:pPr>
        <w:pStyle w:val="MainText"/>
        <w:rPr/>
      </w:pPr>
      <w:r>
        <w:rPr/>
        <w:t>SHS5 — акции банков-нерезидентов;</w:t>
      </w:r>
    </w:p>
    <w:p>
      <w:pPr>
        <w:pStyle w:val="MainText"/>
        <w:rPr/>
      </w:pPr>
      <w:r>
        <w:rPr/>
        <w:t>SHS6 — прочие акции нерезидентов;</w:t>
      </w:r>
    </w:p>
    <w:p>
      <w:pPr>
        <w:pStyle w:val="MainText"/>
        <w:rPr/>
      </w:pPr>
      <w:r>
        <w:rPr/>
        <w:t>SHS7 — паи, доли инвестиционных фондов — нерезидентов;</w:t>
      </w:r>
    </w:p>
    <w:p>
      <w:pPr>
        <w:pStyle w:val="MainText"/>
        <w:rPr/>
      </w:pPr>
      <w:r>
        <w:rPr/>
        <w:t>SHS8 — паи, доли инвестиционных фондов — резидентов;</w:t>
      </w:r>
    </w:p>
    <w:p>
      <w:pPr>
        <w:pStyle w:val="MainText"/>
        <w:rPr/>
      </w:pPr>
      <w:r>
        <w:rPr/>
        <w:t>DR — депозитарные расписки;</w:t>
      </w:r>
    </w:p>
    <w:p>
      <w:pPr>
        <w:pStyle w:val="MainText"/>
        <w:rPr/>
      </w:pPr>
      <w:r>
        <w:rPr/>
        <w:t>WTS — варранты;</w:t>
      </w:r>
    </w:p>
    <w:p>
      <w:pPr>
        <w:pStyle w:val="MainText"/>
        <w:rPr/>
      </w:pPr>
      <w:r>
        <w:rPr/>
        <w:t>OPNI — опционы эмитента;</w:t>
      </w:r>
    </w:p>
    <w:p>
      <w:pPr>
        <w:pStyle w:val="MainText"/>
        <w:rPr/>
      </w:pPr>
      <w:r>
        <w:rPr/>
        <w:t>OTHER — иное.</w:t>
      </w:r>
    </w:p>
    <w:p>
      <w:pPr>
        <w:pStyle w:val="MainText"/>
        <w:rPr/>
      </w:pPr>
      <w:r>
        <w:rPr/>
        <w:t>Если вложения кредитной организации в ценные бумаги одного эмитента представлены несколькими типами ценных бумаг, то информация о каждом типе ценных бумаг располагается в столбец. В этом случае по каждому эмитенту заполняется итоговая строка с указанием информации в графах 2—4, 8—12 Отчета.</w:t>
      </w:r>
    </w:p>
    <w:p>
      <w:pPr>
        <w:pStyle w:val="MainText"/>
        <w:rPr/>
      </w:pPr>
      <w:r>
        <w:rPr/>
        <w:t>6. В графе 6 Отчета по эмиссионным ценным бумагам, выпущенным эмитентами-резидентами, указывается номер государственной регистрации выпуска ценных бумаг. В случае наличия международного идентификационного кода ценной бумаги (ISIN) указывается соответствующий ISIN-код. Если ISIN-код отсутствует, то указывается код, присваиваемый национальным регистрационным агентством или другой заменяющей его в этом качестве организацией. Не допускается использование для эмиссионных ценных бумаг внутренних кодов отчитывающейся кредитной организации, а также кодов, присвоенных другими организациями, не являющимися регистрационными.</w:t>
      </w:r>
    </w:p>
    <w:p>
      <w:pPr>
        <w:pStyle w:val="MainText"/>
        <w:rPr/>
      </w:pPr>
      <w:r>
        <w:rPr/>
        <w:t>При наличии информации о нескольких номерах государственной регистрации выпуска ценных бумаг (ISIN-кодов) по одному типу ценных бумаг в графе 6 Отчета информация приводится в столбец по каждому номеру государственной регистрации выпуска ценных бумаг (ISIN-коду).</w:t>
      </w:r>
    </w:p>
    <w:p>
      <w:pPr>
        <w:pStyle w:val="MainText"/>
        <w:rPr/>
      </w:pPr>
      <w:r>
        <w:rPr/>
        <w:t>По вложениям в паи (доли) инвестиционных фондов (коды типа ценных бумаг SHS7 и SHS8), а также по неэмиссионным ценным бумагам графа 6 Отчета не заполняется.</w:t>
      </w:r>
    </w:p>
    <w:p>
      <w:pPr>
        <w:pStyle w:val="MainText"/>
        <w:rPr/>
      </w:pPr>
      <w:r>
        <w:rPr/>
        <w:t>7. В графе 7 Отчета указывается цифровой код валюты, в которой выражен номинал ценной бумаги, согласно Общероссийскому классификатору валют (ОКВ).</w:t>
      </w:r>
    </w:p>
    <w:p>
      <w:pPr>
        <w:pStyle w:val="MainText"/>
        <w:rPr/>
      </w:pPr>
      <w:r>
        <w:rPr/>
        <w:t>8. В графе 8 Отчета отражается количество ценных бумаг в штуках.</w:t>
      </w:r>
    </w:p>
    <w:p>
      <w:pPr>
        <w:pStyle w:val="MainText"/>
        <w:rPr/>
      </w:pPr>
      <w:r>
        <w:rPr/>
        <w:t>9. В графе 9 Отчета приводится информация о ценных бумагах, отраженных в бухгалтерском учете по цене приобретения, с учетом сумм начисленных процентных (купонных) доходов или начисленного дисконта.</w:t>
      </w:r>
    </w:p>
    <w:p>
      <w:pPr>
        <w:pStyle w:val="MainText"/>
        <w:rPr/>
      </w:pPr>
      <w:r>
        <w:rPr/>
        <w:t>Графы 11 и 12 Отчета заполняются в отношении ценных бумаг, информация по которым приведена в графе 9 Отчета.</w:t>
      </w:r>
    </w:p>
    <w:p>
      <w:pPr>
        <w:pStyle w:val="MainText"/>
        <w:rPr/>
      </w:pPr>
      <w:r>
        <w:rPr/>
        <w:t>В случае заполнения графы 9 графа 10 Отчета не заполняется.</w:t>
      </w:r>
    </w:p>
    <w:p>
      <w:pPr>
        <w:pStyle w:val="MainText"/>
        <w:rPr/>
      </w:pPr>
      <w:r>
        <w:rPr/>
        <w:t>10. В графе 10 Отчета приводится информация о ценных бумагах, отраженных в бухгалтерском учете по текущей (справедливой) стоимости, определяемой в соответствии с пунктом 1.2 приложения 11 к приложению к Положению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зарегистрированному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 В случае заполнения графы 10 графы 9, 11 и 12 Отчета не заполняются.</w:t>
      </w:r>
    </w:p>
    <w:p>
      <w:pPr>
        <w:pStyle w:val="MainText"/>
        <w:rPr/>
      </w:pPr>
      <w:r>
        <w:rPr/>
        <w:t>11. Отчет составляется в целом по кредитной организации:</w:t>
      </w:r>
    </w:p>
    <w:p>
      <w:pPr>
        <w:pStyle w:val="MainText"/>
        <w:rPr/>
      </w:pPr>
      <w:r>
        <w:rPr/>
        <w:t>кредитными организациями (за исключением небанковских кредитных организаций) — по состоянию на 1-е число месяца, следующего за отчетным месяцем;</w:t>
      </w:r>
    </w:p>
    <w:p>
      <w:pPr>
        <w:pStyle w:val="MainText"/>
        <w:rPr/>
      </w:pPr>
      <w:r>
        <w:rPr/>
        <w:t>небанковскими кредитными организациями — по состоянию на 1-е число месяца, следующего за отчетным кварталом.</w:t>
      </w:r>
    </w:p>
    <w:p>
      <w:pPr>
        <w:pStyle w:val="MainText"/>
        <w:rPr/>
      </w:pPr>
      <w:r>
        <w:rPr/>
        <w:t>Отчет представляется в территориальное учреждение Банка России:</w:t>
      </w:r>
    </w:p>
    <w:p>
      <w:pPr>
        <w:pStyle w:val="MainText"/>
        <w:rPr/>
      </w:pPr>
      <w:r>
        <w:rPr/>
        <w:t>кредитными организациями (за исключением крупных кредитных организаций с широкой сетью подразделений и небанковских кредитных организаций) — не позднее 7-го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небанковскими кредитными организациями — не позднее 7-го рабочего дня месяца, следующего за отчетным кварталом.</w:t>
      </w:r>
    </w:p>
    <w:p>
      <w:pPr>
        <w:pStyle w:val="MainText"/>
        <w:rPr/>
      </w:pPr>
      <w:r>
        <w:rPr/>
        <w:t>12.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ДАННЫЕ О КРУПНЫХ ССУДАХ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0409117</w:t>
        <w:br/>
        <w:t>Месячная (Квартальная)</w:t>
      </w:r>
    </w:p>
    <w:tbl>
      <w:tblPr>
        <w:tblW w:w="16231" w:type="dxa"/>
        <w:jc w:val="center"/>
        <w:tblInd w:w="0" w:type="dxa"/>
        <w:tblLayout w:type="fixed"/>
        <w:tblCellMar>
          <w:top w:w="0" w:type="dxa"/>
          <w:start w:w="28" w:type="dxa"/>
          <w:bottom w:w="0" w:type="dxa"/>
          <w:end w:w="28" w:type="dxa"/>
        </w:tblCellMar>
      </w:tblPr>
      <w:tblGrid>
        <w:gridCol w:w="506"/>
        <w:gridCol w:w="846"/>
        <w:gridCol w:w="997"/>
        <w:gridCol w:w="851"/>
        <w:gridCol w:w="852"/>
        <w:gridCol w:w="429"/>
        <w:gridCol w:w="859"/>
        <w:gridCol w:w="713"/>
        <w:gridCol w:w="570"/>
        <w:gridCol w:w="706"/>
        <w:gridCol w:w="636"/>
        <w:gridCol w:w="636"/>
        <w:gridCol w:w="636"/>
        <w:gridCol w:w="923"/>
        <w:gridCol w:w="850"/>
        <w:gridCol w:w="284"/>
        <w:gridCol w:w="708"/>
        <w:gridCol w:w="604"/>
        <w:gridCol w:w="672"/>
        <w:gridCol w:w="590"/>
        <w:gridCol w:w="260"/>
        <w:gridCol w:w="709"/>
        <w:gridCol w:w="697"/>
        <w:gridCol w:w="697"/>
      </w:tblGrid>
      <w:tr>
        <w:trPr>
          <w:cantSplit/>
        </w:trPr>
        <w:tc>
          <w:tcPr>
            <w:tcW w:w="506"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Номер строки</w:t>
            </w:r>
          </w:p>
        </w:tc>
        <w:tc>
          <w:tcPr>
            <w:tcW w:w="846"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Наименование заемщика</w:t>
            </w:r>
          </w:p>
        </w:tc>
        <w:tc>
          <w:tcPr>
            <w:tcW w:w="997"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Основной государственный</w:t>
            </w:r>
          </w:p>
        </w:tc>
        <w:tc>
          <w:tcPr>
            <w:tcW w:w="851"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Код вида деятельности</w:t>
            </w:r>
          </w:p>
        </w:tc>
        <w:tc>
          <w:tcPr>
            <w:tcW w:w="852"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Характер отношений</w:t>
            </w:r>
          </w:p>
        </w:tc>
        <w:tc>
          <w:tcPr>
            <w:tcW w:w="429"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Вид ссуды</w:t>
            </w:r>
          </w:p>
        </w:tc>
        <w:tc>
          <w:tcPr>
            <w:tcW w:w="859"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Цель кредитования</w:t>
            </w:r>
          </w:p>
        </w:tc>
        <w:tc>
          <w:tcPr>
            <w:tcW w:w="713"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Балансовая стоимость</w:t>
            </w:r>
          </w:p>
        </w:tc>
        <w:tc>
          <w:tcPr>
            <w:tcW w:w="570"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Код валюты</w:t>
            </w:r>
          </w:p>
        </w:tc>
        <w:tc>
          <w:tcPr>
            <w:tcW w:w="706"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Процентная ставка,</w:t>
            </w:r>
          </w:p>
        </w:tc>
        <w:tc>
          <w:tcPr>
            <w:tcW w:w="636"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Дата выдачи</w:t>
            </w:r>
          </w:p>
        </w:tc>
        <w:tc>
          <w:tcPr>
            <w:tcW w:w="127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Дата погашения</w:t>
            </w:r>
          </w:p>
        </w:tc>
        <w:tc>
          <w:tcPr>
            <w:tcW w:w="923"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Объем просроченной</w:t>
            </w:r>
          </w:p>
        </w:tc>
        <w:tc>
          <w:tcPr>
            <w:tcW w:w="850"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Длительность просроченной</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Реструктуризация ссуды</w:t>
            </w:r>
          </w:p>
        </w:tc>
        <w:tc>
          <w:tcPr>
            <w:tcW w:w="604" w:type="dxa"/>
            <w:tcBorders>
              <w:top w:val="single" w:sz="6" w:space="0" w:color="000000"/>
              <w:start w:val="single" w:sz="6" w:space="0" w:color="000000"/>
              <w:end w:val="single" w:sz="6" w:space="0" w:color="000000"/>
            </w:tcBorders>
          </w:tcPr>
          <w:p>
            <w:pPr>
              <w:pStyle w:val="MainText"/>
              <w:ind w:hanging="0" w:end="0"/>
              <w:jc w:val="center"/>
              <w:rPr>
                <w:sz w:val="11"/>
              </w:rPr>
            </w:pPr>
            <w:r>
              <w:rPr>
                <w:sz w:val="11"/>
              </w:rPr>
              <w:t>Категория качества</w:t>
            </w:r>
          </w:p>
        </w:tc>
        <w:tc>
          <w:tcPr>
            <w:tcW w:w="1522"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Обеспечение</w:t>
            </w:r>
          </w:p>
        </w:tc>
        <w:tc>
          <w:tcPr>
            <w:tcW w:w="2103"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Резерв на возможные потери, тыс. руб.</w:t>
            </w:r>
          </w:p>
        </w:tc>
      </w:tr>
      <w:tr>
        <w:trPr>
          <w:cantSplit/>
        </w:trPr>
        <w:tc>
          <w:tcPr>
            <w:tcW w:w="506" w:type="dxa"/>
            <w:tcBorders>
              <w:start w:val="single" w:sz="6" w:space="0" w:color="000000"/>
              <w:bottom w:val="single" w:sz="6" w:space="0" w:color="000000"/>
              <w:end w:val="single" w:sz="6" w:space="0" w:color="000000"/>
            </w:tcBorders>
          </w:tcPr>
          <w:p>
            <w:pPr>
              <w:pStyle w:val="MainText"/>
              <w:snapToGrid w:val="false"/>
              <w:ind w:hanging="0" w:end="0"/>
              <w:jc w:val="center"/>
              <w:rPr>
                <w:sz w:val="11"/>
              </w:rPr>
            </w:pPr>
            <w:r>
              <w:rPr>
                <w:rFonts w:cs="Arial"/>
                <w:sz w:val="11"/>
              </w:rPr>
            </w:r>
          </w:p>
        </w:tc>
        <w:tc>
          <w:tcPr>
            <w:tcW w:w="846" w:type="dxa"/>
            <w:tcBorders>
              <w:start w:val="single" w:sz="6" w:space="0" w:color="000000"/>
              <w:bottom w:val="single" w:sz="6" w:space="0" w:color="000000"/>
              <w:end w:val="single" w:sz="6" w:space="0" w:color="000000"/>
            </w:tcBorders>
          </w:tcPr>
          <w:p>
            <w:pPr>
              <w:pStyle w:val="MainText"/>
              <w:snapToGrid w:val="false"/>
              <w:ind w:hanging="0" w:end="0"/>
              <w:jc w:val="center"/>
              <w:rPr>
                <w:sz w:val="11"/>
              </w:rPr>
            </w:pPr>
            <w:r>
              <w:rPr>
                <w:sz w:val="11"/>
              </w:rPr>
            </w:r>
          </w:p>
        </w:tc>
        <w:tc>
          <w:tcPr>
            <w:tcW w:w="997"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регистрационный номер</w:t>
            </w:r>
          </w:p>
        </w:tc>
        <w:tc>
          <w:tcPr>
            <w:tcW w:w="851" w:type="dxa"/>
            <w:tcBorders>
              <w:start w:val="single" w:sz="6" w:space="0" w:color="000000"/>
              <w:bottom w:val="single" w:sz="6" w:space="0" w:color="000000"/>
              <w:end w:val="single" w:sz="6" w:space="0" w:color="000000"/>
            </w:tcBorders>
          </w:tcPr>
          <w:p>
            <w:pPr>
              <w:pStyle w:val="MainText"/>
              <w:snapToGrid w:val="false"/>
              <w:ind w:hanging="0" w:end="0"/>
              <w:jc w:val="center"/>
              <w:rPr>
                <w:sz w:val="11"/>
              </w:rPr>
            </w:pPr>
            <w:r>
              <w:rPr>
                <w:sz w:val="11"/>
              </w:rPr>
            </w:r>
          </w:p>
        </w:tc>
        <w:tc>
          <w:tcPr>
            <w:tcW w:w="852"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с кредитной организацией</w:t>
            </w:r>
          </w:p>
        </w:tc>
        <w:tc>
          <w:tcPr>
            <w:tcW w:w="429" w:type="dxa"/>
            <w:tcBorders>
              <w:start w:val="single" w:sz="6" w:space="0" w:color="000000"/>
              <w:bottom w:val="single" w:sz="6" w:space="0" w:color="000000"/>
              <w:end w:val="single" w:sz="6" w:space="0" w:color="000000"/>
            </w:tcBorders>
          </w:tcPr>
          <w:p>
            <w:pPr>
              <w:pStyle w:val="MainText"/>
              <w:snapToGrid w:val="false"/>
              <w:ind w:hanging="0" w:end="0"/>
              <w:jc w:val="center"/>
              <w:rPr>
                <w:sz w:val="11"/>
              </w:rPr>
            </w:pPr>
            <w:r>
              <w:rPr>
                <w:sz w:val="11"/>
              </w:rPr>
            </w:r>
          </w:p>
        </w:tc>
        <w:tc>
          <w:tcPr>
            <w:tcW w:w="859" w:type="dxa"/>
            <w:tcBorders>
              <w:start w:val="single" w:sz="6" w:space="0" w:color="000000"/>
              <w:bottom w:val="single" w:sz="6" w:space="0" w:color="000000"/>
              <w:end w:val="single" w:sz="6" w:space="0" w:color="000000"/>
            </w:tcBorders>
          </w:tcPr>
          <w:p>
            <w:pPr>
              <w:pStyle w:val="MainText"/>
              <w:snapToGrid w:val="false"/>
              <w:ind w:hanging="0" w:end="0"/>
              <w:jc w:val="center"/>
              <w:rPr>
                <w:sz w:val="11"/>
              </w:rPr>
            </w:pPr>
            <w:r>
              <w:rPr>
                <w:sz w:val="11"/>
              </w:rPr>
            </w:r>
          </w:p>
        </w:tc>
        <w:tc>
          <w:tcPr>
            <w:tcW w:w="713"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ссуды, тыс. руб.</w:t>
            </w:r>
          </w:p>
        </w:tc>
        <w:tc>
          <w:tcPr>
            <w:tcW w:w="570"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ссуды</w:t>
            </w:r>
          </w:p>
        </w:tc>
        <w:tc>
          <w:tcPr>
            <w:tcW w:w="706"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процентов годовых</w:t>
            </w:r>
          </w:p>
        </w:tc>
        <w:tc>
          <w:tcPr>
            <w:tcW w:w="636"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ссуды</w:t>
            </w:r>
          </w:p>
        </w:tc>
        <w:tc>
          <w:tcPr>
            <w:tcW w:w="6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по первона-чальному договору</w:t>
            </w:r>
          </w:p>
        </w:tc>
        <w:tc>
          <w:tcPr>
            <w:tcW w:w="6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с учетом изменений в договоре</w:t>
            </w:r>
          </w:p>
        </w:tc>
        <w:tc>
          <w:tcPr>
            <w:tcW w:w="923"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задолженности, тыс. руб.</w:t>
            </w:r>
          </w:p>
        </w:tc>
        <w:tc>
          <w:tcPr>
            <w:tcW w:w="850"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задолженности по основному долгу, в днях</w:t>
            </w:r>
          </w:p>
        </w:tc>
        <w:tc>
          <w:tcPr>
            <w:tcW w:w="2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вид</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количество, единиц</w:t>
            </w:r>
          </w:p>
        </w:tc>
        <w:tc>
          <w:tcPr>
            <w:tcW w:w="604" w:type="dxa"/>
            <w:tcBorders>
              <w:start w:val="single" w:sz="6" w:space="0" w:color="000000"/>
              <w:bottom w:val="single" w:sz="6" w:space="0" w:color="000000"/>
              <w:end w:val="single" w:sz="6" w:space="0" w:color="000000"/>
            </w:tcBorders>
          </w:tcPr>
          <w:p>
            <w:pPr>
              <w:pStyle w:val="MainText"/>
              <w:ind w:hanging="0" w:end="0"/>
              <w:jc w:val="center"/>
              <w:rPr>
                <w:sz w:val="11"/>
              </w:rPr>
            </w:pPr>
            <w:r>
              <w:rPr>
                <w:sz w:val="11"/>
              </w:rPr>
              <w:t>ссуды</w:t>
            </w:r>
          </w:p>
        </w:tc>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стоимость, тыс. руб.</w:t>
            </w:r>
          </w:p>
        </w:tc>
        <w:tc>
          <w:tcPr>
            <w:tcW w:w="5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категория</w:t>
            </w:r>
          </w:p>
        </w:tc>
        <w:tc>
          <w:tcPr>
            <w:tcW w:w="2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вид</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расчетный</w:t>
            </w:r>
          </w:p>
        </w:tc>
        <w:tc>
          <w:tcPr>
            <w:tcW w:w="69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расчетный с учетом обеспе-чения</w:t>
            </w:r>
          </w:p>
        </w:tc>
        <w:tc>
          <w:tcPr>
            <w:tcW w:w="69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1"/>
              </w:rPr>
            </w:pPr>
            <w:r>
              <w:rPr>
                <w:sz w:val="11"/>
              </w:rPr>
              <w:t>фактически сформи-рованный</w:t>
            </w:r>
          </w:p>
        </w:tc>
      </w:tr>
      <w:tr>
        <w:trPr>
          <w:cantSplit/>
        </w:trPr>
        <w:tc>
          <w:tcPr>
            <w:tcW w:w="5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8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99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4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8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71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7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6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6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6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92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85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2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60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5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2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69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69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r>
      <w:tr>
        <w:trPr>
          <w:cantSplit/>
        </w:trPr>
        <w:tc>
          <w:tcPr>
            <w:tcW w:w="5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8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8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8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0409117 “Данные о крупных ссудах”</w:t>
      </w:r>
    </w:p>
    <w:p>
      <w:pPr>
        <w:pStyle w:val="MainText"/>
        <w:rPr/>
      </w:pPr>
      <w:r>
        <w:rPr/>
        <w:t>1. Отчетность по форме 0409117 “Данные о крупных ссудах” (далее — Отчет) включает информацию о 30 наиболее крупных ссудах, предоставленных отчитывающейся кредитной организацией заемщикам — юридическим лицам, не являющимся кредитными организациями, в том числе индивидуальным предпринимателям.</w:t>
      </w:r>
    </w:p>
    <w:p>
      <w:pPr>
        <w:pStyle w:val="MainText"/>
        <w:rPr/>
      </w:pPr>
      <w:r>
        <w:rPr/>
        <w:t>Ссудами признаются денежные требования и требования, вытекающие из сделок с финансовыми инструментами, перечень которых приведен в приложении 1 к Положению Банка России от 26 марта 2004 года №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зарегистрированному Министерством юстиции Российской Федерации 26 апреля 2004 года № 5774, 20 апреля 2006 года № 7728, 27 декабря 2006 года № 8676, 10 декабря 2007 года № 10660, 23 января 2008 года № 10968, 22 мая 2008 года № 11730, 22 мая 2008 года № 11724, 30 июня 2008 года № 11903, 29 января 2009 года № 13219, 20 февраля 2009 года № 13414 (“Вестник Банка России” от 7 мая 2004 года № 28, от 4 мая 2006 года № 26, от 15 января 2007 года № 1, от 17 декабря 2007 года № 69, от 31 января 2008 года № 4, от 28 мая 2008 года № 25, от 4 июня 2008 года № 28, от 9 июля 2008 года № 36, от 4 февраля 2009 года № 7, от 4 марта 2009 года № 15 (далее — Положение Банка России № 254-П).</w:t>
      </w:r>
    </w:p>
    <w:p>
      <w:pPr>
        <w:pStyle w:val="MainText"/>
        <w:rPr/>
      </w:pPr>
      <w:r>
        <w:rPr/>
        <w:t>В Отчет не включаются ссуды, сгруппированные в портфели однородных ссуд в соответствии с главой 5 Положения Банка России № 254-П.</w:t>
      </w:r>
    </w:p>
    <w:p>
      <w:pPr>
        <w:pStyle w:val="MainText"/>
        <w:rPr/>
      </w:pPr>
      <w:r>
        <w:rPr/>
        <w:t>2. Информация в Отчете приводится в порядке убывания размеров ссуд (совокупной величины ссуд, предоставленных траншами в рамках кредитной линии и не погашенных на дату составления Отчета).</w:t>
      </w:r>
    </w:p>
    <w:p>
      <w:pPr>
        <w:pStyle w:val="MainText"/>
        <w:rPr/>
      </w:pPr>
      <w:r>
        <w:rPr/>
        <w:t>Для ссуд, предоставленных траншами в рамках кредитной линии, помимо совокупной информации, которая в графе 1 Отчета отражается с порядковым номером Х, в Отчете приводятся сведения о 5 наиболее крупных траншах (в порядке убывания их размеров). Ссуды, предоставленные траншами в рамках кредитной линии, отражаются в графе 1 Отчета с порядковыми номерами Х.1, Х.2, ... Х.5.</w:t>
      </w:r>
    </w:p>
    <w:p>
      <w:pPr>
        <w:pStyle w:val="MainText"/>
        <w:rPr/>
      </w:pPr>
      <w:r>
        <w:rPr/>
        <w:t>3. В графе 2 Отчета указывается полное наименование заемщика:</w:t>
      </w:r>
    </w:p>
    <w:p>
      <w:pPr>
        <w:pStyle w:val="MainText"/>
        <w:rPr/>
      </w:pPr>
      <w:r>
        <w:rPr/>
        <w:t>юридического лица — резидента — в соответствии с записью в Едином государственном реестре юридических лиц о его регистрации;</w:t>
      </w:r>
    </w:p>
    <w:p>
      <w:pPr>
        <w:pStyle w:val="MainText"/>
        <w:rPr/>
      </w:pPr>
      <w:r>
        <w:rPr/>
        <w:t>юридического лица — нерезидента — в соответствии с наименованием, приведенным в учредительных документах;</w:t>
      </w:r>
    </w:p>
    <w:p>
      <w:pPr>
        <w:pStyle w:val="MainText"/>
        <w:rPr/>
      </w:pPr>
      <w:r>
        <w:rPr/>
        <w:t>индивидуального предпринимателя — в соответствии с записью в Едином государственном реестре индивидуальных предпринимателей о его регистрации.</w:t>
      </w:r>
    </w:p>
    <w:p>
      <w:pPr>
        <w:pStyle w:val="MainText"/>
        <w:rPr/>
      </w:pPr>
      <w:r>
        <w:rPr/>
        <w:t>Для ссуд, предоставленных траншами в рамках кредитной линии, в графе 2 Отчета помимо наименования заемщика указываются слова “(кредитная линия)”. По строкам с порядковыми номерами Х.1, Х.2, ... Х.5 графа 2 Отчета не заполняется.</w:t>
      </w:r>
    </w:p>
    <w:p>
      <w:pPr>
        <w:pStyle w:val="MainText"/>
        <w:rPr/>
      </w:pPr>
      <w:r>
        <w:rPr/>
        <w:t>Графы 3 — 7 Отчета по строкам с порядковыми номерами Х.1, Х.2, ... Х.5 также не заполняются. Графы 10, 16—18, 20—24 Отчета по указанным строкам также не заполняются в случаях, если информация по ним совпадает с данными по строке в целом по кредитной линии.</w:t>
      </w:r>
    </w:p>
    <w:p>
      <w:pPr>
        <w:pStyle w:val="MainText"/>
        <w:rPr/>
      </w:pPr>
      <w:r>
        <w:rPr/>
        <w:t>Для ссуд “овердрафт” в графе 2 Отчета помимо наименования заемщика указывается слово “(овердрафт)”.</w:t>
      </w:r>
    </w:p>
    <w:p>
      <w:pPr>
        <w:pStyle w:val="MainText"/>
        <w:rPr/>
      </w:pPr>
      <w:r>
        <w:rPr/>
        <w:t>4. В графе 3 Отчета по каждому заемщику указывается:</w:t>
      </w:r>
    </w:p>
    <w:p>
      <w:pPr>
        <w:pStyle w:val="MainText"/>
        <w:rPr/>
      </w:pPr>
      <w:r>
        <w:rPr/>
        <w:t>для юридического лица — резидента — основной государственный регистрационный номер (ОГРН);</w:t>
      </w:r>
    </w:p>
    <w:p>
      <w:pPr>
        <w:pStyle w:val="MainText"/>
        <w:rPr/>
      </w:pPr>
      <w:r>
        <w:rPr/>
        <w:t>для индивидуального предпринимателя — основной государственный регистрационный номер индивидуального предпринимателя (ОГРНИП);</w:t>
      </w:r>
    </w:p>
    <w:p>
      <w:pPr>
        <w:pStyle w:val="MainText"/>
        <w:rPr/>
      </w:pPr>
      <w:r>
        <w:rPr/>
        <w:t>для юридического лица — нерезидента — условное обозначение — НР.</w:t>
      </w:r>
    </w:p>
    <w:p>
      <w:pPr>
        <w:pStyle w:val="MainText"/>
        <w:rPr/>
      </w:pPr>
      <w:r>
        <w:rPr/>
        <w:t>5. В графе 4 Отчета указываются основные виды экономической деятельности заемщика в соответствии с классами, определенными по Общероссийскому классификатору видов экономической деятельности (ОКВЭД) (в количестве не более 5 видов). По заемщикам-нерезидентам графа 4 Отчета заполняется с использованием кодов классов ОКВЭД, соответствующих (или приближенных по содержанию) основным видам деятельности заемщика-нерезидента, указанным в его учредительных документах.</w:t>
      </w:r>
    </w:p>
    <w:p>
      <w:pPr>
        <w:pStyle w:val="MainText"/>
        <w:rPr/>
      </w:pPr>
      <w:r>
        <w:rPr/>
        <w:t>Если заемщиками являются федеральные органы государственной власти и органы государственной власти субъектов Российской Федерации, графа 4 Отчета не заполняется.</w:t>
      </w:r>
    </w:p>
    <w:p>
      <w:pPr>
        <w:pStyle w:val="MainText"/>
        <w:rPr/>
      </w:pPr>
      <w:r>
        <w:rPr/>
        <w:t>6. В графе 5 Отчета указывается характер отношений заемщика с кредитной организацией с использованием следующих кодов:</w:t>
      </w:r>
    </w:p>
    <w:p>
      <w:pPr>
        <w:pStyle w:val="MainText"/>
        <w:rPr/>
      </w:pPr>
      <w:r>
        <w:rPr/>
        <w:t>1 — головная организация;</w:t>
      </w:r>
    </w:p>
    <w:p>
      <w:pPr>
        <w:pStyle w:val="MainText"/>
        <w:rPr/>
      </w:pPr>
      <w:r>
        <w:rPr/>
        <w:t>2 — дочернее хозяйственное общество;</w:t>
      </w:r>
    </w:p>
    <w:p>
      <w:pPr>
        <w:pStyle w:val="MainText"/>
        <w:rPr/>
      </w:pPr>
      <w:r>
        <w:rPr/>
        <w:t>3 — зависимое хозяйственное общество;</w:t>
      </w:r>
    </w:p>
    <w:p>
      <w:pPr>
        <w:pStyle w:val="MainText"/>
        <w:rPr/>
      </w:pPr>
      <w:r>
        <w:rPr/>
        <w:t>4 — акционеры (участники) — юридические лица, которые имеют право распоряжаться более чем 20 процентами общего количества голосов, приходящихся на голосующие акции, либо вкладов, долей составляющих уставный или складочный капитал кредитной организации;</w:t>
      </w:r>
    </w:p>
    <w:p>
      <w:pPr>
        <w:pStyle w:val="MainText"/>
        <w:rPr/>
      </w:pPr>
      <w:r>
        <w:rPr/>
        <w:t>5 — иные лица, на деятельность которых оказывает существенное влияние кредитная организация, и (или) лица, которые оказывают существенное влияние на деятельность кредитной организации;</w:t>
      </w:r>
    </w:p>
    <w:p>
      <w:pPr>
        <w:pStyle w:val="MainText"/>
        <w:rPr/>
      </w:pPr>
      <w:r>
        <w:rPr/>
        <w:t>6 — прочие заемщики.</w:t>
      </w:r>
    </w:p>
    <w:p>
      <w:pPr>
        <w:pStyle w:val="MainText"/>
        <w:rPr/>
      </w:pPr>
      <w:r>
        <w:rPr/>
        <w:t>В случае если прочие заемщики (код 6) являются по отношению друг к другу связанными либо связанными с другими указанными в Отчете заемщиками, для отражения их связей между собой после кода 6 в скобках указывается номер соответствующего связанного заемщика, присвоенный ему в графе 1 Отчета. Если таких связей несколько, информация о них располагается по графе 5 Отчета в столбец.</w:t>
      </w:r>
    </w:p>
    <w:p>
      <w:pPr>
        <w:pStyle w:val="MainText"/>
        <w:rPr/>
      </w:pPr>
      <w:r>
        <w:rPr/>
        <w:t>7. В графе 6 Отчета указывается вид ссуды с использованием следующих кодов:</w:t>
      </w:r>
    </w:p>
    <w:p>
      <w:pPr>
        <w:pStyle w:val="MainText"/>
        <w:rPr/>
      </w:pPr>
      <w:r>
        <w:rPr/>
        <w:t>1 — кредиты (займы), размещенные депозиты, прочие размещенные средства (включая требования на получение (возврат) долговых ценных бумаг, акций, векселей, драгоценных металлов, предоставленных по договору займа);</w:t>
      </w:r>
    </w:p>
    <w:p>
      <w:pPr>
        <w:pStyle w:val="MainText"/>
        <w:rPr/>
      </w:pPr>
      <w:r>
        <w:rPr/>
        <w:t>2 — учтенные векселя;</w:t>
      </w:r>
    </w:p>
    <w:p>
      <w:pPr>
        <w:pStyle w:val="MainText"/>
        <w:rPr/>
      </w:pPr>
      <w:r>
        <w:rPr/>
        <w:t>3 — суммы, уплаченные кредитной организацией бенефициару по банковским гарантиям, но не взысканные с принципала;</w:t>
      </w:r>
    </w:p>
    <w:p>
      <w:pPr>
        <w:pStyle w:val="MainText"/>
        <w:rPr/>
      </w:pPr>
      <w:r>
        <w:rPr/>
        <w:t>4 — денежные требования кредитной организации по сделкам финансирования под уступку денежного требования (факторинг);</w:t>
      </w:r>
    </w:p>
    <w:p>
      <w:pPr>
        <w:pStyle w:val="MainText"/>
        <w:rPr/>
      </w:pPr>
      <w:r>
        <w:rPr/>
        <w:t>5 — требования кредитной организации по приобретенным по сделке правам (требованиям) (уступка требования);</w:t>
      </w:r>
    </w:p>
    <w:p>
      <w:pPr>
        <w:pStyle w:val="MainText"/>
        <w:rPr/>
      </w:pPr>
      <w:r>
        <w:rPr/>
        <w:t>6 — требования кредитной организации по приобретенным на вторичном рынке закладным;</w:t>
      </w:r>
    </w:p>
    <w:p>
      <w:pPr>
        <w:pStyle w:val="MainText"/>
        <w:rPr/>
      </w:pPr>
      <w:r>
        <w:rPr/>
        <w:t>7 — требования кредитной организации по сделкам, связанным с отчуждением (приобретением) кредитной организацией финансовых активов с одновременным предоставлением контрагенту права отсрочки платежа (поставки финансовых активов);</w:t>
      </w:r>
    </w:p>
    <w:p>
      <w:pPr>
        <w:pStyle w:val="MainText"/>
        <w:rPr/>
      </w:pPr>
      <w:r>
        <w:rPr/>
        <w:t>8 — требования кредитной организации к плательщикам по оплаченным аккредитивам (в части непокрытых экспортных и импортных аккредитивов);</w:t>
      </w:r>
    </w:p>
    <w:p>
      <w:pPr>
        <w:pStyle w:val="MainText"/>
        <w:rPr/>
      </w:pPr>
      <w:r>
        <w:rPr/>
        <w:t>9 — требования кредитной организации — лизингодателя к лизингополучателю по операциям финансовой аренды (лизинга);</w:t>
      </w:r>
    </w:p>
    <w:p>
      <w:pPr>
        <w:pStyle w:val="MainText"/>
        <w:rPr/>
      </w:pPr>
      <w:r>
        <w:rPr/>
        <w:t>10 — прочие требования.</w:t>
      </w:r>
    </w:p>
    <w:p>
      <w:pPr>
        <w:pStyle w:val="MainText"/>
        <w:rPr/>
      </w:pPr>
      <w:r>
        <w:rPr/>
        <w:t>8. В случае если данные графы 6 Отчета о видах ссуд позволяют определить цель кредитования (например: учтенные векселя, сделки РЕПО, лизинг, факторинг), а также в случае предоставления ссуд “овердрафт”, графа 7 Отчета не заполняется.</w:t>
      </w:r>
    </w:p>
    <w:p>
      <w:pPr>
        <w:pStyle w:val="MainText"/>
        <w:rPr/>
      </w:pPr>
      <w:r>
        <w:rPr/>
        <w:t>9. В графе 8 Отчета указывается балансовая стоимость ссуды без начисленных процентов. Учтенные векселя отражаются по цене приобретения, ссуды “овердрафт” — в размере остатка задолженности на дату составления Отчета.</w:t>
      </w:r>
    </w:p>
    <w:p>
      <w:pPr>
        <w:pStyle w:val="MainText"/>
        <w:rPr/>
      </w:pPr>
      <w:r>
        <w:rPr/>
        <w:t>10. В графе 9 Отчета указывается согласно Общероссийскому классификатору валют (ОКВ) цифровой код валюты, в которой предоставлена ссуда.</w:t>
      </w:r>
    </w:p>
    <w:p>
      <w:pPr>
        <w:pStyle w:val="MainText"/>
        <w:rPr/>
      </w:pPr>
      <w:r>
        <w:rPr/>
        <w:t>11. В графе 10 Отчета указывается годовая процентная ставка по ссуде, просроченной ссуде и годовая процентная ставка по просроченной части ссуды (при наличии таковой), исходя из действующего на дату составления Отчета договора, дополнения к договору. В случае если в договоре процентная ставка определена не в годовом исчислении, в целях заполнения Отчета ее следует пересчитать в годовое исчисление. Если процентная ставка в договоре прямо не определена или если помимо уплаты процентной ставки предусматривается также уплата заемщиком других выплат и вознаграждений по договору, процентная ставка определяется как совокупность всех предусмотренных договором выплат и вознаграждений по договору, пересчитанных в годовом исчислении. Процентная ставка по просроченной части ссуды указывается через символ “/”. Показатель процентной ставки отражается в графе с одним десятичным знаком после запятой.</w:t>
      </w:r>
    </w:p>
    <w:p>
      <w:pPr>
        <w:pStyle w:val="MainText"/>
        <w:rPr/>
      </w:pPr>
      <w:r>
        <w:rPr/>
        <w:t>12. При заполнении граф 11—13 Отчета используется следующий формат указания дат “дд.мм.гггг”, где “дд” — день, “мм” — месяц, “гггг” — год.</w:t>
      </w:r>
    </w:p>
    <w:p>
      <w:pPr>
        <w:pStyle w:val="MainText"/>
        <w:rPr/>
      </w:pPr>
      <w:r>
        <w:rPr/>
        <w:t>Для ссуд “овердрафт” графы 11—13 Отчета не заполняются.</w:t>
      </w:r>
    </w:p>
    <w:p>
      <w:pPr>
        <w:pStyle w:val="MainText"/>
        <w:rPr/>
      </w:pPr>
      <w:r>
        <w:rPr/>
        <w:t>В графе 12 Отчета указывается срок погашения ссуды согласно первоначальному договору, в графе 13 Отчета — с учетом последних внесенных в договор изменений.</w:t>
      </w:r>
    </w:p>
    <w:p>
      <w:pPr>
        <w:pStyle w:val="MainText"/>
        <w:rPr/>
      </w:pPr>
      <w:r>
        <w:rPr/>
        <w:t>При этом в графе 12 Отчета для учтенных векселей со сроком погашения по предъявлении вместо даты погашения указывается условный код “ПП”; по учтенным векселям со сроком погашения в определенное время от предъявления указывается условный код “ВП”; по учтенным векселям со сроком погашения по предъявлении, но не ранее указывается условный код “ПР” (с указанием в скобках даты наступления минимального срока для предъявления векселя к платежу).</w:t>
      </w:r>
    </w:p>
    <w:p>
      <w:pPr>
        <w:pStyle w:val="MainText"/>
        <w:rPr/>
      </w:pPr>
      <w:r>
        <w:rPr/>
        <w:t>По учтенным векселям графа 13 Отчета не заполняется.</w:t>
      </w:r>
    </w:p>
    <w:p>
      <w:pPr>
        <w:pStyle w:val="MainText"/>
        <w:rPr/>
      </w:pPr>
      <w:r>
        <w:rPr/>
        <w:t>13. В графе 14 Отчета отражается объем на отчетную дату просроченной задолженности по основному долгу.</w:t>
      </w:r>
    </w:p>
    <w:p>
      <w:pPr>
        <w:pStyle w:val="MainText"/>
        <w:rPr/>
      </w:pPr>
      <w:r>
        <w:rPr/>
        <w:t>14. В графе 15 Отчета указывается длительность в днях просроченной задолженности по основному долгу. В случае наличия по основному долгу задолженности различной длительности просрочки в графе 15 Отчета отражению подлежит максимальная длительность задержки платежей.</w:t>
      </w:r>
    </w:p>
    <w:p>
      <w:pPr>
        <w:pStyle w:val="MainText"/>
        <w:rPr/>
      </w:pPr>
      <w:r>
        <w:rPr/>
        <w:t>Если в течение отчетного периода задолженность была просрочена, но на дату составления Отчета погашена, графа 15 Отчета не заполняется.</w:t>
      </w:r>
    </w:p>
    <w:p>
      <w:pPr>
        <w:pStyle w:val="MainText"/>
        <w:rPr/>
      </w:pPr>
      <w:r>
        <w:rPr/>
        <w:t>15. В графе 16 Отчета указывается вид реструктуризации ссуды в соответствии с нижеприведенной классификацией:</w:t>
      </w:r>
    </w:p>
    <w:p>
      <w:pPr>
        <w:pStyle w:val="MainText"/>
        <w:rPr/>
      </w:pPr>
      <w:r>
        <w:rPr/>
        <w:t>1 — увеличение срока возврата основного долга;</w:t>
      </w:r>
    </w:p>
    <w:p>
      <w:pPr>
        <w:pStyle w:val="MainText"/>
        <w:rPr/>
      </w:pPr>
      <w:r>
        <w:rPr/>
        <w:t>2 — снижение процентной ставки;</w:t>
      </w:r>
    </w:p>
    <w:p>
      <w:pPr>
        <w:pStyle w:val="MainText"/>
        <w:rPr/>
      </w:pPr>
      <w:r>
        <w:rPr/>
        <w:t>3 — увеличение суммы основного долга;</w:t>
      </w:r>
    </w:p>
    <w:p>
      <w:pPr>
        <w:pStyle w:val="MainText"/>
        <w:rPr/>
      </w:pPr>
      <w:r>
        <w:rPr/>
        <w:t>4 — изменение графика уплаты процентов по ссуде;</w:t>
      </w:r>
    </w:p>
    <w:p>
      <w:pPr>
        <w:pStyle w:val="MainText"/>
        <w:rPr/>
      </w:pPr>
      <w:r>
        <w:rPr/>
        <w:t>5 — изменение порядка расчета процентной ставки;</w:t>
      </w:r>
    </w:p>
    <w:p>
      <w:pPr>
        <w:pStyle w:val="MainText"/>
        <w:rPr/>
      </w:pPr>
      <w:r>
        <w:rPr/>
        <w:t>6 — другое.</w:t>
      </w:r>
    </w:p>
    <w:p>
      <w:pPr>
        <w:pStyle w:val="MainText"/>
        <w:rPr/>
      </w:pPr>
      <w:r>
        <w:rPr/>
        <w:t>Если с даты выдачи ссуды кредитная организация использовала несколько видов реструктуризации ссуды, информация о них располагается в графе 16 Отчета в столбец. В случае если несколько видов реструктуризации были осуществлены по одному дополнительному соглашению, информация о видах реструктуризации приводится в графе 16 в одну строку через запятую.</w:t>
      </w:r>
    </w:p>
    <w:p>
      <w:pPr>
        <w:pStyle w:val="MainText"/>
        <w:rPr/>
      </w:pPr>
      <w:r>
        <w:rPr/>
        <w:t>16. В графе 17 Отчета количество реструктуризаций по кредитному договору определяется исходя из количества дополнительных соглашений к кредитному договору, затрагивающих вопросы реструктуризации.</w:t>
      </w:r>
    </w:p>
    <w:p>
      <w:pPr>
        <w:pStyle w:val="MainText"/>
        <w:rPr/>
      </w:pPr>
      <w:r>
        <w:rPr/>
        <w:t>17. В графах 19—21 Отчета указывается, соответственно, справедливая стоимость обеспечения, принимаемая в уменьшение резерва на возможные потери по ссудам, категория его качества в соответствии с главой 6 Положения Банка России № 254-П, а также вид обеспечения в соответствии с нижеприведенной классификацией по категориям качества обеспечения:</w:t>
      </w:r>
    </w:p>
    <w:p>
      <w:pPr>
        <w:pStyle w:val="MainText"/>
        <w:rPr/>
      </w:pPr>
      <w:r>
        <w:rPr/>
        <w:t>1 — I категория качества:</w:t>
      </w:r>
    </w:p>
    <w:p>
      <w:pPr>
        <w:pStyle w:val="MainText"/>
        <w:rPr/>
      </w:pPr>
      <w:r>
        <w:rPr/>
        <w:t>1.1 — залог котируемых ценных бумаг иных государств;</w:t>
      </w:r>
    </w:p>
    <w:p>
      <w:pPr>
        <w:pStyle w:val="MainText"/>
        <w:rPr/>
      </w:pPr>
      <w:r>
        <w:rPr/>
        <w:t>1.2 — залог ценных бумаг центральных банков иных государств;</w:t>
      </w:r>
    </w:p>
    <w:p>
      <w:pPr>
        <w:pStyle w:val="MainText"/>
        <w:rPr/>
      </w:pPr>
      <w:r>
        <w:rPr/>
        <w:t>1.3 — залог облигаций Банка России;</w:t>
      </w:r>
    </w:p>
    <w:p>
      <w:pPr>
        <w:pStyle w:val="MainText"/>
        <w:rPr/>
      </w:pPr>
      <w:r>
        <w:rPr/>
        <w:t>1.4 — залог ценных бумаг, эмитированных Минфином России;</w:t>
      </w:r>
    </w:p>
    <w:p>
      <w:pPr>
        <w:pStyle w:val="MainText"/>
        <w:rPr/>
      </w:pPr>
      <w:r>
        <w:rPr/>
        <w:t>1.5 — залог векселей Минфина России;</w:t>
      </w:r>
    </w:p>
    <w:p>
      <w:pPr>
        <w:pStyle w:val="MainText"/>
        <w:rPr/>
      </w:pPr>
      <w:r>
        <w:rPr/>
        <w:t>1.6 — залог котируемых ценных бумаг, эмитированных юридическими лицами;</w:t>
      </w:r>
    </w:p>
    <w:p>
      <w:pPr>
        <w:pStyle w:val="MainText"/>
        <w:rPr/>
      </w:pPr>
      <w:r>
        <w:rPr/>
        <w:t>1.7 — залог собственных долговых ценных бумаг;</w:t>
      </w:r>
    </w:p>
    <w:p>
      <w:pPr>
        <w:pStyle w:val="MainText"/>
        <w:rPr/>
      </w:pPr>
      <w:r>
        <w:rPr/>
        <w:t>1.8 — залог собственных долговых ценных бумаг в закладе;</w:t>
      </w:r>
    </w:p>
    <w:p>
      <w:pPr>
        <w:pStyle w:val="MainText"/>
        <w:rPr/>
      </w:pPr>
      <w:r>
        <w:rPr/>
        <w:t>1.9 — залог векселей, авалированных и (или) акцептованных Российской Федерацией, Банком России;</w:t>
      </w:r>
    </w:p>
    <w:p>
      <w:pPr>
        <w:pStyle w:val="MainText"/>
        <w:rPr/>
      </w:pPr>
      <w:r>
        <w:rPr/>
        <w:t>1.10 — залог векселей, авалированных и (или) акцептованных правительствами иных стран, центральными банками развитых стран;</w:t>
      </w:r>
    </w:p>
    <w:p>
      <w:pPr>
        <w:pStyle w:val="MainText"/>
        <w:rPr/>
      </w:pPr>
      <w:r>
        <w:rPr/>
        <w:t>1.11 — залог аффинированных драгоценных металлов в слитках;</w:t>
      </w:r>
    </w:p>
    <w:p>
      <w:pPr>
        <w:pStyle w:val="MainText"/>
        <w:rPr/>
      </w:pPr>
      <w:r>
        <w:rPr/>
        <w:t>1.12 — залог ценных бумаг, эмитированных субъектами Российской Федерации;</w:t>
      </w:r>
    </w:p>
    <w:p>
      <w:pPr>
        <w:pStyle w:val="MainText"/>
        <w:rPr/>
      </w:pPr>
      <w:r>
        <w:rPr/>
        <w:t>1.13 — гарантийный депозит (вклад);</w:t>
      </w:r>
    </w:p>
    <w:p>
      <w:pPr>
        <w:pStyle w:val="MainText"/>
        <w:rPr/>
      </w:pPr>
      <w:r>
        <w:rPr/>
        <w:t>1.14 — гарантия Российской Федерации;</w:t>
      </w:r>
    </w:p>
    <w:p>
      <w:pPr>
        <w:pStyle w:val="MainText"/>
        <w:rPr/>
      </w:pPr>
      <w:r>
        <w:rPr/>
        <w:t>1.15 — поручительства (гарантии) правительств развитых стран;</w:t>
      </w:r>
    </w:p>
    <w:p>
      <w:pPr>
        <w:pStyle w:val="MainText"/>
        <w:rPr/>
      </w:pPr>
      <w:r>
        <w:rPr/>
        <w:t>1.16 — банковские гарантии центральных банков развитых стран;</w:t>
      </w:r>
    </w:p>
    <w:p>
      <w:pPr>
        <w:pStyle w:val="MainText"/>
        <w:rPr/>
      </w:pPr>
      <w:r>
        <w:rPr/>
        <w:t>1.17 — поручительства (гарантии) юридических лиц;</w:t>
      </w:r>
    </w:p>
    <w:p>
      <w:pPr>
        <w:pStyle w:val="MainText"/>
        <w:rPr/>
      </w:pPr>
      <w:r>
        <w:rPr/>
        <w:t>1.18 — поручительства (гарантии) субъектов Российской Федерации.</w:t>
      </w:r>
    </w:p>
    <w:p>
      <w:pPr>
        <w:pStyle w:val="MainText"/>
        <w:rPr/>
      </w:pPr>
      <w:r>
        <w:rPr/>
        <w:t>2 — II категория качества:</w:t>
      </w:r>
    </w:p>
    <w:p>
      <w:pPr>
        <w:pStyle w:val="MainText"/>
        <w:rPr/>
      </w:pPr>
      <w:r>
        <w:rPr/>
        <w:t>2.1 — залог ценных бумаг, эмитированных (выпущенных) юридическими лицами;</w:t>
      </w:r>
    </w:p>
    <w:p>
      <w:pPr>
        <w:pStyle w:val="MainText"/>
        <w:rPr/>
      </w:pPr>
      <w:r>
        <w:rPr/>
        <w:t>2.2 — залог паев паевых инвестиционных фондов;</w:t>
      </w:r>
    </w:p>
    <w:p>
      <w:pPr>
        <w:pStyle w:val="MainText"/>
        <w:rPr/>
      </w:pPr>
      <w:r>
        <w:rPr/>
        <w:t>2.3 — залог ценных бумаг, эмитированных субъектами Российской Федерации;</w:t>
      </w:r>
    </w:p>
    <w:p>
      <w:pPr>
        <w:pStyle w:val="MainText"/>
        <w:rPr/>
      </w:pPr>
      <w:r>
        <w:rPr/>
        <w:t>2.4 — залог ценных бумаг кредитных организаций Российской Федерации;</w:t>
      </w:r>
    </w:p>
    <w:p>
      <w:pPr>
        <w:pStyle w:val="MainText"/>
        <w:rPr/>
      </w:pPr>
      <w:r>
        <w:rPr/>
        <w:t>2.5 — залог ценных бумаг банков развитых стран;</w:t>
      </w:r>
    </w:p>
    <w:p>
      <w:pPr>
        <w:pStyle w:val="MainText"/>
        <w:rPr/>
      </w:pPr>
      <w:r>
        <w:rPr/>
        <w:t>2.6 — залог векселей, авалированных и (или) акцептованных юридическими лицами;</w:t>
      </w:r>
    </w:p>
    <w:p>
      <w:pPr>
        <w:pStyle w:val="MainText"/>
        <w:rPr/>
      </w:pPr>
      <w:r>
        <w:rPr/>
        <w:t>2.7 — залог ликвидных вещей (в скобках указывается наименование залога);</w:t>
      </w:r>
    </w:p>
    <w:p>
      <w:pPr>
        <w:pStyle w:val="MainText"/>
        <w:rPr/>
      </w:pPr>
      <w:r>
        <w:rPr/>
        <w:t>2.8 — залог ликвидных имущественных прав (требований) на недвижимое имущество;</w:t>
      </w:r>
    </w:p>
    <w:p>
      <w:pPr>
        <w:pStyle w:val="MainText"/>
        <w:rPr/>
      </w:pPr>
      <w:r>
        <w:rPr/>
        <w:t>2.9 — банковские гарантии и поручительства (авали и (или) акцепты) кредитных организаций Российской Федерации;</w:t>
      </w:r>
    </w:p>
    <w:p>
      <w:pPr>
        <w:pStyle w:val="MainText"/>
        <w:rPr/>
      </w:pPr>
      <w:r>
        <w:rPr/>
        <w:t>2.10 — банковские гарантии и поручительства (авали и (или) акцепты) банков развитых стран;</w:t>
      </w:r>
    </w:p>
    <w:p>
      <w:pPr>
        <w:pStyle w:val="MainText"/>
        <w:rPr/>
      </w:pPr>
      <w:r>
        <w:rPr/>
        <w:t>2.11 — гарантии и поручительства (авали и (или) акцепты) юридических лиц;</w:t>
      </w:r>
    </w:p>
    <w:p>
      <w:pPr>
        <w:pStyle w:val="MainText"/>
        <w:rPr/>
      </w:pPr>
      <w:r>
        <w:rPr/>
        <w:t>2.12 — поручительства (гарантии) субъектов Российской Федерации;</w:t>
      </w:r>
    </w:p>
    <w:p>
      <w:pPr>
        <w:pStyle w:val="MainText"/>
        <w:rPr/>
      </w:pPr>
      <w:r>
        <w:rPr/>
        <w:t>2.13 — поручительства фондов.</w:t>
      </w:r>
    </w:p>
    <w:p>
      <w:pPr>
        <w:pStyle w:val="MainText"/>
        <w:rPr/>
      </w:pPr>
      <w:r>
        <w:rPr/>
        <w:t>Если кредитная организация использовала по ссуде несколько видов обеспечения, то информация о стоимости и категории качества каждого вида обеспечения располагается в столбец.</w:t>
      </w:r>
    </w:p>
    <w:p>
      <w:pPr>
        <w:pStyle w:val="MainText"/>
        <w:rPr/>
      </w:pPr>
      <w:r>
        <w:rPr/>
        <w:t>В случае если одно обеспечение принято по нескольким договорам, в графах 19—21 Отчета отражается та его часть, которая обеспечивает обязательства по соответствующему договору.</w:t>
      </w:r>
    </w:p>
    <w:p>
      <w:pPr>
        <w:pStyle w:val="MainText"/>
        <w:rPr/>
      </w:pPr>
      <w:r>
        <w:rPr/>
        <w:t>При приведении в Отчете информации о ссудах, предоставленных траншами в рамках кредитной линии, в графе 19 Отчета указывается стоимость обеспечения в величине, пропорциональной размеру транша, исходя из его фактического объема, если иное не установлено дополнительным соглашением к основному договору и (или) внутренней учетной политикой кредитной организации.</w:t>
      </w:r>
    </w:p>
    <w:p>
      <w:pPr>
        <w:pStyle w:val="MainText"/>
        <w:rPr/>
      </w:pPr>
      <w:r>
        <w:rPr/>
        <w:t>18. Графы 22—24 Отчета заполняются в соответствии с главами 6 и 7 Положения Банка России № 254-П.</w:t>
      </w:r>
    </w:p>
    <w:p>
      <w:pPr>
        <w:pStyle w:val="MainText"/>
        <w:rPr/>
      </w:pPr>
      <w:r>
        <w:rPr/>
        <w:t>19. Отчет составляется в целом по кредитной организации:</w:t>
      </w:r>
    </w:p>
    <w:p>
      <w:pPr>
        <w:pStyle w:val="MainText"/>
        <w:rPr/>
      </w:pPr>
      <w:r>
        <w:rPr/>
        <w:t>кредитными организациями (за исключением небанковских кредитных организаций) — по состоянию на 1-е число месяца, следующего за отчетным месяцем;</w:t>
      </w:r>
    </w:p>
    <w:p>
      <w:pPr>
        <w:pStyle w:val="MainText"/>
        <w:rPr/>
      </w:pPr>
      <w:r>
        <w:rPr/>
        <w:t>небанковскими кредитными организациями — по состоянию на 1-е число месяца, следующего за отчетным кварталом.</w:t>
      </w:r>
    </w:p>
    <w:p>
      <w:pPr>
        <w:pStyle w:val="MainText"/>
        <w:rPr/>
      </w:pPr>
      <w:r>
        <w:rPr/>
        <w:t>Отчет представляется в территориальное учреждение Банка России:</w:t>
      </w:r>
    </w:p>
    <w:p>
      <w:pPr>
        <w:pStyle w:val="MainText"/>
        <w:rPr/>
      </w:pPr>
      <w:r>
        <w:rPr/>
        <w:t>кредитными организациями (за исключением крупных кредитных организаций с широкой сетью подразделений и небанковских кредитных организаций) — не позднее 7-го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небанковскими кредитными организациями — не позднее 7-го рабочего дня месяца, следующего за отчетным кварталом.</w:t>
      </w:r>
    </w:p>
    <w:p>
      <w:pPr>
        <w:pStyle w:val="MainText"/>
        <w:rPr/>
      </w:pPr>
      <w:r>
        <w:rPr/>
        <w:t>20.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ДАННЫЕ О КОНЦЕНТРАЦИИ КРЕДИТНОГО РИСКА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jc w:val="end"/>
        <w:rPr/>
      </w:pPr>
      <w:r>
        <w:rPr/>
        <w:t>Код формы по ОКУД 0409118</w:t>
        <w:br/>
        <w:t>Месячная (Квартальная)</w:t>
        <w:br/>
        <w:t>тыс. руб.</w:t>
      </w:r>
    </w:p>
    <w:p>
      <w:pPr>
        <w:pStyle w:val="MainTextBezOtstupa"/>
        <w:spacing w:before="0" w:after="120"/>
        <w:jc w:val="start"/>
        <w:rPr/>
      </w:pPr>
      <w:r>
        <w:rPr/>
        <w:t>Раздел 1. Данные о концентрации кредитного риска по заемщикам, не являющимся кредитными организациями</w:t>
      </w:r>
    </w:p>
    <w:tbl>
      <w:tblPr>
        <w:tblW w:w="16270" w:type="dxa"/>
        <w:jc w:val="center"/>
        <w:tblInd w:w="0" w:type="dxa"/>
        <w:tblLayout w:type="fixed"/>
        <w:tblCellMar>
          <w:top w:w="0" w:type="dxa"/>
          <w:start w:w="28" w:type="dxa"/>
          <w:bottom w:w="0" w:type="dxa"/>
          <w:end w:w="28" w:type="dxa"/>
        </w:tblCellMar>
      </w:tblPr>
      <w:tblGrid>
        <w:gridCol w:w="677"/>
        <w:gridCol w:w="1138"/>
        <w:gridCol w:w="1702"/>
        <w:gridCol w:w="1417"/>
        <w:gridCol w:w="1417"/>
        <w:gridCol w:w="1417"/>
        <w:gridCol w:w="1417"/>
        <w:gridCol w:w="1417"/>
        <w:gridCol w:w="1417"/>
        <w:gridCol w:w="1417"/>
        <w:gridCol w:w="1417"/>
        <w:gridCol w:w="1417"/>
      </w:tblGrid>
      <w:tr>
        <w:trPr>
          <w:tblHeader w:val="true"/>
          <w:cantSplit/>
        </w:trPr>
        <w:tc>
          <w:tcPr>
            <w:tcW w:w="67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13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Заемщик (группа</w:t>
            </w:r>
          </w:p>
        </w:tc>
        <w:tc>
          <w:tcPr>
            <w:tcW w:w="170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Идентификационный номер заемщика</w:t>
            </w:r>
          </w:p>
        </w:tc>
        <w:tc>
          <w:tcPr>
            <w:tcW w:w="141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вида деятельности</w:t>
            </w:r>
          </w:p>
        </w:tc>
        <w:tc>
          <w:tcPr>
            <w:tcW w:w="141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Характер отношений</w:t>
            </w:r>
          </w:p>
        </w:tc>
        <w:tc>
          <w:tcPr>
            <w:tcW w:w="5668"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Величина кредитного риска заемщика (КРЗ)</w:t>
            </w:r>
          </w:p>
        </w:tc>
        <w:tc>
          <w:tcPr>
            <w:tcW w:w="141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Показатель максимального</w:t>
            </w:r>
          </w:p>
        </w:tc>
        <w:tc>
          <w:tcPr>
            <w:tcW w:w="2834"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Справочно: максимальное значение Н6 за отчетный период</w:t>
            </w:r>
          </w:p>
        </w:tc>
      </w:tr>
      <w:tr>
        <w:trPr>
          <w:tblHeader w:val="true"/>
          <w:cantSplit/>
        </w:trPr>
        <w:tc>
          <w:tcPr>
            <w:tcW w:w="677"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keepNext w:val="true"/>
              <w:ind w:hanging="0" w:end="0"/>
              <w:jc w:val="center"/>
              <w:rPr>
                <w:sz w:val="16"/>
              </w:rPr>
            </w:pPr>
            <w:r>
              <w:rPr>
                <w:sz w:val="16"/>
              </w:rPr>
              <w:t>связанных</w:t>
            </w:r>
          </w:p>
        </w:tc>
        <w:tc>
          <w:tcPr>
            <w:tcW w:w="1702"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7" w:type="dxa"/>
            <w:tcBorders>
              <w:start w:val="single" w:sz="6" w:space="0" w:color="000000"/>
              <w:end w:val="single" w:sz="6" w:space="0" w:color="000000"/>
            </w:tcBorders>
          </w:tcPr>
          <w:p>
            <w:pPr>
              <w:pStyle w:val="MainText"/>
              <w:keepNext w:val="true"/>
              <w:ind w:hanging="0" w:end="0"/>
              <w:jc w:val="center"/>
              <w:rPr>
                <w:sz w:val="16"/>
              </w:rPr>
            </w:pPr>
            <w:r>
              <w:rPr>
                <w:sz w:val="16"/>
              </w:rPr>
              <w:t>с кредитной</w:t>
            </w:r>
          </w:p>
        </w:tc>
        <w:tc>
          <w:tcPr>
            <w:tcW w:w="141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всего</w:t>
            </w:r>
          </w:p>
        </w:tc>
        <w:tc>
          <w:tcPr>
            <w:tcW w:w="4251"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том числе:</w:t>
            </w:r>
          </w:p>
        </w:tc>
        <w:tc>
          <w:tcPr>
            <w:tcW w:w="1417" w:type="dxa"/>
            <w:tcBorders>
              <w:start w:val="single" w:sz="6" w:space="0" w:color="000000"/>
              <w:end w:val="single" w:sz="6" w:space="0" w:color="000000"/>
            </w:tcBorders>
          </w:tcPr>
          <w:p>
            <w:pPr>
              <w:pStyle w:val="MainText"/>
              <w:keepNext w:val="true"/>
              <w:ind w:hanging="0" w:end="0"/>
              <w:jc w:val="center"/>
              <w:rPr>
                <w:sz w:val="16"/>
              </w:rPr>
            </w:pPr>
            <w:r>
              <w:rPr>
                <w:sz w:val="16"/>
              </w:rPr>
              <w:t>размера риска</w:t>
            </w:r>
          </w:p>
        </w:tc>
        <w:tc>
          <w:tcPr>
            <w:tcW w:w="141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Н6</w:t>
            </w:r>
          </w:p>
        </w:tc>
        <w:tc>
          <w:tcPr>
            <w:tcW w:w="141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дата</w:t>
            </w:r>
          </w:p>
        </w:tc>
      </w:tr>
      <w:tr>
        <w:trPr>
          <w:tblHeader w:val="true"/>
          <w:cantSplit/>
        </w:trPr>
        <w:tc>
          <w:tcPr>
            <w:tcW w:w="67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13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заемщиков)</w:t>
            </w:r>
          </w:p>
        </w:tc>
        <w:tc>
          <w:tcPr>
            <w:tcW w:w="170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7"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организацией</w:t>
            </w:r>
          </w:p>
        </w:tc>
        <w:tc>
          <w:tcPr>
            <w:tcW w:w="141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балансовым требованиям кредитного характера</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условным обязательствам кредитного характера (КРВ)</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срочным сделкам (КРС)</w:t>
            </w:r>
          </w:p>
        </w:tc>
        <w:tc>
          <w:tcPr>
            <w:tcW w:w="1417"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одного заемщика или группу связанных заемщиков (Н6)</w:t>
            </w:r>
          </w:p>
        </w:tc>
        <w:tc>
          <w:tcPr>
            <w:tcW w:w="141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tblHeader w:val="true"/>
          <w:cantSplit/>
        </w:trPr>
        <w:tc>
          <w:tcPr>
            <w:tcW w:w="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3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jc w:val="start"/>
        <w:rPr/>
      </w:pPr>
      <w:r>
        <w:rPr/>
        <w:t>Раздел 2. Данные о концентрации кредитного риска по заемщикам — кредитным организациям</w:t>
      </w:r>
    </w:p>
    <w:tbl>
      <w:tblPr>
        <w:tblW w:w="16228" w:type="dxa"/>
        <w:jc w:val="center"/>
        <w:tblInd w:w="0" w:type="dxa"/>
        <w:tblLayout w:type="fixed"/>
        <w:tblCellMar>
          <w:top w:w="0" w:type="dxa"/>
          <w:start w:w="28" w:type="dxa"/>
          <w:bottom w:w="0" w:type="dxa"/>
          <w:end w:w="28" w:type="dxa"/>
        </w:tblCellMar>
      </w:tblPr>
      <w:tblGrid>
        <w:gridCol w:w="654"/>
        <w:gridCol w:w="1134"/>
        <w:gridCol w:w="1702"/>
        <w:gridCol w:w="1419"/>
        <w:gridCol w:w="1419"/>
        <w:gridCol w:w="1985"/>
        <w:gridCol w:w="2270"/>
        <w:gridCol w:w="1418"/>
        <w:gridCol w:w="1409"/>
        <w:gridCol w:w="1409"/>
        <w:gridCol w:w="1409"/>
      </w:tblGrid>
      <w:tr>
        <w:trPr>
          <w:tblHeader w:val="true"/>
          <w:cantSplit/>
        </w:trPr>
        <w:tc>
          <w:tcPr>
            <w:tcW w:w="65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13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Заемщик (группа</w:t>
            </w:r>
          </w:p>
        </w:tc>
        <w:tc>
          <w:tcPr>
            <w:tcW w:w="170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Идентификационный номер заемщика</w:t>
            </w:r>
          </w:p>
        </w:tc>
        <w:tc>
          <w:tcPr>
            <w:tcW w:w="141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Характер отношений</w:t>
            </w:r>
          </w:p>
        </w:tc>
        <w:tc>
          <w:tcPr>
            <w:tcW w:w="7092"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Величина кредитного риска заемщика (КРЗ)</w:t>
            </w:r>
          </w:p>
        </w:tc>
        <w:tc>
          <w:tcPr>
            <w:tcW w:w="140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Показатель максимального</w:t>
            </w:r>
          </w:p>
        </w:tc>
        <w:tc>
          <w:tcPr>
            <w:tcW w:w="2818"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Справочно: максимальное значение Н6 за отчетный период</w:t>
            </w:r>
          </w:p>
        </w:tc>
      </w:tr>
      <w:tr>
        <w:trPr>
          <w:tblHeader w:val="true"/>
          <w:cantSplit/>
        </w:trPr>
        <w:tc>
          <w:tcPr>
            <w:tcW w:w="654"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134" w:type="dxa"/>
            <w:tcBorders>
              <w:start w:val="single" w:sz="6" w:space="0" w:color="000000"/>
              <w:end w:val="single" w:sz="6" w:space="0" w:color="000000"/>
            </w:tcBorders>
          </w:tcPr>
          <w:p>
            <w:pPr>
              <w:pStyle w:val="MainText"/>
              <w:keepNext w:val="true"/>
              <w:ind w:hanging="0" w:end="0"/>
              <w:jc w:val="center"/>
              <w:rPr>
                <w:sz w:val="16"/>
              </w:rPr>
            </w:pPr>
            <w:r>
              <w:rPr>
                <w:sz w:val="16"/>
              </w:rPr>
              <w:t>связанных</w:t>
            </w:r>
          </w:p>
        </w:tc>
        <w:tc>
          <w:tcPr>
            <w:tcW w:w="1702"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9" w:type="dxa"/>
            <w:tcBorders>
              <w:start w:val="single" w:sz="6" w:space="0" w:color="000000"/>
              <w:end w:val="single" w:sz="6" w:space="0" w:color="000000"/>
            </w:tcBorders>
          </w:tcPr>
          <w:p>
            <w:pPr>
              <w:pStyle w:val="MainText"/>
              <w:keepNext w:val="true"/>
              <w:ind w:hanging="0" w:end="0"/>
              <w:jc w:val="center"/>
              <w:rPr>
                <w:sz w:val="16"/>
              </w:rPr>
            </w:pPr>
            <w:r>
              <w:rPr>
                <w:sz w:val="16"/>
              </w:rPr>
              <w:t>с кредитной</w:t>
            </w:r>
          </w:p>
        </w:tc>
        <w:tc>
          <w:tcPr>
            <w:tcW w:w="141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всего</w:t>
            </w:r>
          </w:p>
        </w:tc>
        <w:tc>
          <w:tcPr>
            <w:tcW w:w="5673"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том числе:</w:t>
            </w:r>
          </w:p>
        </w:tc>
        <w:tc>
          <w:tcPr>
            <w:tcW w:w="1409" w:type="dxa"/>
            <w:tcBorders>
              <w:start w:val="single" w:sz="6" w:space="0" w:color="000000"/>
              <w:end w:val="single" w:sz="6" w:space="0" w:color="000000"/>
            </w:tcBorders>
          </w:tcPr>
          <w:p>
            <w:pPr>
              <w:pStyle w:val="MainText"/>
              <w:keepNext w:val="true"/>
              <w:ind w:hanging="0" w:end="0"/>
              <w:jc w:val="center"/>
              <w:rPr>
                <w:sz w:val="16"/>
              </w:rPr>
            </w:pPr>
            <w:r>
              <w:rPr>
                <w:sz w:val="16"/>
              </w:rPr>
              <w:t>размера риска</w:t>
            </w:r>
          </w:p>
        </w:tc>
        <w:tc>
          <w:tcPr>
            <w:tcW w:w="140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Н6</w:t>
            </w:r>
          </w:p>
        </w:tc>
        <w:tc>
          <w:tcPr>
            <w:tcW w:w="140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дата</w:t>
            </w:r>
          </w:p>
        </w:tc>
      </w:tr>
      <w:tr>
        <w:trPr>
          <w:tblHeader w:val="true"/>
          <w:cantSplit/>
        </w:trPr>
        <w:tc>
          <w:tcPr>
            <w:tcW w:w="65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13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заемщиков)</w:t>
            </w:r>
          </w:p>
        </w:tc>
        <w:tc>
          <w:tcPr>
            <w:tcW w:w="170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19"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организацией</w:t>
            </w:r>
          </w:p>
        </w:tc>
        <w:tc>
          <w:tcPr>
            <w:tcW w:w="141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9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балансовым требованиям кредитного характера</w:t>
            </w:r>
          </w:p>
        </w:tc>
        <w:tc>
          <w:tcPr>
            <w:tcW w:w="22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условным обязательствам кредитного характера (КРВ)</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срочным сделкам (КРС)</w:t>
            </w:r>
          </w:p>
        </w:tc>
        <w:tc>
          <w:tcPr>
            <w:tcW w:w="1409"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одного заемщика или группу связанных заемщиков (Н6)</w:t>
            </w:r>
          </w:p>
        </w:tc>
        <w:tc>
          <w:tcPr>
            <w:tcW w:w="140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0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tblHeader w:val="true"/>
          <w:cantSplit/>
        </w:trPr>
        <w:tc>
          <w:tcPr>
            <w:tcW w:w="65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4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4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9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4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4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4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r>
      <w:tr>
        <w:trPr>
          <w:cantSplit/>
        </w:trPr>
        <w:tc>
          <w:tcPr>
            <w:tcW w:w="65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5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0409118 “Данные о концентрации кредитного риска”</w:t>
      </w:r>
    </w:p>
    <w:p>
      <w:pPr>
        <w:pStyle w:val="MainText"/>
        <w:rPr/>
      </w:pPr>
      <w:r>
        <w:rPr/>
        <w:t>1. Отчетность по форме 0409118 “Данные о концентрации кредитного риска” (далее — Отчет) заполняется по заемщикам (группе связанных заемщиков), в отношении которых у кредитной организации возникает максимальный кредитный риск (норматив Н6), который определяется в соответствии с главой 4 Инструкции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25 апреля 2006 года № 7740, 5 июля 2007 года № 9755, 10 декабря 2007 года № 10659, 14 апреля 2008 года № 11535, 30 июня 2008 года № 11907, 17 марта 2009 года № 13522, 23 марта 2009 года № 13572, 22 апреля 2009 года № 13807, 5 августа 2009 года № 14464 (“Вестник Банка России” от 11 февраля 2004 года № 11, от 8 сентября 2004 года № 53, от 13 апреля 2005 года № 19, от 10 августа 2005 года № 40, от 31 августа 2005 года № 46, от 4 мая 2006 года № 26, от 11 июля 2007 года № 39, от 17 декабря 2007 года № 69, от 30 апреля 2008 года № 19, от 9 июля 2008 года № 36, от 25 марта 2009 года № 20, от 1 апреля 2009 года № 21, от 29 апреля 2009 года № 25, от 12 августа 2009 года № 47) (далее — Инструкция Банка России № 110-И).</w:t>
      </w:r>
    </w:p>
    <w:p>
      <w:pPr>
        <w:pStyle w:val="MainText"/>
        <w:rPr/>
      </w:pPr>
      <w:r>
        <w:rPr/>
        <w:t>Определение величины кредитного риска заемщика (КРЗ) и отнесение заемщиков к группе связанных заемщиков осуществляется в соответствии с главой 4 Инструкции Банка России № 110-И.</w:t>
      </w:r>
    </w:p>
    <w:p>
      <w:pPr>
        <w:pStyle w:val="MainText"/>
        <w:rPr/>
      </w:pPr>
      <w:r>
        <w:rPr/>
        <w:t>Информация о заемщиках — юридических лицах, не являющихся кредитными организациями, и заемщиках — физических лицах приводится в разделе 1 Отчета, о заемщиках — кредитных организациях — в разделе 2 Отчета. В случае если состав группы связанных заемщиков смешанный (то есть в нее входят кредитные организации и иные заемщики (юридические и (или) физические лица), информация о такой группе приводится в разделе 1 Отчета.</w:t>
      </w:r>
    </w:p>
    <w:p>
      <w:pPr>
        <w:pStyle w:val="MainText"/>
        <w:rPr/>
      </w:pPr>
      <w:r>
        <w:rPr/>
        <w:t>2. Информация в Отчете приводится в порядке убывания значения норматива Н6 на дату составления Отчета: в разделе 1 — по 20 заемщикам (группе связанных заемщиков), в разделе 2 — по 10 заемщикам (группе связанных заемщиков). Сведения внутри группы связанных заемщиков приводятся в порядке убывания величины кредитного риска заемщика (КРЗ), но не более чем по 5 заемщикам. Если в составе группы связанных заемщиков более 5 заемщиков, информация о других (помимо 5) участниках группы связанных заемщиков отражается в составе группы связанных заемщиков по строке “Прочие”. При этом территориальное учреждение Банка России, исходя из размера максимального кредитного риска по группе связанных заемщиков, вправе требовать от кредитной организации раскрытия информации по всему кругу связанных заемщиков группы. При заполнении строки в целом по группе связанных заемщиков и по строке “Прочие” в составе группы связанных заемщиков графы 4 и 5 раздела 1 и графа 4 раздела 2 Отчета не заполняются, в сведениях о заемщиках, входящих в состав группы связанных заемщиков (включая строку “Прочие”), не подлежат заполнению графы 10—12 раздела 1 и графы 9—11 раздела 2 Отчета. Кроме того, по строке “Прочие” в составе групп связанных заемщиков графа 3 в разделах 1 и 2 Отчета не заполняется.</w:t>
      </w:r>
    </w:p>
    <w:p>
      <w:pPr>
        <w:pStyle w:val="MainText"/>
        <w:rPr/>
      </w:pPr>
      <w:r>
        <w:rPr/>
        <w:t>3. В графе 1 разделов 1 и 2 Отчета заемщикам, не входящим в группу связанных заемщиков, и группе связанных заемщиков присваивается соответственно порядковый номер 1.Х и 2.Х, где 1 и 2 — номера соответствующего раздела, а Х имеет вид целого числа (1; 2; … 20); заемщикам, входящим в состав группы связанных заемщиков, присваивается порядковый номер следующего вида: 1.X</w:t>
      </w:r>
      <w:r>
        <w:rPr>
          <w:vertAlign w:val="subscript"/>
        </w:rPr>
        <w:t>1</w:t>
      </w:r>
      <w:r>
        <w:rPr/>
        <w:t>X</w:t>
      </w:r>
      <w:r>
        <w:rPr>
          <w:vertAlign w:val="subscript"/>
        </w:rPr>
        <w:t>2</w:t>
      </w:r>
      <w:r>
        <w:rPr/>
        <w:t xml:space="preserve"> или 2.X</w:t>
      </w:r>
      <w:r>
        <w:rPr>
          <w:vertAlign w:val="subscript"/>
        </w:rPr>
        <w:t>1</w:t>
      </w:r>
      <w:r>
        <w:rPr/>
        <w:t>X</w:t>
      </w:r>
      <w:r>
        <w:rPr>
          <w:vertAlign w:val="subscript"/>
        </w:rPr>
        <w:t>2</w:t>
      </w:r>
      <w:r>
        <w:rPr/>
        <w:t xml:space="preserve"> (1.1.1; 1.1.2; … или 1.2.1; 1.2.2; … или 2.1.1; 2.1.2; …), где 1 или 2 — номер раздела, X</w:t>
      </w:r>
      <w:r>
        <w:rPr>
          <w:vertAlign w:val="subscript"/>
        </w:rPr>
        <w:t>1</w:t>
      </w:r>
      <w:r>
        <w:rPr/>
        <w:t> — порядковый номер группы связанных заемщиков, Х</w:t>
      </w:r>
      <w:r>
        <w:rPr>
          <w:vertAlign w:val="subscript"/>
        </w:rPr>
        <w:t>2</w:t>
      </w:r>
      <w:r>
        <w:rPr/>
        <w:t> — номер заемщика в группе связанных заемщиков.</w:t>
      </w:r>
    </w:p>
    <w:p>
      <w:pPr>
        <w:pStyle w:val="MainText"/>
        <w:rPr/>
      </w:pPr>
      <w:r>
        <w:rPr/>
        <w:t>4. В графе 2 разделов 1 и 2 Отчета указывается полное наименование индивидуального заемщика:</w:t>
      </w:r>
    </w:p>
    <w:p>
      <w:pPr>
        <w:pStyle w:val="MainText"/>
        <w:rPr/>
      </w:pPr>
      <w:r>
        <w:rPr/>
        <w:t>кредитной организации — резидента — в соответствии с Книгой государственной регистрации кредитных организаций;</w:t>
      </w:r>
    </w:p>
    <w:p>
      <w:pPr>
        <w:pStyle w:val="MainText"/>
        <w:rPr/>
      </w:pPr>
      <w:r>
        <w:rPr/>
        <w:t>кредитной организации — нерезидента, являющейся участником системы СВИФТ, — в соответствии со справочником СВИФТ;</w:t>
      </w:r>
    </w:p>
    <w:p>
      <w:pPr>
        <w:pStyle w:val="MainText"/>
        <w:rPr/>
      </w:pPr>
      <w:r>
        <w:rPr/>
        <w:t>юридического лица — резидента, не являющегося кредитной организацией, — в соответствии с записью в Едином государственном реестре юридических лиц о его регистрации;</w:t>
      </w:r>
    </w:p>
    <w:p>
      <w:pPr>
        <w:pStyle w:val="MainText"/>
        <w:rPr/>
      </w:pPr>
      <w:r>
        <w:rPr/>
        <w:t>юридического лица — нерезидента, включая кредитные организации, не являющиеся участниками системы СВИФТ, — в соответствии с наименованием, приведенным в учредительных документах;</w:t>
      </w:r>
    </w:p>
    <w:p>
      <w:pPr>
        <w:pStyle w:val="MainText"/>
        <w:rPr/>
      </w:pPr>
      <w:r>
        <w:rPr/>
        <w:t>индивидуального предпринимателя — в соответствии с записью в Едином государственном реестре индивидуальных предпринимателей о его регистрации.</w:t>
      </w:r>
    </w:p>
    <w:p>
      <w:pPr>
        <w:pStyle w:val="MainText"/>
        <w:rPr/>
      </w:pPr>
      <w:r>
        <w:rPr/>
        <w:t>Для индивидуального заемщика — физического лица указываются фамилия, имя и отчество (при наличии последнего).</w:t>
      </w:r>
    </w:p>
    <w:p>
      <w:pPr>
        <w:pStyle w:val="MainText"/>
        <w:rPr/>
      </w:pPr>
      <w:r>
        <w:rPr/>
        <w:t>В случае наличия группы связанных заемщиков приводится либо ее наименование, если таковое имеется, либо указывается слово “Группа”, при этом в графах 3 разделов 1 и 2 Отчета указывается условное обозначение “ГСЗ”.</w:t>
      </w:r>
    </w:p>
    <w:p>
      <w:pPr>
        <w:pStyle w:val="MainText"/>
        <w:rPr/>
      </w:pPr>
      <w:r>
        <w:rPr/>
        <w:t>5. В графе 3 разделов 1 и 2 Отчета по каждому индивидуальному заемщику (в том числе участнику группы связанных заемщиков) указывается:</w:t>
      </w:r>
    </w:p>
    <w:p>
      <w:pPr>
        <w:pStyle w:val="MainText"/>
        <w:rPr/>
      </w:pPr>
      <w:r>
        <w:rPr/>
        <w:t>для кредитных организаций — резидентов — регистрационный номер кредитной организации в соответствии с Книгой государственной регистрации кредитных организаций;</w:t>
      </w:r>
    </w:p>
    <w:p>
      <w:pPr>
        <w:pStyle w:val="MainText"/>
        <w:rPr/>
      </w:pPr>
      <w:r>
        <w:rPr/>
        <w:t>для кредитных организаций — нерезидентов, являющихся участниками системы СВИФТ, — код по справочнику СВИФТ;</w:t>
      </w:r>
    </w:p>
    <w:p>
      <w:pPr>
        <w:pStyle w:val="MainText"/>
        <w:rPr/>
      </w:pPr>
      <w:r>
        <w:rPr/>
        <w:t>для юридических лиц — нерезидентов, включая кредитные организации — нерезиденты, не являющиеся участниками системы СВИФТ, а также для физических лиц — нерезидентов — условное обозначение “НР”;</w:t>
      </w:r>
    </w:p>
    <w:p>
      <w:pPr>
        <w:pStyle w:val="MainText"/>
        <w:rPr/>
      </w:pPr>
      <w:r>
        <w:rPr/>
        <w:t>для юридических лиц — резидентов, не являющихся кредитными организациями, — основной государственный регистрационный номер (ОГРН);</w:t>
      </w:r>
    </w:p>
    <w:p>
      <w:pPr>
        <w:pStyle w:val="MainText"/>
        <w:rPr/>
      </w:pPr>
      <w:r>
        <w:rPr/>
        <w:t>для индивидуальных предпринимателей — основной государственный регистрационный номер индивидуального предпринимателя (ОГРНИП);</w:t>
      </w:r>
    </w:p>
    <w:p>
      <w:pPr>
        <w:pStyle w:val="MainText"/>
        <w:rPr/>
      </w:pPr>
      <w:r>
        <w:rPr/>
        <w:t>для физических лиц — резидентов — идентификационный номер налогоплательщика (ИНН).</w:t>
      </w:r>
    </w:p>
    <w:p>
      <w:pPr>
        <w:pStyle w:val="MainText"/>
        <w:rPr/>
      </w:pPr>
      <w:r>
        <w:rPr/>
        <w:t>6. В графе 4 раздела 1 Отчета указываются основные виды экономической деятельности заемщика в соответствии с классами, определенными по Общероссийскому классификатору видов экономической деятельности (ОКВЭД) (в количестве не более 5 видов). По заемщикам-нерезидентам графа 4 раздела 1 Отчета заполняется с использованием кодов классов ОКВЭД, соответствующих (или приближенных по содержанию) основным видам деятельности заемщика-нерезидента, указанным в его учредительных документах.</w:t>
      </w:r>
    </w:p>
    <w:p>
      <w:pPr>
        <w:pStyle w:val="MainText"/>
        <w:rPr/>
      </w:pPr>
      <w:r>
        <w:rPr/>
        <w:t>По заемщикам — федеральным органам государственной власти и органам государственной власти субъектов Российской Федерации, физическим лицам, а также в целом по группе связанных заемщиков графа 4 раздела 1 Отчета не заполняется.</w:t>
      </w:r>
    </w:p>
    <w:p>
      <w:pPr>
        <w:pStyle w:val="MainText"/>
        <w:rPr/>
      </w:pPr>
      <w:r>
        <w:rPr/>
        <w:t>7. В графе 5 раздела 1 и графе 4 раздела 2 Отчета указывается характер отношений заемщика с кредитной организацией. В целом по группе связанных заемщиков данные графы Отчета не заполняются.</w:t>
      </w:r>
    </w:p>
    <w:p>
      <w:pPr>
        <w:pStyle w:val="MainText"/>
        <w:rPr/>
      </w:pPr>
      <w:r>
        <w:rPr/>
        <w:t>При формировании Отчета используются следующие коды:</w:t>
      </w:r>
    </w:p>
    <w:p>
      <w:pPr>
        <w:pStyle w:val="MainText"/>
        <w:rPr/>
      </w:pPr>
      <w:r>
        <w:rPr/>
        <w:t>1 — головная организация;</w:t>
      </w:r>
    </w:p>
    <w:p>
      <w:pPr>
        <w:pStyle w:val="MainText"/>
        <w:rPr/>
      </w:pPr>
      <w:r>
        <w:rPr/>
        <w:t>2 — дочернее хозяйственное общество;</w:t>
      </w:r>
    </w:p>
    <w:p>
      <w:pPr>
        <w:pStyle w:val="MainText"/>
        <w:rPr/>
      </w:pPr>
      <w:r>
        <w:rPr/>
        <w:t>3 — зависимое хозяйственное общество;</w:t>
      </w:r>
    </w:p>
    <w:p>
      <w:pPr>
        <w:pStyle w:val="MainText"/>
        <w:rPr/>
      </w:pPr>
      <w:r>
        <w:rPr/>
        <w:t>4 — члены Совета директоров (наблюдательного совета) или иного коллегиального органа управления, члены коллегиального исполнительного органа, а также лица, осуществляющие полномочия единоличного исполнительного органа кредитной организации и ее головной организации;</w:t>
      </w:r>
    </w:p>
    <w:p>
      <w:pPr>
        <w:pStyle w:val="MainText"/>
        <w:rPr/>
      </w:pPr>
      <w:r>
        <w:rPr/>
        <w:t>5 — члены Совета директоров (наблюдательного совета) или иного коллегиального органа управления, члены коллегиального исполнительного органа, а также лица, осуществляющие полномочия единоличного исполнительного органа дочернего и (или) зависимого хозяйственного общества кредитной организации;</w:t>
      </w:r>
    </w:p>
    <w:p>
      <w:pPr>
        <w:pStyle w:val="MainText"/>
        <w:rPr/>
      </w:pPr>
      <w:r>
        <w:rPr/>
        <w:t>6 — акционеры (участники) — юридические лица, которые имеют право распоряжаться более чем 20 процентами общего количества голосов, приходящихся на голосующие акции, либо вкладов, долей, составляющих уставный или складочный капитал кредитной организации;</w:t>
      </w:r>
    </w:p>
    <w:p>
      <w:pPr>
        <w:pStyle w:val="MainText"/>
        <w:rPr/>
      </w:pPr>
      <w:r>
        <w:rPr/>
        <w:t>7 — акционеры (участники) — физические лица, которые имеют право распоряжаться более чем 20 процентами общего количества голосов, приходящихся на голосующие акции либо составляющие уставный или складочный капитал вклады, доли кредитной организации;</w:t>
      </w:r>
    </w:p>
    <w:p>
      <w:pPr>
        <w:pStyle w:val="MainText"/>
        <w:rPr/>
      </w:pPr>
      <w:r>
        <w:rPr/>
        <w:t>8 — физические лица — работники кредитной организации;</w:t>
      </w:r>
    </w:p>
    <w:p>
      <w:pPr>
        <w:pStyle w:val="MainText"/>
        <w:rPr/>
      </w:pPr>
      <w:r>
        <w:rPr/>
        <w:t>9 — иные лица, на деятельность которых оказывает существенное влияние кредитная организация, и (или) лица, которые оказывают существенное влияние на деятельность кредитной организации;</w:t>
      </w:r>
    </w:p>
    <w:p>
      <w:pPr>
        <w:pStyle w:val="MainText"/>
        <w:rPr/>
      </w:pPr>
      <w:r>
        <w:rPr/>
        <w:t>10 — прочие заемщики.</w:t>
      </w:r>
    </w:p>
    <w:p>
      <w:pPr>
        <w:pStyle w:val="MainText"/>
        <w:rPr/>
      </w:pPr>
      <w:r>
        <w:rPr/>
        <w:t>8. Величина кредитного риска заемщика (КРЗ) по балансовым требованиям кредитного характера (графа 7 раздела 1 и графа 6 раздела 2 Отчета) определяется в соответствии с главой 4 Инструкции Банка России № 110-И, по условным обязательствам кредитного характера (КРВ) (графа 8 раздела 1 и графа 7 раздела 2 Отчета) — в соответствии с приложением 2 к Инструкции Банка России № 110-И, по срочным сделкам (КРС) (графа 9 раздела 1 и графа 8 раздела 2 Отчета) — в соответствии с приложением 3 к Инструкции Банка России № 110-И.</w:t>
      </w:r>
    </w:p>
    <w:p>
      <w:pPr>
        <w:pStyle w:val="MainText"/>
        <w:rPr/>
      </w:pPr>
      <w:r>
        <w:rPr/>
        <w:t>9. В графе 11 раздела 1 и графе 10 раздела 2 Отчета справочно указывается максимальное за отчетный период значение норматива Н6 по каждому заемщику (группе связанных заемщиков).</w:t>
      </w:r>
    </w:p>
    <w:p>
      <w:pPr>
        <w:pStyle w:val="MainText"/>
        <w:rPr/>
      </w:pPr>
      <w:r>
        <w:rPr/>
        <w:t>В графе 12 раздела 1 и графе 11 раздела 2 Отчета указывается дата, за которую значение норматива Н6, приведенное, соответственно, в графе 11 раздела 1 и графе 10 раздела 2 Отчета, достигало максимума.</w:t>
      </w:r>
    </w:p>
    <w:p>
      <w:pPr>
        <w:pStyle w:val="MainText"/>
        <w:rPr/>
      </w:pPr>
      <w:r>
        <w:rPr/>
        <w:t>В случае если в течение отчетного периода значение норматива Н6, отражаемое в Отчете, достигало максимума несколько раз, в графе 12 раздела 1 и графе 11 раздела 2 Отчета указываются через запятую все даты (период), за которые (за который) было достигнуто максимальное значение.</w:t>
      </w:r>
    </w:p>
    <w:p>
      <w:pPr>
        <w:pStyle w:val="MainText"/>
        <w:rPr/>
      </w:pPr>
      <w:r>
        <w:rPr/>
        <w:t>При заполнении граф 10, 11 раздела 1 и граф 9, 10 раздела 2 Отчета значение норматива Н6 указывается с двумя десятичными знаками после запятой.</w:t>
      </w:r>
    </w:p>
    <w:p>
      <w:pPr>
        <w:pStyle w:val="MainText"/>
        <w:rPr/>
      </w:pPr>
      <w:r>
        <w:rPr/>
        <w:t>При заполнении даты в графе 12 раздела 1 и графе 11 раздела 2 Отчета используется следующий формат: “дд.мм.гггг”, где “дд” — день, “мм” — месяц, “гггг” — год.</w:t>
      </w:r>
    </w:p>
    <w:p>
      <w:pPr>
        <w:pStyle w:val="MainText"/>
        <w:rPr/>
      </w:pPr>
      <w:r>
        <w:rPr/>
        <w:t>10. Отчет составляется в целом по кредитной организации:</w:t>
      </w:r>
    </w:p>
    <w:p>
      <w:pPr>
        <w:pStyle w:val="MainText"/>
        <w:rPr/>
      </w:pPr>
      <w:r>
        <w:rPr/>
        <w:t>кредитными организациями (за исключением небанковских кредитных организаций) — по состоянию на 1-е число месяца, следующего за отчетным месяцем;</w:t>
      </w:r>
    </w:p>
    <w:p>
      <w:pPr>
        <w:pStyle w:val="MainText"/>
        <w:rPr/>
      </w:pPr>
      <w:r>
        <w:rPr/>
        <w:t>небанковскими кредитными организациями — по состоянию на 1-е число месяца, следующего за отчетным кварталом.</w:t>
      </w:r>
    </w:p>
    <w:p>
      <w:pPr>
        <w:pStyle w:val="MainText"/>
        <w:rPr/>
      </w:pPr>
      <w:r>
        <w:rPr/>
        <w:t>Отчет представляется в территориальное учреждение Банка России:</w:t>
      </w:r>
    </w:p>
    <w:p>
      <w:pPr>
        <w:pStyle w:val="MainText"/>
        <w:rPr/>
      </w:pPr>
      <w:r>
        <w:rPr/>
        <w:t>кредитными организациями (за исключением крупных кредитных организаций с широкой сетью подразделений и небанковских кредитных организаций), — не позднее 7-го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небанковскими кредитными организациями — не позднее 7-го рабочего дня месяца, следующего за отчетным кварталом.</w:t>
      </w:r>
    </w:p>
    <w:p>
      <w:pPr>
        <w:pStyle w:val="MainText"/>
        <w:rPr/>
      </w:pPr>
      <w:r>
        <w:rPr/>
        <w:t>11.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t>12. Кредитные организации представляют вместе с Отчетом по состоянию на 1-е число месяца, следующего за отчетным месяцем (кварталом), также Отчет на внутримесячные даты, который составляется только в отношении тех заемщиков (группы связанных заемщиков) (графа 2 разделов 1 и 2 Отчета), по которым нарушен норматив Н6, рассчитанный в соответствии с Инструкцией Банка России № 110-И.</w:t>
      </w:r>
    </w:p>
    <w:p>
      <w:pPr>
        <w:pStyle w:val="MainText"/>
        <w:rPr/>
      </w:pPr>
      <w:r>
        <w:rPr/>
        <w:t>В случае представления Отчета на внутримесячные даты заполнению подлежат графы 1—3 и 11, 12 раздела 1 и графы 1—3 и 10, 11 раздела 2.</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ОБ АКТИВАХ И ПАССИВАХ ПО СРОКАМ ВОСТРЕБОВАНИЯ И ПОГАШЕНИЯ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0409125</w:t>
        <w:br/>
        <w:t>Месячная (Квартальная)</w:t>
        <w:br/>
        <w:t>тыс. руб.</w:t>
      </w:r>
    </w:p>
    <w:tbl>
      <w:tblPr>
        <w:tblW w:w="16245" w:type="dxa"/>
        <w:jc w:val="center"/>
        <w:tblInd w:w="0" w:type="dxa"/>
        <w:tblLayout w:type="fixed"/>
        <w:tblCellMar>
          <w:top w:w="0" w:type="dxa"/>
          <w:start w:w="108" w:type="dxa"/>
          <w:bottom w:w="0" w:type="dxa"/>
          <w:end w:w="108" w:type="dxa"/>
        </w:tblCellMar>
      </w:tblPr>
      <w:tblGrid>
        <w:gridCol w:w="4781"/>
        <w:gridCol w:w="1699"/>
        <w:gridCol w:w="1085"/>
        <w:gridCol w:w="1085"/>
        <w:gridCol w:w="1085"/>
        <w:gridCol w:w="1085"/>
        <w:gridCol w:w="1085"/>
        <w:gridCol w:w="1085"/>
        <w:gridCol w:w="1085"/>
        <w:gridCol w:w="1085"/>
        <w:gridCol w:w="1085"/>
      </w:tblGrid>
      <w:tr>
        <w:trPr>
          <w:tblHeader w:val="true"/>
          <w:cantSplit/>
        </w:trPr>
        <w:tc>
          <w:tcPr>
            <w:tcW w:w="478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1464" w:type="dxa"/>
            <w:gridSpan w:val="10"/>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Суммы по срокам, оставшимся до погашения (востребования)</w:t>
            </w:r>
          </w:p>
        </w:tc>
      </w:tr>
      <w:tr>
        <w:trPr>
          <w:tblHeader w:val="true"/>
          <w:cantSplit/>
        </w:trPr>
        <w:tc>
          <w:tcPr>
            <w:tcW w:w="478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востребования и на 1 день</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5 дней</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10 дней</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20 дней</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30 дней</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90 дней</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180 дней</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270 дней</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 1 года</w:t>
            </w:r>
          </w:p>
        </w:tc>
        <w:tc>
          <w:tcPr>
            <w:tcW w:w="1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свыше 1 года</w:t>
            </w:r>
          </w:p>
        </w:tc>
      </w:tr>
      <w:tr>
        <w:trPr>
          <w:tblHeader w:val="true"/>
          <w:cantSplit/>
        </w:trPr>
        <w:tc>
          <w:tcPr>
            <w:tcW w:w="478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169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4</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5</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6</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7</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8</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9</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10</w:t>
            </w:r>
          </w:p>
        </w:tc>
        <w:tc>
          <w:tcPr>
            <w:tcW w:w="108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11</w:t>
            </w:r>
          </w:p>
        </w:tc>
      </w:tr>
      <w:tr>
        <w:trPr>
          <w:cantSplit/>
        </w:trPr>
        <w:tc>
          <w:tcPr>
            <w:tcW w:w="4781"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АКТИВЫ</w:t>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1. Денежные средства</w:t>
            </w:r>
          </w:p>
        </w:tc>
        <w:tc>
          <w:tcPr>
            <w:tcW w:w="169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Вложения в ценные бумаги, оцениваемые по справедливой стоимости через прибыль или убыток</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Ссудная и приравненная к ней задолженность</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Ценные бумаги, имеющиеся в наличии для продажи</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Вложения в ценные бумаги, удерживаемые до погашения</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Прочие активы</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7. ИТОГО ЛИКВИДНЫХ АКТИВОВ (ст. 1 + 2 + 3 + 4 + 5 + 6)</w:t>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ПАССИВЫ</w:t>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8. Средства кредитных организаций</w:t>
            </w:r>
          </w:p>
        </w:tc>
        <w:tc>
          <w:tcPr>
            <w:tcW w:w="169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9. Средства клиентов, из них:</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9.1. вклады физических лиц</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 Выпущенные долговые обязательства</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 Прочие обязательства</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 ИТОГО ОБЯЗАТЕЛЬСТВ (ст. 8 + 9 + 10 + 11)</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 Внебалансовые обязательства и гарантии, выданные кредитной организацией</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ПОКАЗАТЕЛИ ЛИКВИДНОСТИ</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 Избыток (дефицит) ликвидности (ст. 7 – (ст. 12 + 13))</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78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15. Коэффициент избытка (дефицита) ликвидности (ст. 14 / ст. 12) х 100%</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0409125 “Сведения об активах и пассивах по срокам востребования и погашения”</w:t>
      </w:r>
    </w:p>
    <w:p>
      <w:pPr>
        <w:pStyle w:val="MainText"/>
        <w:rPr/>
      </w:pPr>
      <w:r>
        <w:rPr/>
        <w:t>1. Отчетность по форме 0409125 “Сведения об активах и пассивах по срокам востребования и погашения” (далее — Отчет) составляется в целом по кредитной организации (включая расчетные небанковские кредитные организации) по состоянию на 1-е число месяца, следующего за отчетным месяцем (по небанковской кредитной организации, осуществляющей депозитно-кредитные операции, — по состоянию на 1-е число месяца, следующего за отчетным кварталом), и представляется в территориальное учреждение Банка России:</w:t>
      </w:r>
    </w:p>
    <w:p>
      <w:pPr>
        <w:pStyle w:val="MainText"/>
        <w:rPr/>
      </w:pPr>
      <w:r>
        <w:rPr/>
        <w:t>кредитными организациями (включая расчетные небанковские кредитные организации) (за исключением крупных кредитных организаций с широкой сетью подразделений и небанковских кредитных организаций, осуществляющих депозитно-кредитные операции) — не позднее 8-го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16-го рабочего дня месяца, следующего за отчетным;</w:t>
      </w:r>
    </w:p>
    <w:p>
      <w:pPr>
        <w:pStyle w:val="MainText"/>
        <w:rPr/>
      </w:pPr>
      <w:r>
        <w:rPr/>
        <w:t>небанковскими кредитными организациями, осуществляющими депозитно-кредитные операции, — не позднее 8-го рабочего дня месяца, следующего за отчетным кварталом.</w:t>
      </w:r>
    </w:p>
    <w:p>
      <w:pPr>
        <w:pStyle w:val="MainText"/>
        <w:rPr/>
      </w:pPr>
      <w:r>
        <w:rPr/>
        <w:t>2. В графах 2—11 Отчета суммы активов и обязательств по срокам, оставшимся до востребования (погашения), отражаются нарастающим итогом, то есть в графе 3 указываются суммы активов (обязательств) со сроком востребования (погашения) “до востребования и на 1 день” (графа 2) и “до 5 дней” и так далее.</w:t>
      </w:r>
    </w:p>
    <w:p>
      <w:pPr>
        <w:pStyle w:val="MainText"/>
        <w:rPr/>
      </w:pPr>
      <w:r>
        <w:rPr/>
        <w:t>При оценке сроков востребования (погашения) активов (обязательств) в случае отсутствия четко определенных сроков востребования (погашения) суммы активов (обязательств) указываются в графе с наиболее ранним сроком из возможных сроков востребования (погашения).</w:t>
      </w:r>
    </w:p>
    <w:p>
      <w:pPr>
        <w:pStyle w:val="MainText"/>
        <w:rPr/>
      </w:pPr>
      <w:r>
        <w:rPr/>
        <w:t>Просроченные (не исполненные в срок) обязательства, а также обязательства с истекшим сроком либо не востребованные кредиторами включаются в графу 2 Отчета.</w:t>
      </w:r>
    </w:p>
    <w:p>
      <w:pPr>
        <w:pStyle w:val="MainText"/>
        <w:rPr/>
      </w:pPr>
      <w:r>
        <w:rPr/>
        <w:t>3. В состав ликвидных активов (строки 1—6 Отчета) включаются активы, отнесенные к I категории качества в соответствии с Положением Банка России от 26 марта 2004 года №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зарегистрированным Министерством юстиции Российской Федерации 26 апреля 2004 года № 5774, 20 апреля 2006 года № 7728, 27 декабря 2006 года № 8676, 10 декабря 2007 года № 10660, 23 января 2008 года № 10968, 22 мая 2008 года № 11730, 22 мая 2008 года № 11724, 30 июня 2008 года № 11903, 29 января 2009 года № 13219, 20 февраля 2009 года № 13414 (“Вестник Банка России” от 7 мая 2004 года № 28, от 4 мая 2006 года № 26, от 15 января 2007 года № 1, от 17 декабря 2007 года № 69, от 31 января 2008 года № 4, от 28 мая 2008 года № 25, от 4 июня 2008 года № 28, от 9 июля 2008 года № 36, от 4 февраля 2009 года № 7, от 4 марта 2009 года № 15), и Положением Банка России от 20 марта 2006 года № 283-П “О порядке формирования кредитными организациями резервов на возможные потери”, зарегистрированным Министерством юстиции Российской Федерации 25 апреля 2006 года № 7741, 2 июля 2007 года № 9739, 6 декабря 2007 года № 10639, 10 сентября 2008 года № 12260, 5 августа 2009 года № 14477 (“Вестник Банка России” от 4 мая 2006 года № 26, от 11 июля 2007 года № 39, от 17 декабря 2007 года № 69, от 17 сентября 2008 года № 49, от 12 августа 2009 года № 47). При этом стоимость активов и обязательств увеличивается на размер наращенных процентных (дисконтных, купонных) доходов (расходов), подлежащих получению (выплате) в соответствующем временном периоде.</w:t>
      </w:r>
    </w:p>
    <w:p>
      <w:pPr>
        <w:pStyle w:val="MainText"/>
        <w:rPr/>
      </w:pPr>
      <w:r>
        <w:rPr/>
        <w:t>4. Ценные бумаги, оцениваемые по справедливой стоимости через прибыль или убыток (строка 2 Отчета), отражаются по графе 2 Отчета.</w:t>
      </w:r>
    </w:p>
    <w:p>
      <w:pPr>
        <w:pStyle w:val="MainText"/>
        <w:rPr/>
      </w:pPr>
      <w:r>
        <w:rPr/>
        <w:t>5. Операции с ценными бумагами с обратной продажей (выкупом) отражаются в Отчете исходя из следующего:</w:t>
      </w:r>
    </w:p>
    <w:p>
      <w:pPr>
        <w:pStyle w:val="MainText"/>
        <w:rPr/>
      </w:pPr>
      <w:r>
        <w:rPr/>
        <w:t>операции по первой части сделки по приобретению ценных бумаг с обратной продажей — по строке 3, по второй части сделки — по строке 11 (в графе, соответствующей сроку, установленному договором);</w:t>
      </w:r>
    </w:p>
    <w:p>
      <w:pPr>
        <w:pStyle w:val="MainText"/>
        <w:rPr/>
      </w:pPr>
      <w:r>
        <w:rPr/>
        <w:t>операции по первой части сделки по продаже ценных бумаг с обратным выкупом — по строке 2 (в графе, определяемой исходя из срока обращения ценных бумаг), по второй части сделки — по строке 11 (в графе, соответствующей сроку, установленному договором).</w:t>
      </w:r>
    </w:p>
    <w:p>
      <w:pPr>
        <w:pStyle w:val="MainText"/>
        <w:rPr/>
      </w:pPr>
      <w:r>
        <w:rPr/>
        <w:t>6. По строке 13 Отчета отражаются суммы банковских гарантий и поручительств, выданных кредитной организацией, а также обязательства по предоставлению кредитов клиентам (по срокам их исполнения).</w:t>
      </w:r>
    </w:p>
    <w:p>
      <w:pPr>
        <w:pStyle w:val="MainText"/>
        <w:rPr/>
      </w:pPr>
      <w:r>
        <w:rPr/>
        <w:t>7. По строке 14 Отчета указывается избыток (дефицит) ликвидности, рассчитанный как разность итогов по строке 7 и итоговой суммы строк 12 и 13.</w:t>
      </w:r>
    </w:p>
    <w:p>
      <w:pPr>
        <w:pStyle w:val="MainText"/>
        <w:rPr/>
      </w:pPr>
      <w:r>
        <w:rPr/>
        <w:t>При этом дефицит ликвидности показывается со знаком “минус”.</w:t>
      </w:r>
    </w:p>
    <w:p>
      <w:pPr>
        <w:pStyle w:val="MainText"/>
        <w:rPr/>
      </w:pPr>
      <w:r>
        <w:rPr/>
        <w:t>8. По строке 15 Отчета приводится процентное соотношение избытка (дефицита) ликвидности (строка 14 Отчета) к общей сумме обязательств (строка 12 Отчета).</w:t>
      </w:r>
    </w:p>
    <w:p>
      <w:pPr>
        <w:pStyle w:val="MainText"/>
        <w:rPr/>
      </w:pPr>
      <w:r>
        <w:rPr/>
        <w:t>9.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ДАННЫЕ О СРЕДНЕВЗВЕШЕННЫХ ПРОЦЕНТНЫХ СТАВКАХ ПО СРЕДСТВАМ, </w:t>
        <w:br/>
        <w:t xml:space="preserve">ПРЕДОСТАВЛЕННЫМ КРЕДИТНОЙ ОРГАНИЗАЦИЕЙ </w:t>
        <w:br/>
        <w:t>за ______ 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jc w:val="end"/>
        <w:rPr/>
      </w:pPr>
      <w:r>
        <w:rPr/>
        <w:t>Код формы по ОКУД 0409128</w:t>
        <w:br/>
        <w:t>Месячная</w:t>
        <w:br/>
        <w:t>тыс. руб.</w:t>
      </w:r>
    </w:p>
    <w:p>
      <w:pPr>
        <w:pStyle w:val="MainTextBezOtstupa"/>
        <w:spacing w:before="0" w:after="120"/>
        <w:jc w:val="start"/>
        <w:rPr/>
      </w:pPr>
      <w:r>
        <w:rPr/>
        <w:t>Раздел 1. Данные о средневзвешенных процентных ставках по средствам в рублях, предоставленным кредитной организацией</w:t>
      </w:r>
    </w:p>
    <w:tbl>
      <w:tblPr>
        <w:tblW w:w="16249" w:type="dxa"/>
        <w:jc w:val="center"/>
        <w:tblInd w:w="0" w:type="dxa"/>
        <w:tblLayout w:type="fixed"/>
        <w:tblCellMar>
          <w:top w:w="0" w:type="dxa"/>
          <w:start w:w="108" w:type="dxa"/>
          <w:bottom w:w="0" w:type="dxa"/>
          <w:end w:w="108" w:type="dxa"/>
        </w:tblCellMar>
      </w:tblPr>
      <w:tblGrid>
        <w:gridCol w:w="2939"/>
        <w:gridCol w:w="1331"/>
        <w:gridCol w:w="1331"/>
        <w:gridCol w:w="1331"/>
        <w:gridCol w:w="1331"/>
        <w:gridCol w:w="1331"/>
        <w:gridCol w:w="1331"/>
        <w:gridCol w:w="1331"/>
        <w:gridCol w:w="1331"/>
        <w:gridCol w:w="1331"/>
        <w:gridCol w:w="1331"/>
      </w:tblGrid>
      <w:tr>
        <w:trPr>
          <w:tblHeader w:val="true"/>
          <w:cantSplit/>
        </w:trPr>
        <w:tc>
          <w:tcPr>
            <w:tcW w:w="293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Сроки, на которые</w:t>
            </w:r>
          </w:p>
        </w:tc>
        <w:tc>
          <w:tcPr>
            <w:tcW w:w="7986"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Кредиты, предоставленные</w:t>
            </w:r>
          </w:p>
        </w:tc>
        <w:tc>
          <w:tcPr>
            <w:tcW w:w="5324"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Учтенные векселя</w:t>
            </w:r>
          </w:p>
        </w:tc>
      </w:tr>
      <w:tr>
        <w:trPr>
          <w:tblHeader w:val="true"/>
          <w:cantSplit/>
        </w:trPr>
        <w:tc>
          <w:tcPr>
            <w:tcW w:w="2939" w:type="dxa"/>
            <w:tcBorders>
              <w:start w:val="single" w:sz="6" w:space="0" w:color="000000"/>
              <w:end w:val="single" w:sz="6" w:space="0" w:color="000000"/>
            </w:tcBorders>
          </w:tcPr>
          <w:p>
            <w:pPr>
              <w:pStyle w:val="MainText"/>
              <w:keepNext w:val="true"/>
              <w:ind w:hanging="0" w:end="0"/>
              <w:jc w:val="center"/>
              <w:rPr>
                <w:sz w:val="16"/>
              </w:rPr>
            </w:pPr>
            <w:r>
              <w:rPr>
                <w:sz w:val="16"/>
              </w:rPr>
              <w:t>предоставлены средства</w:t>
            </w:r>
          </w:p>
        </w:tc>
        <w:tc>
          <w:tcPr>
            <w:tcW w:w="266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физическим лицам</w:t>
            </w:r>
          </w:p>
        </w:tc>
        <w:tc>
          <w:tcPr>
            <w:tcW w:w="266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нефинансовым организациям</w:t>
            </w:r>
          </w:p>
        </w:tc>
        <w:tc>
          <w:tcPr>
            <w:tcW w:w="266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кредитным организациям</w:t>
            </w:r>
          </w:p>
        </w:tc>
        <w:tc>
          <w:tcPr>
            <w:tcW w:w="266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нефинансовых организаций</w:t>
            </w:r>
          </w:p>
        </w:tc>
        <w:tc>
          <w:tcPr>
            <w:tcW w:w="266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кредитных организаций</w:t>
            </w:r>
          </w:p>
        </w:tc>
      </w:tr>
      <w:tr>
        <w:trPr>
          <w:tblHeader w:val="true"/>
          <w:cantSplit/>
        </w:trPr>
        <w:tc>
          <w:tcPr>
            <w:tcW w:w="293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доходность, процент годовых</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доходность, процент годовых</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r>
      <w:tr>
        <w:trPr>
          <w:tblHeader w:val="true"/>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3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До 30 дней, в том числе:</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 До востребования</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 На 1 день</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 От 2 до 7 дней</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 От 8 до 30 дней</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От 31 до 90 дней</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От 91 до 180 дней</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От 181 дня до 1 года</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От 1 года до 3 лет</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Свыше 3 лет</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3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(стр. 1 + 2 + 3 + 4 + 5 + 6)</w:t>
            </w:r>
          </w:p>
        </w:tc>
        <w:tc>
          <w:tcPr>
            <w:tcW w:w="13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jc w:val="start"/>
        <w:rPr/>
      </w:pPr>
      <w:r>
        <w:rPr/>
        <w:t>Раздел 2. Данные о средневзвешенных процентных ставках по кредитам в долларах США, предоставленным кредитной организацией</w:t>
      </w:r>
    </w:p>
    <w:tbl>
      <w:tblPr>
        <w:tblW w:w="16256" w:type="dxa"/>
        <w:jc w:val="center"/>
        <w:tblInd w:w="0" w:type="dxa"/>
        <w:tblLayout w:type="fixed"/>
        <w:tblCellMar>
          <w:top w:w="0" w:type="dxa"/>
          <w:start w:w="108" w:type="dxa"/>
          <w:bottom w:w="0" w:type="dxa"/>
          <w:end w:w="108" w:type="dxa"/>
        </w:tblCellMar>
      </w:tblPr>
      <w:tblGrid>
        <w:gridCol w:w="2942"/>
        <w:gridCol w:w="2219"/>
        <w:gridCol w:w="2219"/>
        <w:gridCol w:w="2219"/>
        <w:gridCol w:w="2219"/>
        <w:gridCol w:w="2219"/>
        <w:gridCol w:w="2219"/>
      </w:tblGrid>
      <w:tr>
        <w:trPr>
          <w:tblHeader w:val="true"/>
          <w:cantSplit/>
        </w:trPr>
        <w:tc>
          <w:tcPr>
            <w:tcW w:w="294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Сроки, на которые</w:t>
            </w:r>
          </w:p>
        </w:tc>
        <w:tc>
          <w:tcPr>
            <w:tcW w:w="13314"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Кредиты, предоставленные</w:t>
            </w:r>
          </w:p>
        </w:tc>
      </w:tr>
      <w:tr>
        <w:trPr>
          <w:tblHeader w:val="true"/>
          <w:cantSplit/>
        </w:trPr>
        <w:tc>
          <w:tcPr>
            <w:tcW w:w="2942" w:type="dxa"/>
            <w:tcBorders>
              <w:start w:val="single" w:sz="6" w:space="0" w:color="000000"/>
              <w:end w:val="single" w:sz="6" w:space="0" w:color="000000"/>
            </w:tcBorders>
          </w:tcPr>
          <w:p>
            <w:pPr>
              <w:pStyle w:val="MainText"/>
              <w:keepNext w:val="true"/>
              <w:ind w:hanging="0" w:end="0"/>
              <w:jc w:val="center"/>
              <w:rPr>
                <w:sz w:val="16"/>
              </w:rPr>
            </w:pPr>
            <w:r>
              <w:rPr>
                <w:sz w:val="16"/>
              </w:rPr>
              <w:t>предоставлены кредиты</w:t>
            </w:r>
          </w:p>
        </w:tc>
        <w:tc>
          <w:tcPr>
            <w:tcW w:w="443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физическим лицам</w:t>
            </w:r>
          </w:p>
        </w:tc>
        <w:tc>
          <w:tcPr>
            <w:tcW w:w="443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нефинансовым организациям</w:t>
            </w:r>
          </w:p>
        </w:tc>
        <w:tc>
          <w:tcPr>
            <w:tcW w:w="443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кредитным организациям</w:t>
            </w:r>
          </w:p>
        </w:tc>
      </w:tr>
      <w:tr>
        <w:trPr>
          <w:tblHeader w:val="true"/>
          <w:cantSplit/>
        </w:trPr>
        <w:tc>
          <w:tcPr>
            <w:tcW w:w="294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r>
      <w:tr>
        <w:trPr>
          <w:tblHeader w:val="true"/>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До 30 дней, в том числе:</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 До востребования</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 На 1 день</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 От 2 до 7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 От 8 до 30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От 31 до 90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От 91 до 180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От 181 дня до 1 года</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От 1 года до 3 лет</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Свыше 3 лет</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(стр. 1 + 2 + 3 + 4 + 5 + 6)</w:t>
            </w:r>
          </w:p>
        </w:tc>
        <w:tc>
          <w:tcPr>
            <w:tcW w:w="22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keepNext w:val="true"/>
        <w:keepLines/>
        <w:spacing w:before="240" w:after="120"/>
        <w:jc w:val="start"/>
        <w:rPr/>
      </w:pPr>
      <w:r>
        <w:rPr/>
        <w:t>Раздел 3. Данные о средневзвешенных процентных ставках по кредитам в евро, предоставленным кредитной организацией</w:t>
      </w:r>
    </w:p>
    <w:tbl>
      <w:tblPr>
        <w:tblW w:w="16256" w:type="dxa"/>
        <w:jc w:val="center"/>
        <w:tblInd w:w="0" w:type="dxa"/>
        <w:tblLayout w:type="fixed"/>
        <w:tblCellMar>
          <w:top w:w="0" w:type="dxa"/>
          <w:start w:w="108" w:type="dxa"/>
          <w:bottom w:w="0" w:type="dxa"/>
          <w:end w:w="108" w:type="dxa"/>
        </w:tblCellMar>
      </w:tblPr>
      <w:tblGrid>
        <w:gridCol w:w="2942"/>
        <w:gridCol w:w="2219"/>
        <w:gridCol w:w="2219"/>
        <w:gridCol w:w="2219"/>
        <w:gridCol w:w="2219"/>
        <w:gridCol w:w="2219"/>
        <w:gridCol w:w="2219"/>
      </w:tblGrid>
      <w:tr>
        <w:trPr>
          <w:tblHeader w:val="true"/>
          <w:cantSplit/>
        </w:trPr>
        <w:tc>
          <w:tcPr>
            <w:tcW w:w="294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Сроки, на которые</w:t>
            </w:r>
          </w:p>
        </w:tc>
        <w:tc>
          <w:tcPr>
            <w:tcW w:w="13314"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Кредиты, предоставленные</w:t>
            </w:r>
          </w:p>
        </w:tc>
      </w:tr>
      <w:tr>
        <w:trPr>
          <w:tblHeader w:val="true"/>
          <w:cantSplit/>
        </w:trPr>
        <w:tc>
          <w:tcPr>
            <w:tcW w:w="2942" w:type="dxa"/>
            <w:tcBorders>
              <w:start w:val="single" w:sz="6" w:space="0" w:color="000000"/>
              <w:end w:val="single" w:sz="6" w:space="0" w:color="000000"/>
            </w:tcBorders>
          </w:tcPr>
          <w:p>
            <w:pPr>
              <w:pStyle w:val="MainText"/>
              <w:keepNext w:val="true"/>
              <w:ind w:hanging="0" w:end="0"/>
              <w:jc w:val="center"/>
              <w:rPr>
                <w:sz w:val="16"/>
              </w:rPr>
            </w:pPr>
            <w:r>
              <w:rPr>
                <w:sz w:val="16"/>
              </w:rPr>
              <w:t>предоставлены кредиты</w:t>
            </w:r>
          </w:p>
        </w:tc>
        <w:tc>
          <w:tcPr>
            <w:tcW w:w="443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физическим лицам</w:t>
            </w:r>
          </w:p>
        </w:tc>
        <w:tc>
          <w:tcPr>
            <w:tcW w:w="443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нефинансовым организациям</w:t>
            </w:r>
          </w:p>
        </w:tc>
        <w:tc>
          <w:tcPr>
            <w:tcW w:w="443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кредитным организациям</w:t>
            </w:r>
          </w:p>
        </w:tc>
      </w:tr>
      <w:tr>
        <w:trPr>
          <w:tblHeader w:val="true"/>
          <w:cantSplit/>
        </w:trPr>
        <w:tc>
          <w:tcPr>
            <w:tcW w:w="294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r>
      <w:tr>
        <w:trPr>
          <w:tblHeader w:val="true"/>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До 30 дней, в том числе:</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 До востребования</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 На 1 день</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 От 2 до 7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 От 8 до 30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От 31 до 90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От 91 до 180 дней</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От 181 дня до 1 года</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От 1 года до 3 лет</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Свыше 3 лет</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4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(стр. 1 + 2 + 3 + 4 + 5 + 6)</w:t>
            </w:r>
          </w:p>
        </w:tc>
        <w:tc>
          <w:tcPr>
            <w:tcW w:w="22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0409128 “Данные о средневзвешенных процентных ставках по средствам, предоставленным кредитной организацией”</w:t>
      </w:r>
    </w:p>
    <w:p>
      <w:pPr>
        <w:pStyle w:val="MainText"/>
        <w:rPr/>
      </w:pPr>
      <w:r>
        <w:rPr/>
        <w:t>1. Отчетность по форме 0409128 “Данные о средневзвешенных процентных ставках по средствам, предоставленным кредитной организацией” (далее — Отчет) представляется головными офисами и филиалами кредитных организаций (далее — кредитные организации, за исключением прямого указания в тексте настоящего Порядка на головной офис или филиал кредитной организации) в территориальные учреждения Банка России по месту их нахождения.</w:t>
      </w:r>
    </w:p>
    <w:p>
      <w:pPr>
        <w:pStyle w:val="MainText"/>
        <w:rPr/>
      </w:pPr>
      <w:r>
        <w:rPr/>
        <w:t>2. Отчет представляется:</w:t>
      </w:r>
    </w:p>
    <w:p>
      <w:pPr>
        <w:pStyle w:val="MainText"/>
        <w:rPr/>
      </w:pPr>
      <w:r>
        <w:rPr/>
        <w:t>кредитными организациями (за исключением крупных кредитных организаций с широкой сетью подразделений) — не позднее 7-го рабочего дня месяца, следующего за отчетным;</w:t>
      </w:r>
    </w:p>
    <w:p>
      <w:pPr>
        <w:pStyle w:val="MainText"/>
        <w:rPr/>
      </w:pPr>
      <w:r>
        <w:rPr/>
        <w:t>крупными кредитными организациями с широкой сетью подразделений (территориальными банками и филиалами) — не позднее 19-го рабочего дня месяца, следующего за отчетным.</w:t>
      </w:r>
    </w:p>
    <w:p>
      <w:pPr>
        <w:pStyle w:val="MainText"/>
        <w:rPr/>
      </w:pPr>
      <w:r>
        <w:rPr/>
        <w:t>Подразделения крупных кредитных организаций с широкой сетью подразделений представляют Отчеты в территориальные учреждения Банка России в следующем порядке:</w:t>
      </w:r>
    </w:p>
    <w:p>
      <w:pPr>
        <w:pStyle w:val="MainText"/>
        <w:rPr/>
      </w:pPr>
      <w:r>
        <w:rPr/>
        <w:t>головной офис и территориальные банки крупных кредитных организаций с широкой сетью подразделений представляют сводный отчет по головному офису (территориальному банку) кредитной организации и филиалам, расположенным на одной с ним территории субъекта Российской Федерации, в территориальные учреждения Банка России по месту нахождения;</w:t>
      </w:r>
    </w:p>
    <w:p>
      <w:pPr>
        <w:pStyle w:val="MainText"/>
        <w:rPr/>
      </w:pPr>
      <w:r>
        <w:rPr/>
        <w:t>на территории субъекта Российской Федерации, где отсутствует головной офис (территориальный банк) крупной кредитной организации с широкой сетью подразделений, Отчеты в территориальные учреждения Банка России по месту нахождения представляют либо непосредственно каждый филиал крупной кредитной организации с широкой сетью подразделений, либо те филиалы, на которые головным офисом (территориальным банком) кредитной организации возложены функции по сбору и представлению сводной отчетности по филиалам, расположенным на этой территории.</w:t>
      </w:r>
    </w:p>
    <w:p>
      <w:pPr>
        <w:pStyle w:val="MainText"/>
        <w:rPr/>
      </w:pPr>
      <w:r>
        <w:rPr/>
        <w:t>3. При заполнении Отчета в расчет включаются только операции в рублях, долларах США и евро. Сумма операций в иностранной валюте указывается в рублевом эквиваленте, определяемом по официальному курсу иностранной валюты по отношению к рублю, установленному Банком России, в котором указанные операции отражаются в отчетности по форме 0409101 “Оборотная ведомость по счетам бухгалтерского учета кредитной организации”, составленной за отчетный период.</w:t>
      </w:r>
    </w:p>
    <w:p>
      <w:pPr>
        <w:pStyle w:val="MainText"/>
        <w:rPr/>
      </w:pPr>
      <w:r>
        <w:rPr/>
        <w:t>4. При составлении Отчета учитываются данные по кредитам, предоставленным за отчетный период нефинансовым организациям, кредитным организациям, а также физическим лицам, включая средства отчитывающейся кредитной организации, размещенные на депозитных счетах в других кредитных организациях, а также по учтенным кредитной организацией векселям с номиналом в рублях.</w:t>
      </w:r>
    </w:p>
    <w:p>
      <w:pPr>
        <w:pStyle w:val="MainText"/>
        <w:rPr/>
      </w:pPr>
      <w:r>
        <w:rPr/>
        <w:t>Для расчета показателей, указываемых в графах 2 и 3 Отчета, используются данные по кредитным операциям с физическими лицами (резидентами и нерезидентами), за исключением индивидуальных предпринимателей. В Отчете под суммой, указываемой в графе 3, понимается общая сумма кредитов, предоставленных за соответствующий отчетный период, отраженных по дебету балансовых счетов №№ 45502—45508, 45701—45707, за исключением средств, которые не учитываются в Отчете.</w:t>
      </w:r>
    </w:p>
    <w:p>
      <w:pPr>
        <w:pStyle w:val="MainText"/>
        <w:rPr/>
      </w:pPr>
      <w:r>
        <w:rPr/>
        <w:t>Для расчета показателей, указываемых в графах 4 и 5 Отчета, используются данные по кредитным операциям с коммерческими организациями всех форм собственности и юридическими лицами — нерезидентами (за исключением кредитных организаций — нерезидентов). В Отчете под суммой, указываемой в графе 5, понимается общая сумма кредитов, предоставленных за соответствующий отчетный период, отраженных по дебету балансовых счетов №№ 44603—44609, 44903—44909, 45203—45209, 45601—45607, за исключением средств, которые не учитываются в Отчете.</w:t>
      </w:r>
    </w:p>
    <w:p>
      <w:pPr>
        <w:pStyle w:val="MainText"/>
        <w:rPr/>
      </w:pPr>
      <w:r>
        <w:rPr/>
        <w:t>Для расчета показателей, указываемых в графах 6 и 7 Отчета, используются данные по операциям размещения средств в кредитных организациях (резидентах и нерезидентах). В Отчете под суммой, указываемой в графе 7, понимается общая сумма кредитов и размещенных средств (в том числе депозитов) за соответствующий отчетный период, отраженных по дебету балансовых счетов №№ 32002—32010, 32102—32110, 32201—32209, 32301—32309, за исключением средств, которые не учитываются в Отчете.</w:t>
      </w:r>
    </w:p>
    <w:p>
      <w:pPr>
        <w:pStyle w:val="MainText"/>
        <w:rPr/>
      </w:pPr>
      <w:r>
        <w:rPr/>
        <w:t>Для расчета показателей, указываемых в графах 8—11 раздела 1 Отчета, используются данные о приобретении векселей резидентов с номиналом в рублях. В Отчете под суммой учтенных векселей нефинансовых организаций, указываемой в графе 9, понимается общая сумма размещенных средств за соответствующий отчетный период, отраженных на балансовых счетах №№ 51501—51507. Под суммой учтенных векселей кредитных организаций, указываемой в графе 11, понимается общая сумма размещенных средств за соответствующий отчетный период, отраженных на балансовых счетах №№ 51401—51407.</w:t>
      </w:r>
    </w:p>
    <w:p>
      <w:pPr>
        <w:pStyle w:val="MainText"/>
        <w:rPr/>
      </w:pPr>
      <w:r>
        <w:rPr/>
        <w:t>5. При составлении Отчета не учитываются:</w:t>
      </w:r>
    </w:p>
    <w:p>
      <w:pPr>
        <w:pStyle w:val="MainText"/>
        <w:rPr/>
      </w:pPr>
      <w:r>
        <w:rPr/>
        <w:t>кредиты, предоставляемые юридическим и физическим лицам по переменной процентной ставке, изменяющейся в зависимости от внешних ценовых индикаторов (ставки LIBOR, фондовых индексов, индекса потребительских цен и так далее);</w:t>
      </w:r>
    </w:p>
    <w:p>
      <w:pPr>
        <w:pStyle w:val="MainText"/>
        <w:rPr/>
      </w:pPr>
      <w:r>
        <w:rPr/>
        <w:t>операции РЕПО;</w:t>
      </w:r>
    </w:p>
    <w:p>
      <w:pPr>
        <w:pStyle w:val="MainText"/>
        <w:rPr/>
      </w:pPr>
      <w:r>
        <w:rPr/>
        <w:t>беспроцентные операции по размещению средств;</w:t>
      </w:r>
    </w:p>
    <w:p>
      <w:pPr>
        <w:pStyle w:val="MainText"/>
        <w:rPr/>
      </w:pPr>
      <w:r>
        <w:rPr/>
        <w:t>депозиты в Банке России (балансовый счет № 319);</w:t>
      </w:r>
    </w:p>
    <w:p>
      <w:pPr>
        <w:pStyle w:val="MainText"/>
        <w:rPr/>
      </w:pPr>
      <w:r>
        <w:rPr/>
        <w:t>операции по приобретению кредитной организацией облигаций;</w:t>
      </w:r>
    </w:p>
    <w:p>
      <w:pPr>
        <w:pStyle w:val="MainText"/>
        <w:rPr/>
      </w:pPr>
      <w:r>
        <w:rPr/>
        <w:t>операции по предоставлению клиентам кредитов “овердрафт”;</w:t>
      </w:r>
    </w:p>
    <w:p>
      <w:pPr>
        <w:pStyle w:val="MainText"/>
        <w:rPr/>
      </w:pPr>
      <w:r>
        <w:rPr/>
        <w:t>операции по предоставлению кредитов по банковским картам;</w:t>
      </w:r>
    </w:p>
    <w:p>
      <w:pPr>
        <w:pStyle w:val="MainText"/>
        <w:rPr/>
      </w:pPr>
      <w:r>
        <w:rPr/>
        <w:t>операции по предоставлению кредитов индивидуальным предпринимателям;</w:t>
      </w:r>
    </w:p>
    <w:p>
      <w:pPr>
        <w:pStyle w:val="MainText"/>
        <w:rPr/>
      </w:pPr>
      <w:r>
        <w:rPr/>
        <w:t>операции по перечислению средств на корреспондентские счета кредитной организации, открытые в других кредитных организациях.</w:t>
      </w:r>
    </w:p>
    <w:p>
      <w:pPr>
        <w:pStyle w:val="MainText"/>
        <w:rPr/>
      </w:pPr>
      <w:r>
        <w:rPr/>
        <w:t>6. Процентная ставка и сумма по пролонгированным кредитным договорам учитываются как ставка и сумма вновь выданного кредита в месяце, когда осуществлена пролонгация. В качестве срока операции при пролонгировании указывается срок, на который пролонгируется договор.</w:t>
      </w:r>
    </w:p>
    <w:p>
      <w:pPr>
        <w:pStyle w:val="MainText"/>
        <w:rPr/>
      </w:pPr>
      <w:r>
        <w:rPr/>
        <w:t>Процентная ставка и срок по досрочно погашенным кредитным договорам учитываются как ставка и срок, установленные кредитным договором при выдаче кредита.</w:t>
      </w:r>
    </w:p>
    <w:p>
      <w:pPr>
        <w:pStyle w:val="MainText"/>
        <w:rPr/>
      </w:pPr>
      <w:r>
        <w:rPr/>
        <w:t>Предоставление кредитными организациями в отчетном периоде очередного транша в рамках генерального (рамочного) соглашения (договора) об открытии кредитной линии понимается как выдача нового кредита. Срок предоставления указанного кредита (в целях группировки по срокам и определения средневзвешенного срока) определяется непосредственно из договора на предоставление (размещение) средств, заключаемого в рамках генерального (рамочного) соглашения (договора) об открытии кредитной линии, а при отсутствии в нем таких данных — в соответствии с условиями генерального (рамочного) соглашения (договора) об открытии кредитной линии, то есть срок договора о кредитной линии, за вычетом срока, прошедшего со дня подписания договора.</w:t>
      </w:r>
    </w:p>
    <w:p>
      <w:pPr>
        <w:pStyle w:val="MainText"/>
        <w:rPr/>
      </w:pPr>
      <w:r>
        <w:rPr/>
        <w:t>В строке 1.1 разделов 1—3 Отчета отражаются сведения по кредитам со сроком предоставления “до востребования” или “до наступления условия (события)”.</w:t>
      </w:r>
    </w:p>
    <w:p>
      <w:pPr>
        <w:pStyle w:val="MainText"/>
        <w:rPr/>
      </w:pPr>
      <w:r>
        <w:rPr/>
        <w:t>Все кредиты группируются по срочности исходя из срока кредита, указанного в договоре (последнем дополнительном соглашении к данному договору).</w:t>
      </w:r>
    </w:p>
    <w:p>
      <w:pPr>
        <w:pStyle w:val="MainText"/>
        <w:rPr/>
      </w:pPr>
      <w:r>
        <w:rPr/>
        <w:t>7. Для векселей со сроком по предъявлении срок до погашения при расчетах показателей доходности считается равным 365 дням. В качестве суммы процентных выплат для таких векселей указывается сумма процентов, приходящаяся на один полный год обращения векселя. Вексель со сроком во столько-то времени от предъявления отражается в Отчете в соответствии с порядком, установленным для векселей со сроком по предъявлении.</w:t>
      </w:r>
    </w:p>
    <w:p>
      <w:pPr>
        <w:pStyle w:val="MainText"/>
        <w:rPr/>
      </w:pPr>
      <w:r>
        <w:rPr/>
        <w:t>Вексель со сроком по предъявлении, но не позднее определенной даты отражается в строке 1 раздела 1 Отчета. Если срок погашения векселя указан “по предъявлении, но не позднее определенной даты” и срок от даты учета векселя до предельной даты погашения, указанной в векселе, превышает 365 дней, то срок до погашения при расчетах показателей доходности считается равным 365 дням. Если срок до предельной даты погашения, указанной в векселе, меньше 365 дней, то срок до погашения при расчетах показателей доходности считается равным указанному сроку.</w:t>
      </w:r>
    </w:p>
    <w:p>
      <w:pPr>
        <w:pStyle w:val="MainText"/>
        <w:rPr/>
      </w:pPr>
      <w:r>
        <w:rPr/>
        <w:t>По векселю со сроком по предъявлении, но не ранее определенной даты, учтенному до наступления даты, указанной в векселе, срок до погашения при расчетах показателей доходности и группировке операций по срочности считается равным фактическому сроку между датой совершения операции и датой платежа, указанной в векселе. Вексель со сроком по предъявлении, но не ранее определенной даты, учтенный после наступления даты, указанной в векселе, отражается в Отчете в соответствии с порядком, установленным для векселей со сроком по предъявлении. Вексель со сроком по предъявлении, но не ранее определенной даты и не позднее определенной даты отражается в Отчете в соответствии с порядком, установленным для векселей со сроком по предъявлении, но не ранее определенной даты.</w:t>
      </w:r>
    </w:p>
    <w:p>
      <w:pPr>
        <w:pStyle w:val="MainText"/>
        <w:rPr/>
      </w:pPr>
      <w:r>
        <w:rPr/>
        <w:t>8. В графах 2, 4 и 6 Отчета указывается средневзвешенная процентная ставка в годовом исчислении, рассчитанная исходя из годовых процентных ставок, установленных в кредитных договорах, и условий привлечения вкладов.</w:t>
      </w:r>
    </w:p>
    <w:p>
      <w:pPr>
        <w:pStyle w:val="MainText"/>
        <w:rPr/>
      </w:pPr>
      <w:r>
        <w:rPr/>
        <w:t>По кредитам, предоставленным по переменной процентной ставке, будущие значения которой определены кредитным договором, при заполнении граф 2, 4 и 6 Отчета отражается средневзвешенная по длительности действия процентная ставка за весь срок действия кредитного договора.</w:t>
      </w:r>
    </w:p>
    <w:p>
      <w:pPr>
        <w:pStyle w:val="MainText"/>
        <w:rPr/>
      </w:pPr>
      <w:r>
        <w:rPr/>
        <w:t>Средневзвешенная процентная ставка по кредитам рассчитывается по формуле:</w:t>
      </w:r>
    </w:p>
    <w:p>
      <w:pPr>
        <w:pStyle w:val="MainTextBezOtstupa"/>
        <w:spacing w:before="120" w:after="120"/>
        <w:ind w:start="567" w:end="0"/>
        <w:jc w:val="start"/>
        <w:rPr/>
      </w:pPr>
      <w:r>
        <w:rPr/>
        <w:t>Pav = (V1 x P1 + V2 x P2 + ... + Vn x Pn) : (V1 + V2 + ... + Vn),</w:t>
      </w:r>
    </w:p>
    <w:p>
      <w:pPr>
        <w:pStyle w:val="MainText"/>
        <w:rPr/>
      </w:pPr>
      <w:r>
        <w:rPr/>
        <w:t>где:</w:t>
      </w:r>
    </w:p>
    <w:p>
      <w:pPr>
        <w:pStyle w:val="MainText"/>
        <w:rPr/>
      </w:pPr>
      <w:r>
        <w:rPr/>
        <w:t>V1, V2, ... Vn — сумма кредита по договору (дополнительному соглашению) по n-й сделке;</w:t>
      </w:r>
    </w:p>
    <w:p>
      <w:pPr>
        <w:pStyle w:val="MainText"/>
        <w:rPr/>
      </w:pPr>
      <w:r>
        <w:rPr/>
        <w:t>Р1, Р2, ... Рn — номинальная процентная ставка по n-й сделке, установленная в договоре.</w:t>
      </w:r>
    </w:p>
    <w:p>
      <w:pPr>
        <w:pStyle w:val="MainText"/>
        <w:rPr/>
      </w:pPr>
      <w:r>
        <w:rPr/>
        <w:t>9. В графах 8 и 10 раздела 1 Отчета указывается средневзвешенная доходность учтенных векселей в годовом исчислении, рассчитанная исходя из цены приобретения векселей и процентных выплат по векселям. Средневзвешенная доходность рассчитывается по формуле:</w:t>
      </w:r>
    </w:p>
    <w:p>
      <w:pPr>
        <w:pStyle w:val="MainTextBezOtstupa"/>
        <w:spacing w:before="120" w:after="120"/>
        <w:ind w:start="567" w:end="0"/>
        <w:jc w:val="start"/>
        <w:rPr/>
      </w:pPr>
      <w:r>
        <w:rPr/>
        <w:t>Pav = (V1 x P1 + V2 x P2 + ... + Vn x Pn) : (V1 + V2 + ... + Vn),</w:t>
      </w:r>
    </w:p>
    <w:p>
      <w:pPr>
        <w:pStyle w:val="MainText"/>
        <w:rPr/>
      </w:pPr>
      <w:r>
        <w:rPr/>
        <w:t>где:</w:t>
      </w:r>
    </w:p>
    <w:p>
      <w:pPr>
        <w:pStyle w:val="MainText"/>
        <w:rPr/>
      </w:pPr>
      <w:r>
        <w:rPr/>
        <w:t>V1, V2, ... Vn — балансовая стоимость n-го векселя;</w:t>
      </w:r>
    </w:p>
    <w:p>
      <w:pPr>
        <w:pStyle w:val="MainText"/>
        <w:rPr/>
      </w:pPr>
      <w:r>
        <w:rPr/>
        <w:t>P1, P2, ... Pn — доходность n-го векселя.</w:t>
      </w:r>
    </w:p>
    <w:p>
      <w:pPr>
        <w:pStyle w:val="MainText"/>
        <w:rPr/>
      </w:pPr>
      <w:r>
        <w:rPr/>
        <w:t>Для беспроцентных векселей, приобретаемых по цене ниже номинальной стоимости (с дисконтом), доходность рассчитывается по формуле:</w:t>
      </w:r>
    </w:p>
    <w:p>
      <w:pPr>
        <w:pStyle w:val="MainTextBezOtstupa"/>
        <w:spacing w:before="120" w:after="120"/>
        <w:ind w:start="567" w:end="0"/>
        <w:jc w:val="start"/>
        <w:rPr/>
      </w:pPr>
      <w:r>
        <w:rPr/>
        <w:t>P = ((N – К) / К) x (365 / T) x 100%,</w:t>
      </w:r>
    </w:p>
    <w:p>
      <w:pPr>
        <w:pStyle w:val="MainText"/>
        <w:rPr/>
      </w:pPr>
      <w:r>
        <w:rPr/>
        <w:t>где:</w:t>
      </w:r>
    </w:p>
    <w:p>
      <w:pPr>
        <w:pStyle w:val="MainText"/>
        <w:rPr/>
      </w:pPr>
      <w:r>
        <w:rPr/>
        <w:t>N — номинальная стоимость векселя, указанная в его реквизитах;</w:t>
      </w:r>
    </w:p>
    <w:p>
      <w:pPr>
        <w:pStyle w:val="MainText"/>
        <w:rPr/>
      </w:pPr>
      <w:r>
        <w:rPr/>
        <w:t>К — цена сделки (цена покупки векселя);</w:t>
      </w:r>
    </w:p>
    <w:p>
      <w:pPr>
        <w:pStyle w:val="MainText"/>
        <w:rPr/>
      </w:pPr>
      <w:r>
        <w:rPr/>
        <w:t>T — срок до погашения векселя, дней.</w:t>
      </w:r>
    </w:p>
    <w:p>
      <w:pPr>
        <w:pStyle w:val="MainText"/>
        <w:rPr/>
      </w:pPr>
      <w:r>
        <w:rPr/>
        <w:t>Операции с беспроцентными векселями, приобретаемыми по цене выше или равной номинальной стоимости, не включаются в расчет при заполнении Отчета.</w:t>
      </w:r>
    </w:p>
    <w:p>
      <w:pPr>
        <w:pStyle w:val="MainText"/>
        <w:rPr/>
      </w:pPr>
      <w:r>
        <w:rPr/>
        <w:t>Для процентных векселей доходность рассчитывается по формуле доходности ценной бумаги к погашению:</w:t>
      </w:r>
    </w:p>
    <w:p>
      <w:pPr>
        <w:pStyle w:val="MainTextBezOtstupa"/>
        <w:spacing w:before="120" w:after="120"/>
        <w:ind w:start="567" w:end="0"/>
        <w:jc w:val="start"/>
        <w:rPr/>
      </w:pPr>
      <w:r>
        <w:rPr/>
        <w:t>P = ((C + N – К) / К) x (365 / T) x 100%,</w:t>
      </w:r>
    </w:p>
    <w:p>
      <w:pPr>
        <w:pStyle w:val="MainText"/>
        <w:rPr/>
      </w:pPr>
      <w:r>
        <w:rPr/>
        <w:t>где:</w:t>
      </w:r>
    </w:p>
    <w:p>
      <w:pPr>
        <w:pStyle w:val="MainText"/>
        <w:rPr/>
      </w:pPr>
      <w:r>
        <w:rPr/>
        <w:t>N — номинальная стоимость векселя, указанная в его реквизитах;</w:t>
      </w:r>
    </w:p>
    <w:p>
      <w:pPr>
        <w:pStyle w:val="MainText"/>
        <w:rPr/>
      </w:pPr>
      <w:r>
        <w:rPr/>
        <w:t>К — цена сделки (цена покупки векселя);</w:t>
      </w:r>
    </w:p>
    <w:p>
      <w:pPr>
        <w:pStyle w:val="MainText"/>
        <w:rPr/>
      </w:pPr>
      <w:r>
        <w:rPr/>
        <w:t>T — срок до погашения векселя, дней;</w:t>
      </w:r>
    </w:p>
    <w:p>
      <w:pPr>
        <w:pStyle w:val="MainText"/>
        <w:rPr/>
      </w:pPr>
      <w:r>
        <w:rPr/>
        <w:t>C — сумма процентных выплат (доходов) по ценной бумаге со дня совершения операции до ее погашения.</w:t>
      </w:r>
    </w:p>
    <w:p>
      <w:pPr>
        <w:pStyle w:val="MainText"/>
        <w:rPr/>
      </w:pPr>
      <w:r>
        <w:rPr/>
        <w:t>При заполнении Отчета не включаются в расчет операции с процентными векселями, приобретаемыми по цене выше номинальной стоимости, в случае если разница между ценой сделки и номинальной стоимостью превышает сумму процентных выплат по векселю со дня совершения операции до его погашения или равна ей.</w:t>
      </w:r>
    </w:p>
    <w:p>
      <w:pPr>
        <w:pStyle w:val="MainText"/>
        <w:rPr/>
      </w:pPr>
      <w:r>
        <w:rPr/>
        <w:t>10. Суммы операций исчисляются в тысячах рублей. Показатели процентных ставок отражаются в Отчете с тремя десятичными знаками после запятой.</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ДАННЫЕ О СРЕДНЕВЗВЕШЕННЫХ ПРОЦЕНТНЫХ СТАВКАХ ПО ПРИВЛЕЧЕННЫМ </w:t>
        <w:br/>
        <w:t xml:space="preserve">КРЕДИТНОЙ ОРГАНИЗАЦИЕЙ СРЕДСТВАМ </w:t>
        <w:br/>
        <w:t>за ______ 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jc w:val="end"/>
        <w:rPr/>
      </w:pPr>
      <w:r>
        <w:rPr/>
        <w:t>Код формы по ОКУД 0409129</w:t>
        <w:br/>
        <w:t>Месячная</w:t>
        <w:br/>
        <w:t>тыс. руб.</w:t>
      </w:r>
    </w:p>
    <w:p>
      <w:pPr>
        <w:pStyle w:val="MainTextBezOtstupa"/>
        <w:spacing w:before="0" w:after="120"/>
        <w:jc w:val="start"/>
        <w:rPr/>
      </w:pPr>
      <w:r>
        <w:rPr/>
        <w:t>Раздел 1. Данные о средневзвешенных процентных ставках по привлеченным кредитной организацией средствам в рублях</w:t>
      </w:r>
    </w:p>
    <w:tbl>
      <w:tblPr>
        <w:tblW w:w="16251" w:type="dxa"/>
        <w:jc w:val="center"/>
        <w:tblInd w:w="0" w:type="dxa"/>
        <w:tblLayout w:type="fixed"/>
        <w:tblCellMar>
          <w:top w:w="0" w:type="dxa"/>
          <w:start w:w="108" w:type="dxa"/>
          <w:bottom w:w="0" w:type="dxa"/>
          <w:end w:w="108" w:type="dxa"/>
        </w:tblCellMar>
      </w:tblPr>
      <w:tblGrid>
        <w:gridCol w:w="2659"/>
        <w:gridCol w:w="1699"/>
        <w:gridCol w:w="1699"/>
        <w:gridCol w:w="1699"/>
        <w:gridCol w:w="1699"/>
        <w:gridCol w:w="1699"/>
        <w:gridCol w:w="1699"/>
        <w:gridCol w:w="1699"/>
        <w:gridCol w:w="1699"/>
      </w:tblGrid>
      <w:tr>
        <w:trPr>
          <w:tblHeader w:val="true"/>
          <w:cantSplit/>
        </w:trPr>
        <w:tc>
          <w:tcPr>
            <w:tcW w:w="265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Сроки, на которые</w:t>
            </w:r>
          </w:p>
        </w:tc>
        <w:tc>
          <w:tcPr>
            <w:tcW w:w="10194"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Средства, привлеченные кредитной организацией</w:t>
            </w:r>
          </w:p>
        </w:tc>
        <w:tc>
          <w:tcPr>
            <w:tcW w:w="339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Размещенные векселя</w:t>
            </w:r>
          </w:p>
        </w:tc>
      </w:tr>
      <w:tr>
        <w:trPr>
          <w:tblHeader w:val="true"/>
          <w:cantSplit/>
        </w:trPr>
        <w:tc>
          <w:tcPr>
            <w:tcW w:w="2659" w:type="dxa"/>
            <w:tcBorders>
              <w:start w:val="single" w:sz="6" w:space="0" w:color="000000"/>
              <w:end w:val="single" w:sz="6" w:space="0" w:color="000000"/>
            </w:tcBorders>
          </w:tcPr>
          <w:p>
            <w:pPr>
              <w:pStyle w:val="MainText"/>
              <w:keepNext w:val="true"/>
              <w:ind w:hanging="0" w:end="0"/>
              <w:jc w:val="center"/>
              <w:rPr>
                <w:sz w:val="16"/>
              </w:rPr>
            </w:pPr>
            <w:r>
              <w:rPr>
                <w:sz w:val="16"/>
              </w:rPr>
              <w:t>привлечены средства</w:t>
            </w:r>
          </w:p>
        </w:tc>
        <w:tc>
          <w:tcPr>
            <w:tcW w:w="339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вклады и депозиты физических лиц</w:t>
            </w:r>
          </w:p>
        </w:tc>
        <w:tc>
          <w:tcPr>
            <w:tcW w:w="339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вклады и депозиты нефинансовых организаций</w:t>
            </w:r>
          </w:p>
        </w:tc>
        <w:tc>
          <w:tcPr>
            <w:tcW w:w="339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привлеченные кредиты и депозиты кредитных организаций</w:t>
            </w:r>
          </w:p>
        </w:tc>
        <w:tc>
          <w:tcPr>
            <w:tcW w:w="169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доходность, процент годовых</w:t>
            </w:r>
          </w:p>
        </w:tc>
        <w:tc>
          <w:tcPr>
            <w:tcW w:w="169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общая сумма</w:t>
            </w:r>
          </w:p>
        </w:tc>
      </w:tr>
      <w:tr>
        <w:trPr>
          <w:tblHeader w:val="true"/>
          <w:cantSplit/>
        </w:trPr>
        <w:tc>
          <w:tcPr>
            <w:tcW w:w="265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169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69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tblHeader w:val="true"/>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6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До 30 дней, в т.ч.:</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 До востребования</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 На 1 день</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 От 2 до 7 дней</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 От 8 до 30 дней</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От 31 до 90 дней</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От 91 до 180 дней</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От 181 дня до 1 года</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От 1 года до 3 лет</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Свыше 3 лет</w:t>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Итого: (стр. 1 + 2 + 3 + 4 + 5 + 6)</w:t>
            </w:r>
          </w:p>
        </w:tc>
        <w:tc>
          <w:tcPr>
            <w:tcW w:w="169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X</w:t>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X</w:t>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X</w:t>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X</w:t>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1" w:type="dxa"/>
            <w:gridSpan w:val="9"/>
            <w:tcBorders>
              <w:top w:val="single" w:sz="6" w:space="0" w:color="000000"/>
              <w:start w:val="single" w:sz="6" w:space="0" w:color="000000"/>
              <w:end w:val="single" w:sz="6" w:space="0" w:color="000000"/>
            </w:tcBorders>
          </w:tcPr>
          <w:p>
            <w:pPr>
              <w:pStyle w:val="MainText"/>
              <w:ind w:hanging="0" w:end="0"/>
              <w:jc w:val="start"/>
              <w:rPr>
                <w:sz w:val="16"/>
              </w:rPr>
            </w:pPr>
            <w:r>
              <w:rPr>
                <w:sz w:val="16"/>
              </w:rPr>
              <w:t>Справочно:</w:t>
            </w:r>
          </w:p>
        </w:tc>
      </w:tr>
      <w:tr>
        <w:trPr>
          <w:cantSplit/>
        </w:trPr>
        <w:tc>
          <w:tcPr>
            <w:tcW w:w="16251" w:type="dxa"/>
            <w:gridSpan w:val="9"/>
            <w:tcBorders>
              <w:start w:val="single" w:sz="6" w:space="0" w:color="000000"/>
              <w:bottom w:val="single" w:sz="6" w:space="0" w:color="000000"/>
              <w:end w:val="single" w:sz="6" w:space="0" w:color="000000"/>
            </w:tcBorders>
          </w:tcPr>
          <w:p>
            <w:pPr>
              <w:pStyle w:val="MainText"/>
              <w:ind w:hanging="0" w:end="0"/>
              <w:jc w:val="start"/>
              <w:rPr>
                <w:sz w:val="16"/>
              </w:rPr>
            </w:pPr>
            <w:r>
              <w:rPr>
                <w:sz w:val="16"/>
              </w:rPr>
              <w:t>7.1. средняя ставка по остаткам средств на счетах нефинансовых организаций =</w:t>
            </w:r>
          </w:p>
        </w:tc>
      </w:tr>
      <w:tr>
        <w:trPr>
          <w:cantSplit/>
        </w:trPr>
        <w:tc>
          <w:tcPr>
            <w:tcW w:w="16251"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7.2. средняя ставка по остаткам средств на корреспондентских счетах кредитных организаций =</w:t>
            </w:r>
          </w:p>
        </w:tc>
      </w:tr>
    </w:tbl>
    <w:p>
      <w:pPr>
        <w:pStyle w:val="MainTextBezOtstupa"/>
        <w:spacing w:before="240" w:after="120"/>
        <w:jc w:val="start"/>
        <w:rPr/>
      </w:pPr>
      <w:r>
        <w:br w:type="page"/>
      </w:r>
      <w:r>
        <w:rPr/>
        <w:t>Раздел 2. Данные о средневзвешенных процентных ставках по привлеченным кредитной организацией депозитам, вкладам и кредитам в долларах США</w:t>
      </w:r>
    </w:p>
    <w:tbl>
      <w:tblPr>
        <w:tblW w:w="16255" w:type="dxa"/>
        <w:jc w:val="center"/>
        <w:tblInd w:w="0" w:type="dxa"/>
        <w:tblLayout w:type="fixed"/>
        <w:tblCellMar>
          <w:top w:w="0" w:type="dxa"/>
          <w:start w:w="108" w:type="dxa"/>
          <w:bottom w:w="0" w:type="dxa"/>
          <w:end w:w="108" w:type="dxa"/>
        </w:tblCellMar>
      </w:tblPr>
      <w:tblGrid>
        <w:gridCol w:w="2659"/>
        <w:gridCol w:w="2266"/>
        <w:gridCol w:w="2266"/>
        <w:gridCol w:w="2266"/>
        <w:gridCol w:w="2266"/>
        <w:gridCol w:w="2266"/>
        <w:gridCol w:w="2266"/>
      </w:tblGrid>
      <w:tr>
        <w:trPr>
          <w:tblHeader w:val="true"/>
          <w:cantSplit/>
        </w:trPr>
        <w:tc>
          <w:tcPr>
            <w:tcW w:w="265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Сроки, на которые привлечены</w:t>
            </w:r>
          </w:p>
        </w:tc>
        <w:tc>
          <w:tcPr>
            <w:tcW w:w="13596"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Средства, привлеченные кредитной организацией</w:t>
            </w:r>
          </w:p>
        </w:tc>
      </w:tr>
      <w:tr>
        <w:trPr>
          <w:tblHeader w:val="true"/>
          <w:cantSplit/>
        </w:trPr>
        <w:tc>
          <w:tcPr>
            <w:tcW w:w="2659" w:type="dxa"/>
            <w:tcBorders>
              <w:start w:val="single" w:sz="6" w:space="0" w:color="000000"/>
              <w:end w:val="single" w:sz="6" w:space="0" w:color="000000"/>
            </w:tcBorders>
          </w:tcPr>
          <w:p>
            <w:pPr>
              <w:pStyle w:val="MainText"/>
              <w:keepNext w:val="true"/>
              <w:ind w:hanging="0" w:end="0"/>
              <w:jc w:val="center"/>
              <w:rPr>
                <w:sz w:val="16"/>
              </w:rPr>
            </w:pPr>
            <w:r>
              <w:rPr>
                <w:sz w:val="16"/>
              </w:rPr>
              <w:t>вклады, депозиты и кредиты</w:t>
            </w:r>
          </w:p>
        </w:tc>
        <w:tc>
          <w:tcPr>
            <w:tcW w:w="453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вклады и депозиты физических лиц</w:t>
            </w:r>
          </w:p>
        </w:tc>
        <w:tc>
          <w:tcPr>
            <w:tcW w:w="453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вклады и депозиты нефинансовых организаций</w:t>
            </w:r>
          </w:p>
        </w:tc>
        <w:tc>
          <w:tcPr>
            <w:tcW w:w="453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привлеченные кредиты и депозиты кредитных организаций</w:t>
            </w:r>
          </w:p>
        </w:tc>
      </w:tr>
      <w:tr>
        <w:trPr>
          <w:tblHeader w:val="true"/>
          <w:cantSplit/>
        </w:trPr>
        <w:tc>
          <w:tcPr>
            <w:tcW w:w="265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r>
      <w:tr>
        <w:trPr>
          <w:tblHeader w:val="true"/>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До 30 дней, в т.ч.:</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 До востребования</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 На 1 день</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 От 2 до 7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 От 8 до 30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От 31 до 90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От 91 до 180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От 181 дня до 1 года</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От 1 года до 3 лет</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Свыше 3 лет</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(стр. 1 + 2 + 3 + 4 + 5 + 6)</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jc w:val="start"/>
        <w:rPr/>
      </w:pPr>
      <w:r>
        <w:rPr/>
        <w:t>Раздел 3. Данные о средневзвешенных процентных ставках по привлеченным кредитной организацией депозитам, вкладам и кредитам в евро</w:t>
      </w:r>
    </w:p>
    <w:tbl>
      <w:tblPr>
        <w:tblW w:w="16255" w:type="dxa"/>
        <w:jc w:val="center"/>
        <w:tblInd w:w="0" w:type="dxa"/>
        <w:tblLayout w:type="fixed"/>
        <w:tblCellMar>
          <w:top w:w="0" w:type="dxa"/>
          <w:start w:w="108" w:type="dxa"/>
          <w:bottom w:w="0" w:type="dxa"/>
          <w:end w:w="108" w:type="dxa"/>
        </w:tblCellMar>
      </w:tblPr>
      <w:tblGrid>
        <w:gridCol w:w="2659"/>
        <w:gridCol w:w="2266"/>
        <w:gridCol w:w="2266"/>
        <w:gridCol w:w="2266"/>
        <w:gridCol w:w="2266"/>
        <w:gridCol w:w="2266"/>
        <w:gridCol w:w="2266"/>
      </w:tblGrid>
      <w:tr>
        <w:trPr>
          <w:tblHeader w:val="true"/>
          <w:cantSplit/>
        </w:trPr>
        <w:tc>
          <w:tcPr>
            <w:tcW w:w="265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Сроки, на которые привлечены</w:t>
            </w:r>
          </w:p>
        </w:tc>
        <w:tc>
          <w:tcPr>
            <w:tcW w:w="13596"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Средства, привлеченные кредитной организацией</w:t>
            </w:r>
          </w:p>
        </w:tc>
      </w:tr>
      <w:tr>
        <w:trPr>
          <w:tblHeader w:val="true"/>
          <w:cantSplit/>
        </w:trPr>
        <w:tc>
          <w:tcPr>
            <w:tcW w:w="2659" w:type="dxa"/>
            <w:tcBorders>
              <w:start w:val="single" w:sz="6" w:space="0" w:color="000000"/>
              <w:end w:val="single" w:sz="6" w:space="0" w:color="000000"/>
            </w:tcBorders>
          </w:tcPr>
          <w:p>
            <w:pPr>
              <w:pStyle w:val="MainText"/>
              <w:keepNext w:val="true"/>
              <w:ind w:hanging="0" w:end="0"/>
              <w:jc w:val="center"/>
              <w:rPr>
                <w:sz w:val="16"/>
              </w:rPr>
            </w:pPr>
            <w:r>
              <w:rPr>
                <w:sz w:val="16"/>
              </w:rPr>
              <w:t>вклады, депозиты и кредиты</w:t>
            </w:r>
          </w:p>
        </w:tc>
        <w:tc>
          <w:tcPr>
            <w:tcW w:w="453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вклады и депозиты физических лиц</w:t>
            </w:r>
          </w:p>
        </w:tc>
        <w:tc>
          <w:tcPr>
            <w:tcW w:w="453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вклады и депозиты нефинансовых организаций</w:t>
            </w:r>
          </w:p>
        </w:tc>
        <w:tc>
          <w:tcPr>
            <w:tcW w:w="453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привлеченные кредиты и депозиты кредитных организаций</w:t>
            </w:r>
          </w:p>
        </w:tc>
      </w:tr>
      <w:tr>
        <w:trPr>
          <w:tblHeader w:val="true"/>
          <w:cantSplit/>
        </w:trPr>
        <w:tc>
          <w:tcPr>
            <w:tcW w:w="265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 процент годовых</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общая сумма</w:t>
            </w:r>
          </w:p>
        </w:tc>
      </w:tr>
      <w:tr>
        <w:trPr>
          <w:tblHeader w:val="true"/>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6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До 30 дней, в т.ч.:</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 До востребования</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 На 1 день</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 От 2 до 7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 От 8 до 30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От 31 до 90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От 91 до 180 дней</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От 181 дня до 1 года</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От 1 года до 3 лет</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Свыше 3 лет</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5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(стр. 1 + 2 + 3 + 4 + 5 + 6)</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0409129 “Данные о средневзвешенных процентных ставках по привлеченным кредитной организацией средствам”</w:t>
      </w:r>
    </w:p>
    <w:p>
      <w:pPr>
        <w:pStyle w:val="MainText"/>
        <w:rPr/>
      </w:pPr>
      <w:r>
        <w:rPr/>
        <w:t>1. Отчетность по форме 0409129 “Данные о средневзвешенных процентных ставках по привлеченным кредитной организацией средствам” (далее — Отчет) представляется головными офисами и филиалами кредитных организаций (далее — кредитные организации, за исключением прямого указания в тексте настоящего Порядка на головной офис или филиал кредитной организации) в территориальные учреждения Банка России по месту их нахождения.</w:t>
      </w:r>
    </w:p>
    <w:p>
      <w:pPr>
        <w:pStyle w:val="MainText"/>
        <w:rPr/>
      </w:pPr>
      <w:r>
        <w:rPr/>
        <w:t>2. Отчет представляется:</w:t>
      </w:r>
    </w:p>
    <w:p>
      <w:pPr>
        <w:pStyle w:val="MainText"/>
        <w:rPr/>
      </w:pPr>
      <w:r>
        <w:rPr/>
        <w:t>кредитными организациями (за исключением крупных кредитных организаций с широкой сетью подразделений) — не позднее 7-го рабочего дня месяца, следующего за отчетным;</w:t>
      </w:r>
    </w:p>
    <w:p>
      <w:pPr>
        <w:pStyle w:val="MainText"/>
        <w:rPr/>
      </w:pPr>
      <w:r>
        <w:rPr/>
        <w:t>крупными кредитными организациями с широкой сетью подразделений (территориальными банками и филиалами) — не позднее 19-го рабочего дня месяца, следующего за отчетным.</w:t>
      </w:r>
    </w:p>
    <w:p>
      <w:pPr>
        <w:pStyle w:val="MainText"/>
        <w:rPr/>
      </w:pPr>
      <w:r>
        <w:rPr/>
        <w:t>Подразделения крупных кредитных организаций с широкой сетью подразделений представляют Отчеты в территориальные учреждения Банка России в следующем порядке:</w:t>
      </w:r>
    </w:p>
    <w:p>
      <w:pPr>
        <w:pStyle w:val="MainText"/>
        <w:rPr/>
      </w:pPr>
      <w:r>
        <w:rPr/>
        <w:t>головной офис и территориальные банки крупных кредитных организаций с широкой сетью подразделений представляют сводный отчет по головному офису (территориальному банку) кредитной организации и филиалам, расположенным на одной с ним территории субъекта Российской Федерации, в территориальные учреждения Банка России по месту нахождения;</w:t>
      </w:r>
    </w:p>
    <w:p>
      <w:pPr>
        <w:pStyle w:val="MainText"/>
        <w:rPr/>
      </w:pPr>
      <w:r>
        <w:rPr/>
        <w:t>на территории субъекта Российской Федерации, где отсутствует головной офис (территориальный банк) крупной кредитной организации с широкой сетью подразделений, Отчеты в территориальные учреждения Банка России по месту нахождения представляют либо непосредственно каждый филиал крупной кредитной организации с широкой сетью подразделений, либо те филиалы, на которые головным офисом (территориальным банком) кредитной организации возложены функции по сбору и представлению сводной отчетности по филиалам, расположенным на этой территории.</w:t>
      </w:r>
    </w:p>
    <w:p>
      <w:pPr>
        <w:pStyle w:val="MainText"/>
        <w:rPr/>
      </w:pPr>
      <w:r>
        <w:rPr/>
        <w:t>3. При заполнении Отчета в расчет включаются только операции в рублях, долларах США и евро. Сумма операций в иностранной валюте указывается в рублевом эквиваленте, определяемом по официальному курсу иностранной валюты по отношению к рублю, установленному Банком России, в котором указанные операции отражаются в отчетности по форме 0409101 “Оборотная ведомость по счетам бухгалтерского учета кредитной организации”, составленной за отчетный период.</w:t>
      </w:r>
    </w:p>
    <w:p>
      <w:pPr>
        <w:pStyle w:val="MainText"/>
        <w:rPr/>
      </w:pPr>
      <w:r>
        <w:rPr/>
        <w:t>4. При составлении Отчета учитываются данные по депозитам, привлеченным за отчетный период от нефинансовых организаций, кредитных организаций, а также физических лиц, включая средства отчитывающейся кредитной организации, привлеченные по кредитным договорам от других кредитных организаций, а также по размещенным кредитной организацией собственным векселям с номиналом в рублях.</w:t>
      </w:r>
    </w:p>
    <w:p>
      <w:pPr>
        <w:pStyle w:val="MainText"/>
        <w:rPr/>
      </w:pPr>
      <w:r>
        <w:rPr/>
        <w:t>Для расчета показателей, указываемых в графах 2 и 3 Отчета, используются данные по депозитным операциям с физическими лицами (резидентами и нерезидентами). В Отчете под суммой, указываемой в графе 3, понимается общая сумма привлеченных средств за соответствующий отчетный период, отраженных по кредиту балансовых счетов №№ 42301—42307, 42309—42315, 42601—42607, 42609—42615, за исключением средств, которые не учитываются в Отчете.</w:t>
      </w:r>
    </w:p>
    <w:p>
      <w:pPr>
        <w:pStyle w:val="MainText"/>
        <w:rPr/>
      </w:pPr>
      <w:r>
        <w:rPr/>
        <w:t>Для расчета показателей, указываемых в графах 4 и 5 Отчета, используются данные по депозитным операциям с коммерческими организациями всех форм собственности и юридическими лицами — нерезидентами (за исключением кредитных организаций — нерезидентов). В Отчете под суммой, указываемой в графе 5, понимается общая сумма привлеченных средств за соответствующий отчетный период, отраженных по кредиту балансовых счетов №№ 41501—41507, 41801—41807, 42101—42107, 42501—42507, за исключением средств, которые не учитываются в Отчете.</w:t>
      </w:r>
    </w:p>
    <w:p>
      <w:pPr>
        <w:pStyle w:val="MainText"/>
        <w:rPr/>
      </w:pPr>
      <w:r>
        <w:rPr/>
        <w:t>Для расчета показателей, указываемых в графах 6 и 7 Отчета, используются данные по операциям привлечения средств от кредитных организаций (резидентов и нерезидентов). В Отчете под суммой, указываемой в графе 7, понимается общая сумма привлеченных средств за соответствующий отчетный период, отраженных по кредиту балансовых счетов №№ 31302—31310, 31402—31410, 31501—31509, 31601—31609, за исключением средств, которые не учитываются в Отчете.</w:t>
      </w:r>
    </w:p>
    <w:p>
      <w:pPr>
        <w:pStyle w:val="MainText"/>
        <w:rPr/>
      </w:pPr>
      <w:r>
        <w:rPr/>
        <w:t>Для расчета показателей, указываемых в графах 8 и 9 раздела 1 Отчета, используются данные по размещению кредитными организациями собственных векселей с номиналом в рублях. В Отчете под суммой, указываемой в графе 9, понимается общая сумма привлеченных средств за соответствующий отчетный период, отраженных по балансовым счетам №№ 52301—52307.</w:t>
      </w:r>
    </w:p>
    <w:p>
      <w:pPr>
        <w:pStyle w:val="MainText"/>
        <w:rPr/>
      </w:pPr>
      <w:r>
        <w:rPr/>
        <w:t>Операции по размещению рублевых средств нефинансовых организаций (на текущих счетах) и кредитных организаций (на корреспондентских счетах) в отчитывающейся кредитной организации отражаются в строках 7.1 и 7.2 раздела 1 Отчета.</w:t>
      </w:r>
    </w:p>
    <w:p>
      <w:pPr>
        <w:pStyle w:val="MainText"/>
        <w:rPr/>
      </w:pPr>
      <w:r>
        <w:rPr/>
        <w:t>5. При составлении Отчета не учитываются:</w:t>
      </w:r>
    </w:p>
    <w:p>
      <w:pPr>
        <w:pStyle w:val="MainText"/>
        <w:rPr/>
      </w:pPr>
      <w:r>
        <w:rPr/>
        <w:t>депозиты и вклады, привлеченные по переменной процентной ставке, изменяющейся в зависимости от внешних ценовых индикаторов (ставки LIBOR, фондовых индексов, индекса потребительских цен и так далее);</w:t>
      </w:r>
    </w:p>
    <w:p>
      <w:pPr>
        <w:pStyle w:val="MainText"/>
        <w:rPr/>
      </w:pPr>
      <w:r>
        <w:rPr/>
        <w:t>операции РЕПО;</w:t>
      </w:r>
    </w:p>
    <w:p>
      <w:pPr>
        <w:pStyle w:val="MainText"/>
        <w:rPr/>
      </w:pPr>
      <w:r>
        <w:rPr/>
        <w:t>беспроцентные операции по привлечению средств;</w:t>
      </w:r>
    </w:p>
    <w:p>
      <w:pPr>
        <w:pStyle w:val="MainText"/>
        <w:rPr/>
      </w:pPr>
      <w:r>
        <w:rPr/>
        <w:t>кредиты и депозиты, полученные кредитными организациями от Банка России (балансовый счет № 312);</w:t>
      </w:r>
    </w:p>
    <w:p>
      <w:pPr>
        <w:pStyle w:val="MainText"/>
        <w:rPr/>
      </w:pPr>
      <w:r>
        <w:rPr/>
        <w:t>операции по реализации облигаций, сберегательных и депозитных сертификатов;</w:t>
      </w:r>
    </w:p>
    <w:p>
      <w:pPr>
        <w:pStyle w:val="MainText"/>
        <w:rPr/>
      </w:pPr>
      <w:r>
        <w:rPr/>
        <w:t>операции “овердрафт”;</w:t>
      </w:r>
    </w:p>
    <w:p>
      <w:pPr>
        <w:pStyle w:val="MainText"/>
        <w:rPr/>
      </w:pPr>
      <w:r>
        <w:rPr/>
        <w:t>операции по депонированию средств юридических и физических лиц в кредитной организации для расчетов с использованием банковских карт.</w:t>
      </w:r>
    </w:p>
    <w:p>
      <w:pPr>
        <w:pStyle w:val="MainText"/>
        <w:rPr/>
      </w:pPr>
      <w:r>
        <w:rPr/>
        <w:t>6. Процентная ставка и сумма по пролонгированным депозитным договорам учитываются как ставка и сумма вновь привлеченного депозита в месяце, когда осуществлена пролонгация. В качестве срока операции при пролонгировании указывается срок, на который пролонгируется договор.</w:t>
      </w:r>
    </w:p>
    <w:p>
      <w:pPr>
        <w:pStyle w:val="MainText"/>
        <w:rPr/>
      </w:pPr>
      <w:r>
        <w:rPr/>
        <w:t>Процентная ставка и срок по досрочно изъятым депозитам и вкладам учитываются как ставка и срок, установленные депозитным договором при привлечении средств.</w:t>
      </w:r>
    </w:p>
    <w:p>
      <w:pPr>
        <w:pStyle w:val="MainText"/>
        <w:rPr/>
      </w:pPr>
      <w:r>
        <w:rPr/>
        <w:t>Получение кредитными организациями в отчетном периоде очередного транша в рамках генерального (рамочного) соглашения (договора) об открытии кредитной линии в Отчете отражается как получение нового межбанковского кредита. Срок полученного кредита (в целях группировки по срокам и определения средневзвешенного срока) определяется непосредственно из договора на привлечение средств, заключаемого в рамках генерального (рамочного) соглашения (договора) об открытии кредитной линии, а при отсутствии в нем таких данных — в соответствии с условиями генерального (рамочного) соглашения (договора) об открытии кредитной линии, то есть указывается срок договора о кредитной линии, за вычетом срока, прошедшего со дня подписания договора.</w:t>
      </w:r>
    </w:p>
    <w:p>
      <w:pPr>
        <w:pStyle w:val="MainText"/>
        <w:rPr/>
      </w:pPr>
      <w:r>
        <w:rPr/>
        <w:t>Дополнительные взносы на депозиты и вклады и причисление процентов к основной сумме в Отчете не отражаются.</w:t>
      </w:r>
    </w:p>
    <w:p>
      <w:pPr>
        <w:pStyle w:val="MainText"/>
        <w:rPr/>
      </w:pPr>
      <w:r>
        <w:rPr/>
        <w:t>Все депозиты и вклады группируются по срочности исходя из срока, указанного в договоре (последнем дополнительном соглашении к данному договору).</w:t>
      </w:r>
    </w:p>
    <w:p>
      <w:pPr>
        <w:pStyle w:val="MainText"/>
        <w:rPr/>
      </w:pPr>
      <w:r>
        <w:rPr/>
        <w:t>7. Для векселей со сроком по предъявлении срок до погашения при расчетах показателей доходности считается равным 365 дням. В качестве суммы процентных выплат для таких векселей указывается сумма процентов, приходящаяся на один полный год обращения векселя. Вексель со сроком во столько-то времени от предъявления отражается в Отчете в соответствии с порядком, установленным для векселей со сроком по предъявлении.</w:t>
      </w:r>
    </w:p>
    <w:p>
      <w:pPr>
        <w:pStyle w:val="MainText"/>
        <w:rPr/>
      </w:pPr>
      <w:r>
        <w:rPr/>
        <w:t>Вексель со сроком по предъявлении, но не позднее определенной даты отражается в строке 1 раздела 1 Отчета. Если срок погашения векселя указан “по предъявлении, но не позднее определенной даты” и срок от даты учета векселя до предельной даты погашения, указанной в векселе, превышает 365 дней, то срок до погашения при расчетах показателей доходности считается равным 365 дням. Если срок до предельной даты погашения, указанной в векселе, меньше 365 дней, то срок до погашения при расчетах показателей доходности считается равным указанному сроку.</w:t>
      </w:r>
    </w:p>
    <w:p>
      <w:pPr>
        <w:pStyle w:val="MainText"/>
        <w:rPr/>
      </w:pPr>
      <w:r>
        <w:rPr/>
        <w:t>По векселю со сроком по предъявлении, но не ранее определенной даты, учтенному до наступления даты, указанной в векселе, срок до погашения при расчетах показателей доходности и группировке операций по срочности считается равным фактическому сроку между датой совершения операции и датой платежа, указанной в векселе. Вексель со сроком по предъявлении, но не ранее определенной даты, учтенный после наступления даты, указанной в векселе, отражается в Отчете в соответствии с порядком, установленным для векселей со сроком по предъявлении. Вексель со сроком по предъявлении, но не ранее определенной даты и не позднее определенной даты отражается в Отчете в соответствии с порядком, установленным для векселей со сроком по предъявлении, но не ранее определенной даты.</w:t>
      </w:r>
    </w:p>
    <w:p>
      <w:pPr>
        <w:pStyle w:val="MainText"/>
        <w:rPr/>
      </w:pPr>
      <w:r>
        <w:rPr/>
        <w:t>8. В графах 2, 4 и 6 Отчета указывается средневзвешенная процентная ставка в годовом исчислении, рассчитанная исходя из годовых процентных ставок, установленных в кредитных (депозитных) договорах, и условий привлечения средств.</w:t>
      </w:r>
    </w:p>
    <w:p>
      <w:pPr>
        <w:pStyle w:val="MainText"/>
        <w:rPr/>
      </w:pPr>
      <w:r>
        <w:rPr/>
        <w:t>По депозитам и вкладам, привлеченным по переменной процентной ставке, будущие значения которой определены депозитным договором, при заполнении граф 2, 4 и 6 Отчета отражается средневзвешенная по длительности действия процентная ставка за весь срок действия депозитного договора.</w:t>
      </w:r>
    </w:p>
    <w:p>
      <w:pPr>
        <w:pStyle w:val="MainText"/>
        <w:rPr/>
      </w:pPr>
      <w:r>
        <w:rPr/>
        <w:t>Средневзвешенная процентная ставка рассчитывается по формуле:</w:t>
      </w:r>
    </w:p>
    <w:p>
      <w:pPr>
        <w:pStyle w:val="MainTextBezOtstupa"/>
        <w:spacing w:before="120" w:after="120"/>
        <w:ind w:start="567" w:end="0"/>
        <w:jc w:val="start"/>
        <w:rPr/>
      </w:pPr>
      <w:r>
        <w:rPr/>
        <w:t>Pav = (V1 x P1 + V2 x P2 + ... + Vn x Pn) : (V1 + V2 + ... + Vn),</w:t>
      </w:r>
    </w:p>
    <w:p>
      <w:pPr>
        <w:pStyle w:val="MainText"/>
        <w:rPr/>
      </w:pPr>
      <w:r>
        <w:rPr/>
        <w:t>где:</w:t>
      </w:r>
    </w:p>
    <w:p>
      <w:pPr>
        <w:pStyle w:val="MainText"/>
        <w:rPr/>
      </w:pPr>
      <w:r>
        <w:rPr/>
        <w:t>V1, V2, ... Vn — сумма депозита, вклада по договору (дополнительному соглашению) по n-й сделке;</w:t>
      </w:r>
    </w:p>
    <w:p>
      <w:pPr>
        <w:pStyle w:val="MainText"/>
        <w:rPr/>
      </w:pPr>
      <w:r>
        <w:rPr/>
        <w:t>Р1, Р2, ... Рn — номинальная процентная ставка по n-й сделке, установленная в договоре.</w:t>
      </w:r>
    </w:p>
    <w:p>
      <w:pPr>
        <w:pStyle w:val="MainText"/>
        <w:rPr/>
      </w:pPr>
      <w:r>
        <w:rPr/>
        <w:t>Ставки по остаткам средств на счетах нефинансовых организаций (строка 7.1 раздела 1 Отчета) и на корреспондентских счетах кредитных организаций (строка 7.2 раздела 1 Отчета) рассчитываются как среднее арифметическое ставок по действующим публичным офертам кредитной организации на открытие счетов нефинансовых организаций и корреспондентских счетов кредитных организаций. В  том случае, если банк не размещает публичные оферты по договорам обслуживания расчетного или корреспондентского счета, допускается указание в строках 7.1 и 7.2 раздела 1 Отчета функционально эквивалентных показателей, в частности, средней арифметической или средневзвешенной ставки по действующим в отчетном периоде договорам на обслуживание расчетного или корреспондентского счета.</w:t>
      </w:r>
    </w:p>
    <w:p>
      <w:pPr>
        <w:pStyle w:val="MainText"/>
        <w:rPr/>
      </w:pPr>
      <w:r>
        <w:rPr/>
        <w:t>9. В графе 8 раздела 1 Отчета указывается средневзвешенная доходность реализованных кредитной организацией собственных векселей в годовом исчислении, определенная исходя из цены приобретения векселей и процентных выплат по векселям. Средневзвешенная доходность рассчитывается по формуле:</w:t>
      </w:r>
    </w:p>
    <w:p>
      <w:pPr>
        <w:pStyle w:val="MainTextBezOtstupa"/>
        <w:spacing w:before="120" w:after="120"/>
        <w:ind w:start="567" w:end="0"/>
        <w:jc w:val="start"/>
        <w:rPr/>
      </w:pPr>
      <w:r>
        <w:rPr/>
        <w:t>Pav = (V1 x P1 + V2 x P2 + ... + Vn x Pn) : (V1 + V2 + ... + Vn),</w:t>
      </w:r>
    </w:p>
    <w:p>
      <w:pPr>
        <w:pStyle w:val="MainText"/>
        <w:rPr/>
      </w:pPr>
      <w:r>
        <w:rPr/>
        <w:t>где:</w:t>
      </w:r>
    </w:p>
    <w:p>
      <w:pPr>
        <w:pStyle w:val="MainText"/>
        <w:rPr/>
      </w:pPr>
      <w:r>
        <w:rPr/>
        <w:t>V1, V2, ... Vn — сумма средств, привлеченных в ходе реализации векселей;</w:t>
      </w:r>
    </w:p>
    <w:p>
      <w:pPr>
        <w:pStyle w:val="MainText"/>
        <w:rPr/>
      </w:pPr>
      <w:r>
        <w:rPr/>
        <w:t>P1, P2, ... Pn — доходность векселей.</w:t>
      </w:r>
    </w:p>
    <w:p>
      <w:pPr>
        <w:pStyle w:val="MainText"/>
        <w:rPr/>
      </w:pPr>
      <w:r>
        <w:rPr/>
        <w:t>Для беспроцентных векселей, размещаемых по цене ниже номинальной стоимости (с дисконтом), процентная ставка рассчитывается по формуле:</w:t>
      </w:r>
    </w:p>
    <w:p>
      <w:pPr>
        <w:pStyle w:val="MainTextBezOtstupa"/>
        <w:spacing w:before="120" w:after="120"/>
        <w:ind w:start="567" w:end="0"/>
        <w:jc w:val="start"/>
        <w:rPr/>
      </w:pPr>
      <w:r>
        <w:rPr/>
        <w:t>P = ((N – К) / К) x (365 / T) x 100%,</w:t>
      </w:r>
    </w:p>
    <w:p>
      <w:pPr>
        <w:pStyle w:val="MainText"/>
        <w:rPr/>
      </w:pPr>
      <w:r>
        <w:rPr/>
        <w:t>где:</w:t>
      </w:r>
    </w:p>
    <w:p>
      <w:pPr>
        <w:pStyle w:val="MainText"/>
        <w:rPr/>
      </w:pPr>
      <w:r>
        <w:rPr/>
        <w:t>N — номинальная стоимость векселя, указанная в его реквизитах;</w:t>
      </w:r>
    </w:p>
    <w:p>
      <w:pPr>
        <w:pStyle w:val="MainText"/>
        <w:rPr/>
      </w:pPr>
      <w:r>
        <w:rPr/>
        <w:t>К — цена сделки (цена продажи векселя);</w:t>
      </w:r>
    </w:p>
    <w:p>
      <w:pPr>
        <w:pStyle w:val="MainText"/>
        <w:rPr/>
      </w:pPr>
      <w:r>
        <w:rPr/>
        <w:t>T — срок до погашения векселя, дней.</w:t>
      </w:r>
    </w:p>
    <w:p>
      <w:pPr>
        <w:pStyle w:val="MainText"/>
        <w:rPr/>
      </w:pPr>
      <w:r>
        <w:rPr/>
        <w:t>Операции с беспроцентными векселями, размещаемыми по цене выше или равной номинальной стоимости, не включаются в расчет при заполнении Отчета.</w:t>
      </w:r>
    </w:p>
    <w:p>
      <w:pPr>
        <w:pStyle w:val="MainText"/>
        <w:rPr/>
      </w:pPr>
      <w:r>
        <w:rPr/>
        <w:t>Для процентных векселей, размещаемых по цене, отличной от номинальной стоимости, процентная ставка рассчитывается по формуле доходности ценной бумаги к погашению:</w:t>
      </w:r>
    </w:p>
    <w:p>
      <w:pPr>
        <w:pStyle w:val="MainTextBezOtstupa"/>
        <w:spacing w:before="120" w:after="120"/>
        <w:ind w:start="567" w:end="0"/>
        <w:jc w:val="start"/>
        <w:rPr/>
      </w:pPr>
      <w:r>
        <w:rPr/>
        <w:t>P = ((C + N – К) / К) x (365 / T) x 100%,</w:t>
      </w:r>
    </w:p>
    <w:p>
      <w:pPr>
        <w:pStyle w:val="MainText"/>
        <w:rPr/>
      </w:pPr>
      <w:r>
        <w:rPr/>
        <w:t>где:</w:t>
      </w:r>
    </w:p>
    <w:p>
      <w:pPr>
        <w:pStyle w:val="MainText"/>
        <w:rPr/>
      </w:pPr>
      <w:r>
        <w:rPr/>
        <w:t>N — номинальная стоимость векселя, указанная в его реквизитах;</w:t>
      </w:r>
    </w:p>
    <w:p>
      <w:pPr>
        <w:pStyle w:val="MainText"/>
        <w:rPr/>
      </w:pPr>
      <w:r>
        <w:rPr/>
        <w:t>К — цена сделки (цена продажи векселя);</w:t>
      </w:r>
    </w:p>
    <w:p>
      <w:pPr>
        <w:pStyle w:val="MainText"/>
        <w:rPr/>
      </w:pPr>
      <w:r>
        <w:rPr/>
        <w:t>T — срок до погашения векселя, дней;</w:t>
      </w:r>
    </w:p>
    <w:p>
      <w:pPr>
        <w:pStyle w:val="MainText"/>
        <w:rPr/>
      </w:pPr>
      <w:r>
        <w:rPr/>
        <w:t>C — сумма процентных платежей по векселю.</w:t>
      </w:r>
    </w:p>
    <w:p>
      <w:pPr>
        <w:pStyle w:val="MainText"/>
        <w:rPr/>
      </w:pPr>
      <w:r>
        <w:rPr/>
        <w:t>При заполнении Отчета не включаются в расчет операции с процентными векселями, размещаемыми по цене выше номинальной стоимости, в случае если разница между ценой сделки и номинальной стоимостью превышает сумму процентных платежей по векселю.</w:t>
      </w:r>
    </w:p>
    <w:p>
      <w:pPr>
        <w:pStyle w:val="MainText"/>
        <w:rPr/>
      </w:pPr>
      <w:r>
        <w:rPr/>
        <w:t>10. Сумма депозита исчисляется в тысячах рублей. Показатели процентных ставок отражаются в Отчете с тремя десятичными знаками после запятой.</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РАСЧЕТ СОБСТВЕННЫХ СРЕДСТВ (КАПИТАЛА) </w:t>
        <w:br/>
        <w:t>по состоянию на “</w:t>
      </w:r>
      <w:r>
        <w:rPr/>
        <w:t>___” __________ _____</w:t>
      </w:r>
      <w:r>
        <w:rPr>
          <w:b w:val="false"/>
        </w:rPr>
        <w:t xml:space="preserve"> </w:t>
      </w:r>
      <w:r>
        <w:rPr/>
        <w:t>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0409134</w:t>
        <w:br/>
        <w:t>Месячная (Суточная)</w:t>
        <w:br/>
        <w:t>тыс. руб.</w:t>
      </w:r>
    </w:p>
    <w:tbl>
      <w:tblPr>
        <w:tblW w:w="10989" w:type="dxa"/>
        <w:jc w:val="center"/>
        <w:tblInd w:w="0" w:type="dxa"/>
        <w:tblLayout w:type="fixed"/>
        <w:tblCellMar>
          <w:top w:w="0" w:type="dxa"/>
          <w:start w:w="108" w:type="dxa"/>
          <w:bottom w:w="0" w:type="dxa"/>
          <w:end w:w="108" w:type="dxa"/>
        </w:tblCellMar>
      </w:tblPr>
      <w:tblGrid>
        <w:gridCol w:w="959"/>
        <w:gridCol w:w="8505"/>
        <w:gridCol w:w="1525"/>
      </w:tblGrid>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850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Наименование показателя</w:t>
            </w:r>
          </w:p>
        </w:tc>
        <w:tc>
          <w:tcPr>
            <w:tcW w:w="15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Остаток на отчетную дату</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850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15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000</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Собственные средства (капитал), итого, </w:t>
              <w:br/>
              <w:t>в том числе:</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100</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Основной капитал</w:t>
            </w:r>
          </w:p>
        </w:tc>
        <w:tc>
          <w:tcPr>
            <w:tcW w:w="152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Х</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Уставный капитал кредитной организации</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102</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Эмиссионный доход кредитной организации</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103</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Часть резервного фонда кредитной организации, сформированного за счет прибыли предшествующих лет</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104</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Часть нераспределенной прибыли текущего года, </w:t>
              <w:br/>
              <w:t>в том числе:</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104.1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105</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Часть резервного фонда кредитной организации, сформированного из прибыли текущего года</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106</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Нераспределенная прибыль предшествующих лет (ее часть)</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107</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Субординированный заем с дополнительными условиями</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108</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Источники основного капитала, итого</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109</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Нематериальные активы</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110</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Собственные акции (доли участников), приобретенные (выкупленные) кредитной организацией у акционеров (участников)</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Непокрытые убытки предшествующих лет</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112</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Убыток текущего года, </w:t>
              <w:br/>
              <w:t>в том числе:</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112.1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113</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Вложения кредитной организации в акции (доли) дочерних и зависимых юридических лиц и уставный капитал кредитных организаций — резидентов</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114</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Уставный капитал (его часть) и иные источники собственных средств (эмиссионный доход, нераспределенная прибыль, резервный фонд) (их часть), для формирования которых инвесторами использованы ненадлежащие активы</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115</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Отрицательная величина дополнительного капитала</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116</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Основной капитал, итого</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200</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Дополнительный капитал</w:t>
            </w:r>
          </w:p>
        </w:tc>
        <w:tc>
          <w:tcPr>
            <w:tcW w:w="152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Х</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Прирост стоимости имущества кредитной организации за счет переоценки</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Часть резервного фонда, сформированного за счет отчислений из прибыли текущего года</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203</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Нераспределенная прибыль текущего года (ее часть), </w:t>
              <w:br/>
              <w:t>в том числе:</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203.1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204</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Субординированный кредит (займ, депозит, облигационный займ) по остаточной стоимости</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205</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Часть уставного капитала, сформированного за счет капитализации прироста стоимости имущества при переоценке</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206</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Часть привилегированных (включая кумулятивные) акций</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207</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Нераспределенная прибыль предшествующих лет</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208</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Источники (часть источников) дополнительного капитала (уставного капитала, нераспределенной прибыли, резервного фонда, субординированного кредита), для формирования которых инвесторами использованы ненадлежащие активы</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209</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Источники дополнительного капитала, итого</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210</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Дополнительный капитал, итого</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300</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Показатели, уменьшающие сумму основного и дополнительного капитала</w:t>
            </w:r>
          </w:p>
        </w:tc>
        <w:tc>
          <w:tcPr>
            <w:tcW w:w="152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Х</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Величина недосозданного резерва на возможные потери по ссудам II—V категорий качества</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302</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Величина недосозданного резерва на возможные потери</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303</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Величина недосозданного резерва под операции с резидентами офшорных зон</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304</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Просроченная дебиторская задолженность длительностью свыше 30 календарных дней</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305</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Субординированные кредиты (депозиты, займы, облигационные займы), в том числе субординированные займы с дополнительными условиями, предоставленные кредитным организациям — резидентам</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400</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Промежуточный итог</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501</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Величина превышения совокупной суммы кредитов, банковских гарантий и поручительств, предоставленных кредитной организацией своим участникам (акционерам) и инсайдерам, над ее максимальным размером, предусмотренным федеральными законами и нормативными актами Банка России</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502</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Превышающие сумму источников основного и дополнительного капитала вложения в сооружение (строительство), создание (изготовление) и приобретение основных средств, стоимость основных средств, а также материальных запасов</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503</w:t>
            </w:r>
          </w:p>
        </w:tc>
        <w:tc>
          <w:tcPr>
            <w:tcW w:w="850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Разница между действительной стоимостью доли, причитающейся вышедшим из общества участникам, и стоимостью, по которой доля была реализована другому участнику</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0409134 “Расчет собственных средств (капитала)”</w:t>
      </w:r>
    </w:p>
    <w:p>
      <w:pPr>
        <w:pStyle w:val="MainText"/>
        <w:spacing w:before="0" w:after="120"/>
        <w:rPr/>
      </w:pPr>
      <w:r>
        <w:rPr/>
        <w:t>1. Отчетность по форме 0409134 “Расчет собственных средств (капитала)” (далее — Отчет) составляется в соответствии с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17 июля 2006 года № 8091, 7 марта 2007 года № 9072, 26 июля 2007 года № 9910, 20 декабря 2007 года № 10778, 12 декабря 2008 года № 12840, 19 декабря 2008 года № 12905, 29 июня 2009 года № 14161 (“Вестник Банка России” от 20 марта 2003 года № 15, от 26 июля 2006 года № 41, от 14 марта 2007 года № 14, от 2 августа 2007 года № 44, от 26 декабря 2007 года № 71, от 17 декабря 2008 года № 73, от 24 декабря 2008 года № 74, от 8 июля 2009 года № 40) (далее — Положение Банка России № 215-П), с учетом следующей таблицы:</w:t>
      </w:r>
    </w:p>
    <w:tbl>
      <w:tblPr>
        <w:tblW w:w="10989" w:type="dxa"/>
        <w:jc w:val="center"/>
        <w:tblInd w:w="0" w:type="dxa"/>
        <w:tblLayout w:type="fixed"/>
        <w:tblCellMar>
          <w:top w:w="0" w:type="dxa"/>
          <w:start w:w="28" w:type="dxa"/>
          <w:bottom w:w="0" w:type="dxa"/>
          <w:end w:w="28" w:type="dxa"/>
        </w:tblCellMar>
      </w:tblPr>
      <w:tblGrid>
        <w:gridCol w:w="675"/>
        <w:gridCol w:w="6521"/>
        <w:gridCol w:w="3793"/>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65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37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Пункт (подпункт) Положения Банка России № 215-П или иной порядок, в соответствии с которым производится заполнение строки</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65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37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000</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Собственные средства (капитал), итого, в том числе:</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строка 400 минус сумма строк 501, 502, 503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100</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Основной капитал</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Уставный капитал кредитной организации</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2.1.1 — для кредитной организации, созданной в форме акционерного общества </w:t>
              <w:br/>
              <w:t>2.1.2 — для кредитной организации, созданной в форме общества с ограниченной (дополнительной) ответственностью</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102</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Эмиссионный доход кредитной организации</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2.1.3 — для кредитной организации, созданной в форме акционерного общества </w:t>
              <w:br/>
              <w:t>2.1.4 — для кредитной организации, созданной в форме общества с ограниченной (дополнительной) ответственностью</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103</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резервного фонда кредитной организации, сформированного за счет прибыли предшествующих лет</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104</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Часть нераспределенной прибыли текущего года, </w:t>
              <w:br/>
              <w:t>в том числе:</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104.1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остатков на балансовых счетах 10603 и 70602 минус сумма остатков на балансовых счетах 10605 и 70607 в соответствующих частях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105</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резервного фонда кредитной организации, сформированного из прибыли текущего года</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106</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Нераспределенная прибыль предшествующих лет (ее часть)</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2.1.11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107</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Субординированный заем с дополнительными условиями</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2.1.12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108</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Источники основного капитала, итого</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строк со 101-й по 107-ю</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109</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Нематериальные активы</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110</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Собственные акции (доли участников), приобретенные (выкупленные) кредитной организацией у акционеров (участников)</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2.2.2 — для кредитной организации, созданной в форме акционерного общества </w:t>
              <w:br/>
              <w:t>2.2.3 — для кредитной организации, созданной в форме общества с ограниченной (дополнительной) ответственностью</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Непокрытые убытки предшествующих лет</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112</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Убыток текущего года, </w:t>
              <w:br/>
              <w:t>в том числе:</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112.1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остатков на балансовых счетах 10605 и 70607 минус сумма остатков на балансовых счетах 10603 и 70602 в соответствующих частях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113</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Вложения кредитной организации в акции (доли) дочерних и зависимых юридических лиц и уставный капитал кредитных организаций — резидентов</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114</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Уставный капитал (его часть) и иные источники собственных средств (эмиссионный доход, нераспределенная прибыль, резервный фонд) (их часть), для формирования которых инвесторами использованы ненадлежащие активы</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2.2.8</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115</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Отрицательная величина дополнительного капитала</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2.2.9</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116</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Основной капитал, итого</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строка 108 минус сумма строк со 109-й по 115-ю</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200</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Дополнительный капитал</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Прирост стоимости имущества кредитной организации за счет переоценки</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202</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резервного фонда, сформированного за счет отчислений из прибыли текущего года</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203</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Нераспределенная прибыль текущего года (ее часть), </w:t>
              <w:br/>
              <w:t>в том числе:</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203.1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остатков на балансовых счетах 10603 и 70602 минус сумма остатков на балансовых счетах 10605 и 70607 в соответствующих частях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204</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Субординированный кредит (займ, депозит, облигационный займ) по остаточной стоимости</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3.5 (3.5.6)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205</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уставного капитала, сформированного за счет капитализации прироста стоимости имущества при переоценке</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206</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привилегированных акций (включая кумулятивные)</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207</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Нераспределенная прибыль предшествующих лет</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3.9</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208</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Источники (часть источников) дополнительного капитала (уставного капитала, нераспределенной прибыли, резервного фонда, субординированного кредита), для формирования которых инвесторами использованы ненадлежащие активы</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209</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Источники дополнительного капитала, итого</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строк с 201-й по 207-ю минус строка 208</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210</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Дополнительный капитал, итого</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строка 209 с учетом ограничений, накладываемых пунктом 3.11 Положения Банка России № 215-П</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300</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Показатели, уменьшающие сумму основного и дополнительного капитала</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Величина недосозданного резерва на возможные потери по ссудам II—V категорий качества</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302</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Величина недосозданного резерва на возможные потери</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303</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Величина недосозданного резерва под операции с резидентами офшорных зон</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304</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Просроченная дебиторская задолженность длительностью свыше 30 календарных дней</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305</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Субординированные кредиты (депозиты, займы, облигационные займы), в том числе субординированные займы с дополнительными условиями, предоставленные кредитным организациям — резидентам</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400</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Промежуточный итог</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строк 115-й и 210-й минус сумма строк с 301-й по 305-ю</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501</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Величина превышения совокупной суммы кредитов, банковских гарантий и поручительств, предоставленных кредитной организацией своим участникам (акционерам) и инсайдерам, над ее максимальным размером, предусмотренным федеральными законами и нормативными актами Банка России</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502</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Превышающие сумму источников основного и дополнительного капитала вложения в сооружение (строительство), создание (изготовление) и приобретение основных средств, стоимость основных средств, а также материальных запасов</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503</w:t>
            </w:r>
          </w:p>
        </w:tc>
        <w:tc>
          <w:tcPr>
            <w:tcW w:w="65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Разница между действительной стоимостью доли, причитающейся вышедшим из общества участникам, и стоимостью, по которой доля была реализована другому участнику</w:t>
            </w:r>
          </w:p>
        </w:tc>
        <w:tc>
          <w:tcPr>
            <w:tcW w:w="379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5.3</w:t>
            </w:r>
          </w:p>
        </w:tc>
      </w:tr>
    </w:tbl>
    <w:p>
      <w:pPr>
        <w:pStyle w:val="MainText"/>
        <w:spacing w:before="120" w:after="0"/>
        <w:rPr/>
      </w:pPr>
      <w:r>
        <w:rPr/>
        <w:t>2. Отчет представляется кредитными организациями (включая небанковские кредитные организации) по состоянию на 1-е число месяца, следующего за отчетным, в территориальное учреждение Банка России:</w:t>
      </w:r>
    </w:p>
    <w:p>
      <w:pPr>
        <w:pStyle w:val="MainText"/>
        <w:rPr/>
      </w:pPr>
      <w:r>
        <w:rPr/>
        <w:t>кредитными организациями (включая небанковские кредитные организации) (за исключением крупных кредитных организаций с широкой сетью подразделений) — не позднее 4-го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12-го рабочего дня месяца, следующего за отчетным.</w:t>
      </w:r>
    </w:p>
    <w:p>
      <w:pPr>
        <w:pStyle w:val="MainText"/>
        <w:rPr/>
      </w:pPr>
      <w:r>
        <w:rPr/>
        <w:t>Банки, размер собственных средств (капитала) которых начиная с 1 января 2010 года составляет менее 90 миллионов рублей, представляют Отчет начиная с 1 января 2010 года на ежедневной основе — не позднее 3-го рабочего дня, следующего за отчетным (за исключением случаев снижения размера собственных средств (капитала) вследствие применения измененной методики определения размера собственных средств (капитала) банка).</w:t>
      </w:r>
    </w:p>
    <w:p>
      <w:pPr>
        <w:pStyle w:val="MainText"/>
        <w:rPr/>
      </w:pPr>
      <w:r>
        <w:rPr/>
        <w:t>Банки, размер собственных средств (капитала) которых начиная с 1 января 2012 года составляет менее 180 миллионов рублей, представляют Отчет начиная с 1 января 2012 года на ежедневной основе — не позднее 3-го рабочего дня, следующего за отчетным (за исключением случаев снижения размера собственных средств (капитала) вследствие применения измененной методики определения размера собственных средств (капитала) банка).</w:t>
      </w:r>
    </w:p>
    <w:p>
      <w:pPr>
        <w:pStyle w:val="MainText"/>
        <w:rPr/>
      </w:pPr>
      <w:r>
        <w:rPr/>
        <w:t>3.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ИНФОРМАЦИЯ ОБ ОБЯЗАТЕЛЬНЫХ НОРМАТИВАХ </w:t>
        <w:br/>
        <w:t>по состоянию на “</w:t>
      </w:r>
      <w:r>
        <w:rPr/>
        <w:t>___” __________ _____</w:t>
      </w:r>
      <w:r>
        <w:rPr>
          <w:b w:val="false"/>
        </w:rPr>
        <w:t xml:space="preserve"> </w:t>
      </w:r>
      <w:r>
        <w:rPr/>
        <w:t>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120" w:after="0"/>
        <w:jc w:val="end"/>
        <w:rPr/>
      </w:pPr>
      <w:r>
        <w:rPr/>
        <w:t>Код формы по ОКУД 0409135</w:t>
        <w:br/>
        <w:t>Месячная</w:t>
        <w:br/>
        <w:t>тыс. руб.</w:t>
      </w:r>
    </w:p>
    <w:p>
      <w:pPr>
        <w:pStyle w:val="MainTextBezOtstupa"/>
        <w:spacing w:before="120" w:after="120"/>
        <w:jc w:val="center"/>
        <w:rPr/>
      </w:pPr>
      <w:r>
        <w:rPr/>
        <w:t>1. Расшифровки отдельных балансовых счетов для расчета обязательных нормативов</w:t>
      </w:r>
    </w:p>
    <w:tbl>
      <w:tblPr>
        <w:tblW w:w="10988" w:type="dxa"/>
        <w:jc w:val="center"/>
        <w:tblInd w:w="0" w:type="dxa"/>
        <w:tblLayout w:type="fixed"/>
        <w:tblCellMar>
          <w:top w:w="0" w:type="dxa"/>
          <w:start w:w="108" w:type="dxa"/>
          <w:bottom w:w="0" w:type="dxa"/>
          <w:end w:w="108" w:type="dxa"/>
        </w:tblCellMar>
      </w:tblPr>
      <w:tblGrid>
        <w:gridCol w:w="5494"/>
        <w:gridCol w:w="5494"/>
      </w:tblGrid>
      <w:tr>
        <w:trPr>
          <w:tblHeader w:val="true"/>
          <w:cantSplit/>
        </w:trPr>
        <w:tc>
          <w:tcPr>
            <w:tcW w:w="54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Код обозначения</w:t>
            </w:r>
          </w:p>
        </w:tc>
        <w:tc>
          <w:tcPr>
            <w:tcW w:w="54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w:t>
            </w:r>
          </w:p>
        </w:tc>
      </w:tr>
      <w:tr>
        <w:trPr>
          <w:tblHeader w:val="true"/>
          <w:cantSplit/>
        </w:trPr>
        <w:tc>
          <w:tcPr>
            <w:tcW w:w="54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54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r>
      <w:tr>
        <w:trPr>
          <w:cantSplit/>
        </w:trPr>
        <w:tc>
          <w:tcPr>
            <w:tcW w:w="54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54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54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54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spacing w:before="240" w:after="120"/>
        <w:jc w:val="center"/>
        <w:rPr/>
      </w:pPr>
      <w:r>
        <w:rPr/>
        <w:t>2. Значения обязательных нормативов и отдельных показателей, используемых для расчета обязательных нормативов</w:t>
      </w:r>
    </w:p>
    <w:p>
      <w:pPr>
        <w:pStyle w:val="MainTextBezOtstupa"/>
        <w:rPr/>
      </w:pPr>
      <w:r>
        <w:rPr/>
        <w:t>Н1 =</w:t>
      </w:r>
    </w:p>
    <w:p>
      <w:pPr>
        <w:pStyle w:val="MainTextBezOtstupa"/>
        <w:rPr/>
      </w:pPr>
      <w:r>
        <w:rPr/>
        <w:t>Н2 =</w:t>
      </w:r>
    </w:p>
    <w:p>
      <w:pPr>
        <w:pStyle w:val="MainTextBezOtstupa"/>
        <w:rPr/>
      </w:pPr>
      <w:r>
        <w:rPr/>
        <w:t>Н3 =</w:t>
      </w:r>
    </w:p>
    <w:p>
      <w:pPr>
        <w:pStyle w:val="MainTextBezOtstupa"/>
        <w:rPr/>
      </w:pPr>
      <w:r>
        <w:rPr/>
        <w:t>Н4 =</w:t>
      </w:r>
    </w:p>
    <w:p>
      <w:pPr>
        <w:pStyle w:val="MainTextBezOtstupa"/>
        <w:rPr/>
      </w:pPr>
      <w:r>
        <w:rPr/>
        <w:t>Н7 =</w:t>
      </w:r>
    </w:p>
    <w:p>
      <w:pPr>
        <w:pStyle w:val="MainTextBezOtstupa"/>
        <w:rPr/>
      </w:pPr>
      <w:r>
        <w:rPr/>
        <w:t>Н9.1 =</w:t>
      </w:r>
    </w:p>
    <w:p>
      <w:pPr>
        <w:pStyle w:val="MainTextBezOtstupa"/>
        <w:rPr/>
      </w:pPr>
      <w:r>
        <w:rPr/>
        <w:t>Н10.1 =</w:t>
      </w:r>
    </w:p>
    <w:p>
      <w:pPr>
        <w:pStyle w:val="MainTextBezOtstupa"/>
        <w:rPr/>
      </w:pPr>
      <w:r>
        <w:rPr/>
        <w:t>Н12 =</w:t>
      </w:r>
    </w:p>
    <w:p>
      <w:pPr>
        <w:pStyle w:val="MainTextBezOtstupa"/>
        <w:rPr/>
      </w:pPr>
      <w:r>
        <w:rPr/>
        <w:t>Н15 =</w:t>
      </w:r>
    </w:p>
    <w:p>
      <w:pPr>
        <w:pStyle w:val="MainTextBezOtstupa"/>
        <w:rPr/>
      </w:pPr>
      <w:r>
        <w:rPr/>
        <w:t>Н16 =</w:t>
      </w:r>
    </w:p>
    <w:p>
      <w:pPr>
        <w:pStyle w:val="MainTextBezOtstupa"/>
        <w:rPr/>
      </w:pPr>
      <w:r>
        <w:rPr/>
        <w:t>Н16.1 =</w:t>
      </w:r>
    </w:p>
    <w:p>
      <w:pPr>
        <w:pStyle w:val="MainTextBezOtstupa"/>
        <w:rPr/>
      </w:pPr>
      <w:r>
        <w:rPr/>
        <w:t>Н17 =</w:t>
      </w:r>
    </w:p>
    <w:p>
      <w:pPr>
        <w:pStyle w:val="MainTextBezOtstupa"/>
        <w:rPr/>
      </w:pPr>
      <w:r>
        <w:rPr/>
        <w:t>Н18 =</w:t>
      </w:r>
    </w:p>
    <w:p>
      <w:pPr>
        <w:pStyle w:val="MainTextBezOtstupa"/>
        <w:rPr/>
      </w:pPr>
      <w:r>
        <w:rPr/>
        <w:t>Н19 =</w:t>
      </w:r>
    </w:p>
    <w:p>
      <w:pPr>
        <w:pStyle w:val="MainTextBezOtstupa"/>
        <w:rPr/>
      </w:pPr>
      <w:r>
        <w:rPr/>
        <w:t>Ариск0 =</w:t>
      </w:r>
    </w:p>
    <w:p>
      <w:pPr>
        <w:pStyle w:val="MainTextBezOtstupa"/>
        <w:rPr/>
      </w:pPr>
      <w:r>
        <w:rPr/>
        <w:t>Лат =</w:t>
      </w:r>
    </w:p>
    <w:p>
      <w:pPr>
        <w:pStyle w:val="MainTextBezOtstupa"/>
        <w:rPr/>
      </w:pPr>
      <w:r>
        <w:rPr/>
        <w:t>Овм =</w:t>
      </w:r>
    </w:p>
    <w:p>
      <w:pPr>
        <w:pStyle w:val="MainTextBezOtstupa"/>
        <w:spacing w:before="120" w:after="120"/>
        <w:jc w:val="center"/>
        <w:rPr/>
      </w:pPr>
      <w:r>
        <w:rPr/>
        <w:t>3. Информация о нарушении обязательных нормативов</w:t>
      </w:r>
    </w:p>
    <w:tbl>
      <w:tblPr>
        <w:tblW w:w="10989" w:type="dxa"/>
        <w:jc w:val="center"/>
        <w:tblInd w:w="0" w:type="dxa"/>
        <w:tblLayout w:type="fixed"/>
        <w:tblCellMar>
          <w:top w:w="0" w:type="dxa"/>
          <w:start w:w="108" w:type="dxa"/>
          <w:bottom w:w="0" w:type="dxa"/>
          <w:end w:w="108" w:type="dxa"/>
        </w:tblCellMar>
      </w:tblPr>
      <w:tblGrid>
        <w:gridCol w:w="1101"/>
        <w:gridCol w:w="3296"/>
        <w:gridCol w:w="3296"/>
        <w:gridCol w:w="3296"/>
      </w:tblGrid>
      <w:tr>
        <w:trPr>
          <w:tblHeader w:val="true"/>
          <w:cantSplit/>
        </w:trPr>
        <w:tc>
          <w:tcPr>
            <w:tcW w:w="11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32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Наименование норматива, который нарушен</w:t>
            </w:r>
          </w:p>
        </w:tc>
        <w:tc>
          <w:tcPr>
            <w:tcW w:w="32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Числовое значение нарушенного норматива</w:t>
            </w:r>
          </w:p>
        </w:tc>
        <w:tc>
          <w:tcPr>
            <w:tcW w:w="32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Дата, за которую норматив нарушен</w:t>
            </w:r>
          </w:p>
        </w:tc>
      </w:tr>
      <w:tr>
        <w:trPr>
          <w:tblHeader w:val="true"/>
          <w:cantSplit/>
        </w:trPr>
        <w:tc>
          <w:tcPr>
            <w:tcW w:w="11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32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32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32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r>
      <w:tr>
        <w:trPr>
          <w:cantSplit/>
        </w:trPr>
        <w:tc>
          <w:tcPr>
            <w:tcW w:w="11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32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2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2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32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2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2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spacing w:before="240" w:after="0"/>
        <w:jc w:val="center"/>
        <w:rPr/>
      </w:pPr>
      <w:r>
        <w:rPr/>
        <w:t>4. Число операционных дней в отчетном месяце _______.</w:t>
      </w:r>
    </w:p>
    <w:p>
      <w:pPr>
        <w:pStyle w:val="MainTextBezOtstupa"/>
        <w:spacing w:before="0" w:after="454"/>
        <w:jc w:val="center"/>
        <w:rPr/>
      </w:pPr>
      <w:r>
        <w:rPr/>
        <w:t>Даты нерабочих дней отчетного месяца _______________.</w:t>
      </w:r>
    </w:p>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0409135 “Информация об обязательных нормативах”</w:t>
      </w:r>
    </w:p>
    <w:p>
      <w:pPr>
        <w:pStyle w:val="MainText"/>
        <w:rPr/>
      </w:pPr>
      <w:r>
        <w:rPr/>
        <w:t>1. Отчетность по форме 0409135 “Информация об обязательных нормативах” (далее — Отчет) заполняется на основе данных, определенных в соответствии с Инструкцией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25 апреля 2006 года № 7740, 5 июля 2007 года № 9755, 10 декабря 2007 года № 10659, 14 апреля 2008 года № 11535, 30 июня 2008 года № 11907, 17 марта 2009 года № 13522, 23 марта 2009 года № 13572, 22 апреля 2009 года № 13807, 5 августа 2009 года № 14464 (“Вестник Банка России” от 11 февраля 2004 года № 11, от 8 сентября 2004 года № 53, от 13 апреля 2005 года № 19, от 10 августа 2005 года № 40, от 31 августа 2005 года № 46, от 4 мая 2006 года № 26, от 11 июля 2007 года № 39, от 17 декабря 2007 года № 69, от 30 апреля 2008 года № 19, от 9 июля 2008 года № 36, от 25 марта 2009 года № 20, от 1 апреля 2009 года № 21, от 29 апреля 2009 года № 25, от 12 августа 2009 года № 47) (далее — Инструкция Банка России № 110-И), Инструкцией Банка России от 31 марта 2004 года № 112-И “Об обязательных нормативах кредитных организаций, осуществляющих эмиссию облигаций с ипотечным покрытием”, зарегистрированной Министерством юстиции Российской Федерации 5 мая 2004 года № 5783, от 14 марта 2005 года № 6394, 26 июня 2007 года № 9704 (“Вестник Банка России” от 19 мая 2004 года № 30, от 13 апреля 2005 года № 19, от 4 июля 2007 года № 38), а также в соответствии с Инструкцией Банка России от 26 апреля 2006 года № 129-И “О банковских операциях и других сделках расчетных небанковских кредитных организаций, обязательных нормативах расчетных небанковских кредитных организаций и особенностях осуществления Банком России надзора за их соблюдением”, зарегистрированной Министерством юстиции Российской Федерации 19 мая 2006 года № 7861, 6 августа 2007 года № 9956, 6 декабря 2007 года № 10637, 23 сентября 2009 года № 14851 (“Вестник Банка России” от 31 мая 2006 года № 32, от 22 августа 2007 года № 47, от 17 декабря 2007 года № 69, от 30 сентября 2009 года № 57).</w:t>
      </w:r>
    </w:p>
    <w:p>
      <w:pPr>
        <w:pStyle w:val="MainText"/>
        <w:rPr/>
      </w:pPr>
      <w:r>
        <w:rPr/>
        <w:t>2. Отчет составляется в целом по кредитной организации (включая небанковские кредитные организации) по состоянию на 1-е число месяца, следующего за отчетным, и представляется в территориальное учреждение Банка России:</w:t>
      </w:r>
    </w:p>
    <w:p>
      <w:pPr>
        <w:pStyle w:val="MainText"/>
        <w:rPr/>
      </w:pPr>
      <w:r>
        <w:rPr/>
        <w:t>кредитными организациями (включая небанковские кредитные организации) (за исключением крупных кредитных организаций с широкой сетью подразделений) — не позднее 6-го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15-го рабочего дня месяца, следующего за отчетным.</w:t>
      </w:r>
    </w:p>
    <w:p>
      <w:pPr>
        <w:pStyle w:val="MainText"/>
        <w:rPr/>
      </w:pPr>
      <w:r>
        <w:rPr/>
        <w:t>3. Информация по кодам 8915, 8929, 8958, 8968, 8983, 8988 и обязательным нормативам Н15, Н16 и Н16.1 представляется только расчетными небанковскими кредитными организациями.</w:t>
      </w:r>
    </w:p>
    <w:p>
      <w:pPr>
        <w:pStyle w:val="MainText"/>
        <w:rPr/>
      </w:pPr>
      <w:r>
        <w:rPr/>
        <w:t>4. Информация по кодам 8931, 8935, 8951 и по обязательным нормативам Н17, Н18 и Н19 представляется только кредитными организациями, осуществляющими эмиссию облигаций с ипотечным покрытием.</w:t>
      </w:r>
    </w:p>
    <w:p>
      <w:pPr>
        <w:pStyle w:val="MainText"/>
        <w:rPr/>
      </w:pPr>
      <w:r>
        <w:rPr/>
        <w:t>В состав значения показателя Ариск0 включаются активы, имеющие нулевой коэффициент риска, рассчитанный в соответствии с пунктом 2.3 Инструкции Банка России № 110-И, и финансовые инструменты без риска, определенные в соответствии с пунктом 2.4 Положения Банка России от 14 ноября 2007 года № 313-П “О порядке расчета кредитными организациями величины рыночного риска”, зарегистрированного Министерством юстиции Российской Федерации 6 декабря 2007 года № 10638 (“Вестник Банка России” от 12 декабря 2007 года № 68).</w:t>
      </w:r>
    </w:p>
    <w:p>
      <w:pPr>
        <w:pStyle w:val="MainText"/>
        <w:rPr/>
      </w:pPr>
      <w:r>
        <w:rPr/>
        <w:t>5. Информация по разделу 2 Отчета указывается с двумя десятичными знаками после запятой.</w:t>
      </w:r>
    </w:p>
    <w:p>
      <w:pPr>
        <w:pStyle w:val="MainText"/>
        <w:rPr/>
      </w:pPr>
      <w:r>
        <w:rPr/>
        <w:t>6. Кредитные организации, нарушившие в течение отчетного месяца обязательные нормативы, заполняют раздел 3 Отчета построчно, в разрезе каждого нарушения. При этом в графе 4 раздела 3 Отчета указывается дата, за которую было нарушено значение норматива.</w:t>
      </w:r>
    </w:p>
    <w:p>
      <w:pPr>
        <w:pStyle w:val="MainText"/>
        <w:rPr/>
      </w:pPr>
      <w:r>
        <w:rPr/>
        <w:t>7.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t>Если в требовании территориального учреждения Банка России содержится указание о представлении информации на внутримесячные даты по конкретному обязательному нормативу (конкретным обязательным нормативам), раздел 1 Отчета заполняется только по расшифровкам, которые используются для расчета указанного обязательного норматива (указанных обязательных нормативов), раздел 2 — только по указанному обязательному нормативу (указанным обязательным нормативам).</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СВОДНЫЙ ОТЧЕТ О ВЕЛИЧИНЕ РЫНОЧНОГО РИСКА </w:t>
        <w:br/>
        <w:t>по состоянию на ______ 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0409153</w:t>
        <w:br/>
        <w:t>Месячная</w:t>
        <w:br/>
        <w:t>тыс. руб.</w:t>
      </w:r>
    </w:p>
    <w:tbl>
      <w:tblPr>
        <w:tblW w:w="10992" w:type="dxa"/>
        <w:jc w:val="center"/>
        <w:tblInd w:w="0" w:type="dxa"/>
        <w:tblLayout w:type="fixed"/>
        <w:tblCellMar>
          <w:top w:w="0" w:type="dxa"/>
          <w:start w:w="108" w:type="dxa"/>
          <w:bottom w:w="0" w:type="dxa"/>
          <w:end w:w="108" w:type="dxa"/>
        </w:tblCellMar>
      </w:tblPr>
      <w:tblGrid>
        <w:gridCol w:w="1102"/>
        <w:gridCol w:w="4945"/>
        <w:gridCol w:w="4945"/>
      </w:tblGrid>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риска</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Размер риска</w:t>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Процентный риск (ПР)</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общий риск</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специальный риск</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Фондовый риск (ФР)</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общий риск</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специальный риск</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Валютный риск (ВР)</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4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Рыночный риск (РР)</w:t>
            </w:r>
          </w:p>
        </w:tc>
        <w:tc>
          <w:tcPr>
            <w:tcW w:w="49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spacing w:before="240" w:after="0"/>
        <w:rPr/>
      </w:pPr>
      <w:r>
        <w:rPr/>
        <w:t>Справочно:</w:t>
      </w:r>
    </w:p>
    <w:p>
      <w:pPr>
        <w:pStyle w:val="MainTextBezOtstupa"/>
        <w:rPr/>
      </w:pPr>
      <w:r>
        <w:rPr/>
        <w:t>процентное соотношение суммарной величины текущих (справедливых) стоимостей финансовых инструментов и величины балансовых активов _____, процент.</w:t>
      </w:r>
    </w:p>
    <w:p>
      <w:pPr>
        <w:pStyle w:val="MainTextBezOtstupa"/>
        <w:tabs>
          <w:tab w:val="clear" w:pos="720"/>
          <w:tab w:val="left" w:pos="4564" w:leader="none"/>
        </w:tabs>
        <w:spacing w:before="24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0409153 “Сводный отчет о величине рыночного риска”</w:t>
      </w:r>
    </w:p>
    <w:p>
      <w:pPr>
        <w:pStyle w:val="MainText"/>
        <w:rPr/>
      </w:pPr>
      <w:r>
        <w:rPr/>
        <w:t>1. Отчетность по форме 0409153 “Сводный отчет о величине рыночного риска” (далее — Отчет) составляется в соответствии с Положением Банка России от 14 ноября 2007 года № 313-П “О порядке расчета кредитными организациями величины рыночного риска”, зарегистрированным Министерством юстиции Российской Федерации 6 декабря 2007 года № 10638 (“Вестник Банка России” от 12 декабря 2007 года № 68).</w:t>
      </w:r>
    </w:p>
    <w:p>
      <w:pPr>
        <w:pStyle w:val="MainText"/>
        <w:rPr/>
      </w:pPr>
      <w:r>
        <w:rPr/>
        <w:t>2. Отчет представляется в территориальные учреждения Банка России:</w:t>
      </w:r>
    </w:p>
    <w:p>
      <w:pPr>
        <w:pStyle w:val="MainText"/>
        <w:rPr/>
      </w:pPr>
      <w:r>
        <w:rPr/>
        <w:t>кредитными организациями (включая расчетные небанковские кредитные организации) (за исключением крупных кредитных организаций с широкой сетью подразделений) — не позднее 6-го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15-го рабочего дня месяца, следующего за отчетным.</w:t>
      </w:r>
    </w:p>
    <w:p>
      <w:pPr>
        <w:pStyle w:val="MainText"/>
        <w:rPr/>
      </w:pPr>
      <w:r>
        <w:rPr/>
        <w:t>3.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ФИНАНСОВЫХ ИНСТРУМЕНТАХ, ОТРАЖАЕМЫХ НА ВНЕБАЛАНСОВЫХ СЧЕТАХ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jc w:val="end"/>
        <w:rPr/>
      </w:pPr>
      <w:r>
        <w:rPr/>
        <w:t>Код формы по ОКУД 0409155</w:t>
        <w:br/>
        <w:t>Месячная (Квартальная)</w:t>
        <w:br/>
        <w:t>тыс. руб.</w:t>
      </w:r>
    </w:p>
    <w:p>
      <w:pPr>
        <w:pStyle w:val="MainTextBezOtstupa"/>
        <w:spacing w:before="0" w:after="120"/>
        <w:rPr/>
      </w:pPr>
      <w:r>
        <w:rPr/>
        <w:t>Раздел 1. Условные обязательства кредитного характера</w:t>
      </w:r>
    </w:p>
    <w:tbl>
      <w:tblPr>
        <w:tblW w:w="16035" w:type="dxa"/>
        <w:jc w:val="center"/>
        <w:tblInd w:w="0" w:type="dxa"/>
        <w:tblLayout w:type="fixed"/>
        <w:tblCellMar>
          <w:top w:w="0" w:type="dxa"/>
          <w:start w:w="28" w:type="dxa"/>
          <w:bottom w:w="0" w:type="dxa"/>
          <w:end w:w="28" w:type="dxa"/>
        </w:tblCellMar>
      </w:tblPr>
      <w:tblGrid>
        <w:gridCol w:w="670"/>
        <w:gridCol w:w="5673"/>
        <w:gridCol w:w="1332"/>
        <w:gridCol w:w="607"/>
        <w:gridCol w:w="607"/>
        <w:gridCol w:w="607"/>
        <w:gridCol w:w="607"/>
        <w:gridCol w:w="607"/>
        <w:gridCol w:w="890"/>
        <w:gridCol w:w="1174"/>
        <w:gridCol w:w="833"/>
        <w:gridCol w:w="607"/>
        <w:gridCol w:w="607"/>
        <w:gridCol w:w="607"/>
        <w:gridCol w:w="607"/>
      </w:tblGrid>
      <w:tr>
        <w:trPr>
          <w:tblHeader w:val="true"/>
          <w:cantSplit/>
        </w:trPr>
        <w:tc>
          <w:tcPr>
            <w:tcW w:w="67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5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инструмента</w:t>
            </w:r>
          </w:p>
        </w:tc>
        <w:tc>
          <w:tcPr>
            <w:tcW w:w="133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Сумма условных</w:t>
            </w:r>
          </w:p>
        </w:tc>
        <w:tc>
          <w:tcPr>
            <w:tcW w:w="3035" w:type="dxa"/>
            <w:gridSpan w:val="5"/>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Категория качества</w:t>
            </w:r>
          </w:p>
        </w:tc>
        <w:tc>
          <w:tcPr>
            <w:tcW w:w="5325" w:type="dxa"/>
            <w:gridSpan w:val="7"/>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Резерв на возможные потери</w:t>
            </w:r>
          </w:p>
        </w:tc>
      </w:tr>
      <w:tr>
        <w:trPr>
          <w:tblHeader w:val="true"/>
          <w:cantSplit/>
        </w:trPr>
        <w:tc>
          <w:tcPr>
            <w:tcW w:w="670" w:type="dxa"/>
            <w:tcBorders>
              <w:start w:val="single" w:sz="6" w:space="0" w:color="000000"/>
              <w:end w:val="single" w:sz="6" w:space="0" w:color="000000"/>
            </w:tcBorders>
          </w:tcPr>
          <w:p>
            <w:pPr>
              <w:pStyle w:val="MainText"/>
              <w:keepNext w:val="true"/>
              <w:ind w:hanging="0" w:end="0"/>
              <w:jc w:val="center"/>
              <w:rPr>
                <w:sz w:val="16"/>
              </w:rPr>
            </w:pPr>
            <w:r>
              <w:rPr>
                <w:sz w:val="16"/>
              </w:rPr>
              <w:t>строки</w:t>
            </w:r>
          </w:p>
        </w:tc>
        <w:tc>
          <w:tcPr>
            <w:tcW w:w="5673"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32" w:type="dxa"/>
            <w:tcBorders>
              <w:start w:val="single" w:sz="6" w:space="0" w:color="000000"/>
              <w:end w:val="single" w:sz="6" w:space="0" w:color="000000"/>
            </w:tcBorders>
          </w:tcPr>
          <w:p>
            <w:pPr>
              <w:pStyle w:val="MainText"/>
              <w:keepNext w:val="true"/>
              <w:ind w:hanging="0" w:end="0"/>
              <w:jc w:val="center"/>
              <w:rPr>
                <w:sz w:val="16"/>
              </w:rPr>
            </w:pPr>
            <w:r>
              <w:rPr>
                <w:sz w:val="16"/>
              </w:rPr>
              <w:t>обязательств</w:t>
            </w:r>
          </w:p>
        </w:tc>
        <w:tc>
          <w:tcPr>
            <w:tcW w:w="60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w:t>
            </w:r>
          </w:p>
        </w:tc>
        <w:tc>
          <w:tcPr>
            <w:tcW w:w="60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II</w:t>
            </w:r>
          </w:p>
        </w:tc>
        <w:tc>
          <w:tcPr>
            <w:tcW w:w="60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III</w:t>
            </w:r>
          </w:p>
        </w:tc>
        <w:tc>
          <w:tcPr>
            <w:tcW w:w="60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IV</w:t>
            </w:r>
          </w:p>
        </w:tc>
        <w:tc>
          <w:tcPr>
            <w:tcW w:w="60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V</w:t>
            </w:r>
          </w:p>
        </w:tc>
        <w:tc>
          <w:tcPr>
            <w:tcW w:w="89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расчетный</w:t>
            </w:r>
          </w:p>
        </w:tc>
        <w:tc>
          <w:tcPr>
            <w:tcW w:w="117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расчетный</w:t>
            </w:r>
          </w:p>
        </w:tc>
        <w:tc>
          <w:tcPr>
            <w:tcW w:w="3261" w:type="dxa"/>
            <w:gridSpan w:val="5"/>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фактически сформированный</w:t>
            </w:r>
          </w:p>
        </w:tc>
      </w:tr>
      <w:tr>
        <w:trPr>
          <w:tblHeader w:val="true"/>
          <w:cantSplit/>
        </w:trPr>
        <w:tc>
          <w:tcPr>
            <w:tcW w:w="670"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5673"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32"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890"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74" w:type="dxa"/>
            <w:tcBorders>
              <w:start w:val="single" w:sz="6" w:space="0" w:color="000000"/>
              <w:end w:val="single" w:sz="6" w:space="0" w:color="000000"/>
            </w:tcBorders>
          </w:tcPr>
          <w:p>
            <w:pPr>
              <w:pStyle w:val="MainText"/>
              <w:keepNext w:val="true"/>
              <w:ind w:hanging="0" w:end="0"/>
              <w:jc w:val="center"/>
              <w:rPr>
                <w:sz w:val="16"/>
              </w:rPr>
            </w:pPr>
            <w:r>
              <w:rPr>
                <w:sz w:val="16"/>
              </w:rPr>
              <w:t>с учетом</w:t>
            </w:r>
          </w:p>
        </w:tc>
        <w:tc>
          <w:tcPr>
            <w:tcW w:w="83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итого</w:t>
            </w:r>
          </w:p>
        </w:tc>
        <w:tc>
          <w:tcPr>
            <w:tcW w:w="2428"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категориям качества</w:t>
            </w:r>
          </w:p>
        </w:tc>
      </w:tr>
      <w:tr>
        <w:trPr>
          <w:tblHeader w:val="true"/>
          <w:cantSplit/>
        </w:trPr>
        <w:tc>
          <w:tcPr>
            <w:tcW w:w="67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5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3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89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7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обеспечения</w:t>
            </w:r>
          </w:p>
        </w:tc>
        <w:tc>
          <w:tcPr>
            <w:tcW w:w="83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II</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III</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IV</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V</w:t>
            </w:r>
          </w:p>
        </w:tc>
      </w:tr>
      <w:tr>
        <w:trPr>
          <w:tblHeader w:val="true"/>
          <w:cantSplit/>
        </w:trPr>
        <w:tc>
          <w:tcPr>
            <w:tcW w:w="6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5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3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8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17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8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6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Неиспользованные кредитные линии, всего, </w:t>
              <w:br/>
              <w:t>в том числе:</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 сроком более 1 года</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Аккредитивы, всего, </w:t>
              <w:br/>
              <w:t>в том числе:</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 сроком более 1 года</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Выданные гарантии и поручительства, всего, </w:t>
              <w:br/>
              <w:t>в том числе:</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 сроком более 1 года</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Выпущенные авали и акцепты, всего, </w:t>
              <w:br/>
              <w:t>в том числе:</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 сроком более 1 года</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Прочие инструменты, всего, </w:t>
              <w:br/>
              <w:t>в том числе:</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 сроком более 1 года</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Условные обязательства кредитного характера, всего (стр. 1 + стр. 2 + стр. 3 + стр. 4 + стр. 5), </w:t>
              <w:br/>
              <w:t>в том числе:</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 сроком более 1 года (стр. 1.1 + стр. 2.1 + стр. 3.1 + стр. 4.1 + стр. 5.1)</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Условные обязательства кредитного характера, сгруппированные в портфели однородных элементов, всего, </w:t>
              <w:br/>
              <w:t>в том числе:</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7.1</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Портфель неиспользованных кредитных линий</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7.2</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Портфель выданных гарантий и поручительств</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7.3</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Портфель акцептов и авалей</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7.4</w:t>
            </w:r>
          </w:p>
        </w:tc>
        <w:tc>
          <w:tcPr>
            <w:tcW w:w="5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портфели (указывается наименование портфеля)</w:t>
            </w:r>
          </w:p>
        </w:tc>
        <w:tc>
          <w:tcPr>
            <w:tcW w:w="13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rPr/>
      </w:pPr>
      <w:r>
        <w:br w:type="page"/>
      </w:r>
      <w:r>
        <w:rPr/>
        <w:t>Раздел 2. Срочные сделки, предусматривающие поставку базисного актива</w:t>
      </w:r>
    </w:p>
    <w:tbl>
      <w:tblPr>
        <w:tblW w:w="16255" w:type="dxa"/>
        <w:jc w:val="center"/>
        <w:tblInd w:w="0" w:type="dxa"/>
        <w:tblLayout w:type="fixed"/>
        <w:tblCellMar>
          <w:top w:w="0" w:type="dxa"/>
          <w:start w:w="108" w:type="dxa"/>
          <w:bottom w:w="0" w:type="dxa"/>
          <w:end w:w="108" w:type="dxa"/>
        </w:tblCellMar>
      </w:tblPr>
      <w:tblGrid>
        <w:gridCol w:w="958"/>
        <w:gridCol w:w="3402"/>
        <w:gridCol w:w="2379"/>
        <w:gridCol w:w="2379"/>
        <w:gridCol w:w="2379"/>
        <w:gridCol w:w="2379"/>
        <w:gridCol w:w="2379"/>
      </w:tblGrid>
      <w:tr>
        <w:trPr>
          <w:tblHeader w:val="true"/>
          <w:cantSplit/>
        </w:trPr>
        <w:tc>
          <w:tcPr>
            <w:tcW w:w="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Наименование инструмента</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 требований</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 обязательств</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Нереализованные курсовые разницы (положительные)</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Нереализованные курсовые разницы (отрицательные)</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Резерв на возможные потери</w:t>
            </w:r>
          </w:p>
        </w:tc>
      </w:tr>
      <w:tr>
        <w:trPr>
          <w:tblHeader w:val="true"/>
          <w:cantSplit/>
        </w:trPr>
        <w:tc>
          <w:tcPr>
            <w:tcW w:w="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5</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6</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7</w:t>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Форвард, всего, </w:t>
              <w:br/>
              <w:t>в том числе с базисным активом:</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иностранная валюта</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драгоценные металлы</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ценные бумаги</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Опцион, всего, </w:t>
              <w:br/>
              <w:t>в том числе с базисным активом:</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иностранная валюта</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драгоценные металлы</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ценные бумаги</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Своп, всего, </w:t>
              <w:br/>
              <w:t>в том числе с базисным активом:</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иностранная валюта</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драгоценные металлы</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3.3</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ценные бумаги</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3.4</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 </w:t>
            </w:r>
          </w:p>
        </w:tc>
      </w:tr>
    </w:tbl>
    <w:p>
      <w:pPr>
        <w:pStyle w:val="MainTextBezOtstupa"/>
        <w:spacing w:before="240" w:after="120"/>
        <w:rPr/>
      </w:pPr>
      <w:r>
        <w:br w:type="page"/>
      </w:r>
      <w:r>
        <w:rPr/>
        <w:t>Раздел 3. Срочные расчетные (беспоставочные) сделки</w:t>
      </w:r>
    </w:p>
    <w:tbl>
      <w:tblPr>
        <w:tblW w:w="16254" w:type="dxa"/>
        <w:jc w:val="center"/>
        <w:tblInd w:w="0" w:type="dxa"/>
        <w:tblLayout w:type="fixed"/>
        <w:tblCellMar>
          <w:top w:w="0" w:type="dxa"/>
          <w:start w:w="108" w:type="dxa"/>
          <w:bottom w:w="0" w:type="dxa"/>
          <w:end w:w="108" w:type="dxa"/>
        </w:tblCellMar>
      </w:tblPr>
      <w:tblGrid>
        <w:gridCol w:w="958"/>
        <w:gridCol w:w="3401"/>
        <w:gridCol w:w="2379"/>
        <w:gridCol w:w="2379"/>
        <w:gridCol w:w="2379"/>
        <w:gridCol w:w="2379"/>
        <w:gridCol w:w="2379"/>
      </w:tblGrid>
      <w:tr>
        <w:trPr>
          <w:tblHeader w:val="true"/>
          <w:cantSplit/>
        </w:trPr>
        <w:tc>
          <w:tcPr>
            <w:tcW w:w="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34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Виды беспоставочных сделок</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 требований</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 обязательств</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Нереализованные курсовые разницы (положительные)</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Нереализованные курсовые разницы (отрицательные)</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Резерв на возможные потери</w:t>
            </w:r>
          </w:p>
        </w:tc>
      </w:tr>
      <w:tr>
        <w:trPr>
          <w:tblHeader w:val="true"/>
          <w:cantSplit/>
        </w:trPr>
        <w:tc>
          <w:tcPr>
            <w:tcW w:w="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34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5</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6</w:t>
            </w:r>
          </w:p>
        </w:tc>
        <w:tc>
          <w:tcPr>
            <w:tcW w:w="2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7</w:t>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Форвард, всего, </w:t>
              <w:br/>
              <w:t>в том числе с базисным активом:</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иностранная валюта</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драгоценные металлы</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ценные бумаги</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индексов цен (кроме ценных бумаг)</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Опцион, всего, </w:t>
              <w:br/>
              <w:t>в том числе с базисным активом:</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иностранная валюта</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драгоценные металлы</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ценные бумаги</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индексов цен (кроме ценных бумаг)</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Своп, всего, </w:t>
              <w:br/>
              <w:t>в том числе с базисным активом:</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3.1</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иностранная валюта</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процентная ставка</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3.3</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индексов цен (кроме ценных бумаг)</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3.4</w:t>
            </w:r>
          </w:p>
        </w:tc>
        <w:tc>
          <w:tcPr>
            <w:tcW w:w="34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w:t>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37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spacing w:before="240" w:after="113"/>
        <w:rPr/>
      </w:pPr>
      <w:r>
        <w:rPr/>
        <w:t>Раздел “Справочно”</w:t>
      </w:r>
    </w:p>
    <w:p>
      <w:pPr>
        <w:pStyle w:val="MainTextBezOtstupa"/>
        <w:rPr/>
      </w:pPr>
      <w:r>
        <w:rPr/>
        <w:t>Положительная переоценка по хеджирующим сделкам, принятая в уменьшение резервов на возможные потери в соответствии с требованиями главы 5 Положения Банка России № 283-П:</w:t>
      </w:r>
    </w:p>
    <w:p>
      <w:pPr>
        <w:pStyle w:val="MainTextBezOtstupa"/>
        <w:rPr/>
      </w:pPr>
      <w:r>
        <w:rPr/>
        <w:t>1. По срочным сделкам, предусматривающим поставку базисного актива, отраженным в разделе 2:__________ тыс. руб.</w:t>
      </w:r>
    </w:p>
    <w:p>
      <w:pPr>
        <w:pStyle w:val="MainTextBezOtstupa"/>
        <w:rPr/>
      </w:pPr>
      <w:r>
        <w:rPr/>
        <w:t>2. По срочным расчетным (беспоставочным) сделкам, отраженным в разделе 3: __________ тыс. руб.</w:t>
      </w:r>
    </w:p>
    <w:p>
      <w:pPr>
        <w:pStyle w:val="MainTextBezOtstupa"/>
        <w:tabs>
          <w:tab w:val="clear" w:pos="720"/>
          <w:tab w:val="left" w:pos="4564" w:leader="none"/>
        </w:tabs>
        <w:spacing w:before="24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0409155 “Сведения о финансовых инструментах, отражаемых на внебалансовых счетах”</w:t>
      </w:r>
    </w:p>
    <w:p>
      <w:pPr>
        <w:pStyle w:val="MainText"/>
        <w:rPr/>
      </w:pPr>
      <w:r>
        <w:rPr/>
        <w:t>1. Отчетность по форме 0409155 “Сведения о финансовых инструментах, отражаемых на внебалансовых счетах” (далее — Отчет) содержит информацию об условных обязательствах кредитного характера и срочных сделках, являющихся элементами расчетной базы резерва на возможные потери в соответствии с Положением Банка России от 20 марта 2006 года № 283-П “О порядке формирования кредитными организациями резервов на возможные потери”, зарегистрированным Министерством юстиции Российской Федерации 25 апреля 2006 года № 7741, 2 июля 2007 года № 9739, 6 декабря 2007 года № 10639, 10 сентября 2008 года № 12260, 5 августа 2009 года № 14477 (“Вестник Банка России” от 4 мая 2006 года № 26, от 11 июля 2007 года № 39, от 17 декабря 2007 года № 69, от 17 сентября 2008 года № 49, от 12 августа 2009 года № 47) (далее — Положение Банка России № 283-П), а также о величине расчетного и фактически сформированного по ним резерва на возможные потери.</w:t>
      </w:r>
    </w:p>
    <w:p>
      <w:pPr>
        <w:pStyle w:val="MainText"/>
        <w:rPr/>
      </w:pPr>
      <w:r>
        <w:rPr/>
        <w:t>2. В разделе 1 Отчета отражается информация об условных обязательствах кредитного характера, определяемых в соответствии с приложением 2 к Инструкции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25 апреля 2006 года № 7740, 5 июля 2007 года № 9755, 10 декабря 2007 года № 10659, 14 апреля 2008 года № 11535, 30 июня 2008 года № 11907, 17 марта 2009 года № 13522, 23 марта 2009 года № 13572, 22 апреля 2009 года № 13807, 5 августа 2009 года № 14464 (“Вестник Банка России” от 11 февраля 2004 года № 11, от 8 сентября 2004 года № 53, от 13 апреля 2005 года № 19, от 10 августа 2005 года № 40, от 31 августа 2005 года № 46, от 4 мая 2006 года № 26, от 11 июля 2007 года № 39, от 17 декабря 2007 года № 69, от 30 апреля 2008 года № 19, от 9 июля 2008 года № 36, от 25 марта 2009 года № 20, от 1 апреля 2009 года № 21, от 29 апреля 2009 года № 25, от 12 августа 2009 года № 47), в разделах 2 и 3 отражается информация о срочных сделках, определенных в соответствии с пунктом 1.2 Положения Банка России № 283-П.</w:t>
      </w:r>
    </w:p>
    <w:p>
      <w:pPr>
        <w:pStyle w:val="MainText"/>
        <w:rPr/>
      </w:pPr>
      <w:r>
        <w:rPr/>
        <w:t>В разделе 2 Отчета не приводятся сведения по второй части соглашений о сделках купли-продажи ценных бумаг с обратным выкупом, заключенных между кредитной организацией и контрагентами (резидентами и нерезидентами).</w:t>
      </w:r>
    </w:p>
    <w:p>
      <w:pPr>
        <w:pStyle w:val="MainText"/>
        <w:rPr/>
      </w:pPr>
      <w:r>
        <w:rPr/>
        <w:t>3. В графах 3—8 раздела 1 Отчета условные обязательства кредитного характера отражаются по балансовой стоимости.</w:t>
      </w:r>
    </w:p>
    <w:p>
      <w:pPr>
        <w:pStyle w:val="MainText"/>
        <w:rPr/>
      </w:pPr>
      <w:r>
        <w:rPr/>
        <w:t>4. В графах 4—8 раздела 1 Отчета отражаются условные обязательства кредитного характера, классифицированные по категориям качества с точки зрения вероятности потерь, в графах 9—15 Отчета — величины расчетного, скорректированного на сумму обеспечения, а также фактически сформированного резерва на возможные потери в соответствии с главой 3 Положения Банка России № 283-П.</w:t>
      </w:r>
    </w:p>
    <w:p>
      <w:pPr>
        <w:pStyle w:val="MainText"/>
        <w:rPr/>
      </w:pPr>
      <w:r>
        <w:rPr/>
        <w:t>5. По строкам 1.1, 2.1, 3.1, 4.1, 5.1, 6.1 раздела 1 Отчета из соответствующих условных обязательств кредитного характера выделяются обязательства, до фактического срока исполнения которых осталось более 1 года.</w:t>
      </w:r>
    </w:p>
    <w:p>
      <w:pPr>
        <w:pStyle w:val="MainText"/>
        <w:rPr/>
      </w:pPr>
      <w:r>
        <w:rPr/>
        <w:t>Неиспользованные лимиты по кредитным линиям свыше года в целях составления Отчета подлежат отражению по срокам, в которые по ним может быть запрошен лимит на использование средств.</w:t>
      </w:r>
    </w:p>
    <w:p>
      <w:pPr>
        <w:pStyle w:val="MainText"/>
        <w:rPr/>
      </w:pPr>
      <w:r>
        <w:rPr/>
        <w:t>6. По строкам 7, 7.1—7.4 раздела 1 Отчета отражаются данные об условных обязательствах кредитного характера, сгруппированных в однородные портфели в соответствии с главой 4 Положения Банка России № 283-П, с разбивкой по видам портфелей.</w:t>
      </w:r>
    </w:p>
    <w:p>
      <w:pPr>
        <w:pStyle w:val="MainText"/>
        <w:rPr/>
      </w:pPr>
      <w:r>
        <w:rPr/>
        <w:t>В случае если у кредитной организации имеются иные, сгруппированные в однородные портфели условные обязательства кредитного характера, чем приведенные в строках 7.1—7.3, то они отражаются кредитной организацией по строкам 7.4, 7.5 и так далее, с указанием вида условных обязательств, сгруппированных в портфель.</w:t>
      </w:r>
    </w:p>
    <w:p>
      <w:pPr>
        <w:pStyle w:val="MainText"/>
        <w:rPr/>
      </w:pPr>
      <w:r>
        <w:rPr/>
        <w:t>7. В графах 3 и 4 разделов 2 и 3 Отчета указываются отдельно суммы требований и суммы обязательств в отношении контрагентов (резидентов и нерезидентов) по срочным сделкам, предусматривающим поставку базисного актива, и по расчетным (беспоставочным) сделкам соответственно — в разрезе финансовых инструментов, в том числе по базисным активам: по поставке иностранной валюты, драгоценных металлов, ценных бумаг и другим, по соответствующим строкам Отчета.</w:t>
      </w:r>
    </w:p>
    <w:p>
      <w:pPr>
        <w:pStyle w:val="MainText"/>
        <w:rPr/>
      </w:pPr>
      <w:r>
        <w:rPr/>
        <w:t>8. В графах 5 и 6 разделов 2 и 3 Отчета информация о положительных и отрицательных нереализованных курсовых разницах приводится по срочным сделкам, предусматривающим поставку базисного актива, и по расчетным (беспоставочным) срочным сделкам соответственно, в разрезе видов финансовых инструментов (форвард, опцион, СВОП), типов сделок и базисных активов по ним. В графах 7 разделов 2 и 3 Отчета приводится информация о фактически сформированном резерве на возможные потери в соответствии с главой 5 Положения Банка России № 283-П.</w:t>
      </w:r>
    </w:p>
    <w:p>
      <w:pPr>
        <w:pStyle w:val="MainText"/>
        <w:rPr/>
      </w:pPr>
      <w:r>
        <w:rPr/>
        <w:t>9. Отчет составляется в целом по кредитной организации:</w:t>
      </w:r>
    </w:p>
    <w:p>
      <w:pPr>
        <w:pStyle w:val="MainText"/>
        <w:rPr/>
      </w:pPr>
      <w:r>
        <w:rPr/>
        <w:t>кредитными организациями (включая расчетные небанковские кредитные организации, за исключением небанковских кредитных организаций, осуществляющих депозитно-кредитные операции) — по состоянию на 1-е число месяца, следующего за отчетным;</w:t>
      </w:r>
    </w:p>
    <w:p>
      <w:pPr>
        <w:pStyle w:val="MainText"/>
        <w:rPr/>
      </w:pPr>
      <w:r>
        <w:rPr/>
        <w:t>небанковскими кредитными организациями, осуществляющими депозитно-кредитные операции, — по состоянию на 1-е число месяца, следующего за отчетным кварталом.</w:t>
      </w:r>
    </w:p>
    <w:p>
      <w:pPr>
        <w:pStyle w:val="MainText"/>
        <w:rPr/>
      </w:pPr>
      <w:r>
        <w:rPr/>
        <w:t>Отчет представляется в территориальное учреждение Банка России:</w:t>
      </w:r>
    </w:p>
    <w:p>
      <w:pPr>
        <w:pStyle w:val="MainText"/>
        <w:rPr/>
      </w:pPr>
      <w:r>
        <w:rPr/>
        <w:t>кредитными организациями (включая расчетные небанковские кредитные организации) (за исключением крупных кредитных организаций с широкой сетью подразделений и небанковских кредитных организаций, осуществляющих депозитно-кредитные операции) — не позднее 7-го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небанковскими кредитными организациями, осуществляющими депозитно-кредитные операции, — не позднее 7-го рабочего дня месяца, следующего за отчетным кварталом.</w:t>
      </w:r>
    </w:p>
    <w:p>
      <w:pPr>
        <w:pStyle w:val="MainText"/>
        <w:rPr/>
      </w:pPr>
      <w:r>
        <w:rPr/>
        <w:t>10.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КРУПНЫХ КРЕДИТОРАХ (ВКЛАДЧИКАХ) </w:t>
        <w:br/>
        <w:t>КРЕДИТНОЙ ОРГАНИЗАЦИИ</w:t>
        <w:br/>
        <w:t>по состоянию на ______ 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0409157</w:t>
        <w:br/>
        <w:t>Месячная</w:t>
        <w:br/>
        <w:t>тыс. руб.</w:t>
      </w:r>
    </w:p>
    <w:tbl>
      <w:tblPr>
        <w:tblW w:w="10988" w:type="dxa"/>
        <w:jc w:val="center"/>
        <w:tblInd w:w="0" w:type="dxa"/>
        <w:tblLayout w:type="fixed"/>
        <w:tblCellMar>
          <w:top w:w="0" w:type="dxa"/>
          <w:start w:w="108" w:type="dxa"/>
          <w:bottom w:w="0" w:type="dxa"/>
          <w:end w:w="108" w:type="dxa"/>
        </w:tblCellMar>
      </w:tblPr>
      <w:tblGrid>
        <w:gridCol w:w="958"/>
        <w:gridCol w:w="2006"/>
        <w:gridCol w:w="829"/>
        <w:gridCol w:w="2551"/>
        <w:gridCol w:w="1561"/>
        <w:gridCol w:w="3083"/>
      </w:tblGrid>
      <w:tr>
        <w:trPr>
          <w:tblHeader w:val="true"/>
          <w:cantSplit/>
        </w:trPr>
        <w:tc>
          <w:tcPr>
            <w:tcW w:w="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200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Наименование крупного кредитора (вкладчика)</w:t>
            </w:r>
          </w:p>
        </w:tc>
        <w:tc>
          <w:tcPr>
            <w:tcW w:w="82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ОГРН (ИНН)</w:t>
            </w:r>
          </w:p>
        </w:tc>
        <w:tc>
          <w:tcPr>
            <w:tcW w:w="255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 обязательств кредитной организации по данному кредитору (вкладчику), связанным между собой кредиторам (вкладчикам)</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Удельный вес в общей сумме обязательств, процент</w:t>
            </w:r>
          </w:p>
        </w:tc>
        <w:tc>
          <w:tcPr>
            <w:tcW w:w="308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Процентное соотношение обязательств кредитной организации перед одним или группой связанных между собой кредиторов (вкладчиков) и собственных средств кредитной организации</w:t>
            </w:r>
          </w:p>
        </w:tc>
      </w:tr>
      <w:tr>
        <w:trPr>
          <w:tblHeader w:val="true"/>
          <w:cantSplit/>
        </w:trPr>
        <w:tc>
          <w:tcPr>
            <w:tcW w:w="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200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82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255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5</w:t>
            </w:r>
          </w:p>
        </w:tc>
        <w:tc>
          <w:tcPr>
            <w:tcW w:w="308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6</w:t>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0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8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5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0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0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8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5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0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6344"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Справочно: </w:t>
              <w:br/>
              <w:t>Общая сумма обязательств кредитной организации</w:t>
            </w:r>
          </w:p>
        </w:tc>
        <w:tc>
          <w:tcPr>
            <w:tcW w:w="15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08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Х</w:t>
            </w:r>
          </w:p>
        </w:tc>
      </w:tr>
    </w:tbl>
    <w:p>
      <w:pPr>
        <w:pStyle w:val="MainTextBezOtstupa"/>
        <w:tabs>
          <w:tab w:val="clear" w:pos="720"/>
          <w:tab w:val="left" w:pos="4564" w:leader="none"/>
        </w:tabs>
        <w:spacing w:before="24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0409157 “Сведения о крупных кредиторах (вкладчиках) кредитной организации”</w:t>
      </w:r>
    </w:p>
    <w:p>
      <w:pPr>
        <w:pStyle w:val="MainText"/>
        <w:rPr/>
      </w:pPr>
      <w:r>
        <w:rPr/>
        <w:t>1. В отчетности по форме 0409157 “Сведения о крупных кредиторах (вкладчиках) кредитной организации” (далее — Отчет) кредитной организацией указываются данные по кредиторам (вкладчикам), группам связанных кредиторов (вкладчиков), совокупная сумма обязательств кредитной организации перед которыми составляет 10 и более процентов от совокупной величины всех обязательств кредитной организации.</w:t>
      </w:r>
    </w:p>
    <w:p>
      <w:pPr>
        <w:pStyle w:val="MainText"/>
        <w:rPr/>
      </w:pPr>
      <w:r>
        <w:rPr/>
        <w:t>Если у кредитной организации количество кредиторов (вкладчиков), групп связанных кредиторов (вкладчиков), совокупная сумма обязательств кредитной организации перед которыми составляет 10 и более процентов от совокупной величины всех обязательств кредитной организации, составляет менее 10 кредиторов (вкладчиков) либо отсутствуют кредиторы (вкладчики), отвечающие указанным условиям, в Отчет включается информация о других наиболее крупных для данной кредитной организации обязательствах перед кредиторами (вкладчиками), группами связанных кредиторов (вкладчиков) (по мере убывания величины обязательств в количестве до 10).</w:t>
      </w:r>
    </w:p>
    <w:p>
      <w:pPr>
        <w:pStyle w:val="MainText"/>
        <w:rPr/>
      </w:pPr>
      <w:r>
        <w:rPr/>
        <w:t>В объем совокупной суммы обязательств включаются вклады (депозиты) клиентов, не являющихся кредитными организациями (включая физические лица), остатки на расчетных (текущих) счетах клиентов, не являющихся кредитными организациями, и физических лиц (в рублях, иностранной валюте и драгоценных металлах).</w:t>
      </w:r>
    </w:p>
    <w:p>
      <w:pPr>
        <w:pStyle w:val="MainText"/>
        <w:rPr/>
      </w:pPr>
      <w:r>
        <w:rPr/>
        <w:t>При составлении Отчета субординированные кредиты (депозиты) организаций, не являющихся кредитными организациями, подлежат включению в расчет в размере остатка на балансовом счете на отчетную дату, за вычетом суммы субординированного кредита (депозита), включенного в расчет капитала в соответствии с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17 июля 2006 года № 8091, 7 марта 2007 года № 9072, 26 июля 2007 года № 9910, 20 декабря 2007 года № 10778, 12 декабря 2008 года № 12840, 19 декабря 2008 года № 12905, 29 июня 2009 года № 14161 (“Вестник Банка России” от 20 марта 2003 года № 15, от 26 июля 2006 года № 41, от 14 марта 2007 года № 14, от 2 августа 2007 года № 44, от 26 декабря 2007 года № 71, от 17 декабря 2008 года № 73, от 24 декабря 2008 года № 74, от 8 июля 2009 года № 40) (далее — Положение Банка России № 215-П).</w:t>
      </w:r>
    </w:p>
    <w:p>
      <w:pPr>
        <w:pStyle w:val="MainText"/>
        <w:rPr/>
      </w:pPr>
      <w:r>
        <w:rPr/>
        <w:t>Определение взаимосвязей кредиторов (вкладчиков) осуществляется аналогично определению связанных заемщиков, а также групп заемщиков в соответствии с Инструкцией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25 апреля 2006 года № 7740, 5 июля 2007 года № 9755, 10 декабря 2007 года № 10659, 14 апреля 2008 года № 11535, 30 июня 2008 года № 11907, 17 марта 2009 года № 13522, 23 марта 2009 года № 13572, 22 апреля 2009 года № 13807, 5 августа 2009 года № 14464 (“Вестник Банка России” от 11 февраля 2004 года № 11, от 8 сентября 2004 года № 53, от 13 апреля 2005 года № 19, от 10 августа 2005 года № 40, от 31 августа 2005 года № 46, от 4 мая 2006 года № 26, от 11 июля 2007 года № 39, от 17 декабря 2007 года № 69, от 30 апреля 2008 года № 19, от 9 июля 2008 года № 36, от 25 марта 2009 года № 20, от 1 апреля 2009 года № 21, от 29 апреля 2009 года № 25, от 12 августа 2009 года № 47).</w:t>
      </w:r>
    </w:p>
    <w:p>
      <w:pPr>
        <w:pStyle w:val="MainText"/>
        <w:rPr/>
      </w:pPr>
      <w:r>
        <w:rPr/>
        <w:t>2. Информация в Отчете отражается в разрезе кредиторов (вкладчиков), групп связанных кредиторов (вкладчиков) в порядке убывания размера обязательств.</w:t>
      </w:r>
    </w:p>
    <w:p>
      <w:pPr>
        <w:pStyle w:val="MainText"/>
        <w:rPr/>
      </w:pPr>
      <w:r>
        <w:rPr/>
        <w:t>В графе 1 Отчета кредиторам (вкладчикам), не входящим в группу связанных, и группам связанных кредиторов (вкладчиков) присваивается порядковый номер Х в виде целого числа (1; 2; ...), кредиторам (вкладчикам), входящим в состав группы, присваивается порядковый номер — Х</w:t>
      </w:r>
      <w:r>
        <w:rPr>
          <w:vertAlign w:val="subscript"/>
        </w:rPr>
        <w:t>1</w:t>
      </w:r>
      <w:r>
        <w:rPr/>
        <w:t>.Х</w:t>
      </w:r>
      <w:r>
        <w:rPr>
          <w:vertAlign w:val="subscript"/>
        </w:rPr>
        <w:t>2</w:t>
      </w:r>
      <w:r>
        <w:rPr/>
        <w:t>, где Х</w:t>
      </w:r>
      <w:r>
        <w:rPr>
          <w:vertAlign w:val="subscript"/>
        </w:rPr>
        <w:t>1</w:t>
      </w:r>
      <w:r>
        <w:rPr/>
        <w:t> — порядковый номер группы, а Х</w:t>
      </w:r>
      <w:r>
        <w:rPr>
          <w:vertAlign w:val="subscript"/>
        </w:rPr>
        <w:t>2</w:t>
      </w:r>
      <w:r>
        <w:rPr/>
        <w:t> — номер кредитора (вкладчика) в группе (1.1; 1.2; 1.3; ...).</w:t>
      </w:r>
    </w:p>
    <w:p>
      <w:pPr>
        <w:pStyle w:val="MainText"/>
        <w:rPr/>
      </w:pPr>
      <w:r>
        <w:rPr/>
        <w:t>При значительном числе участников группы связанных кредиторов (вкладчиков) информация по участникам групп с несущественными объемами обязательств может быть объединена и представлена по строке “Прочие” в составе группы. Одновременно в пояснительных примечаниях к Отчету должна быть указана информация о количестве кредиторов (вкладчиков), включенных в строку “Прочие”, а также максимальные и минимальные суммы задолженности по ним. При этом по строке “Прочие” в составе групп заполнению не подлежит графа 3.</w:t>
      </w:r>
    </w:p>
    <w:p>
      <w:pPr>
        <w:pStyle w:val="MainText"/>
        <w:rPr/>
      </w:pPr>
      <w:r>
        <w:rPr/>
        <w:t>3. В графе 2 Отчета указывается:</w:t>
      </w:r>
    </w:p>
    <w:p>
      <w:pPr>
        <w:pStyle w:val="MainText"/>
        <w:rPr/>
      </w:pPr>
      <w:r>
        <w:rPr/>
        <w:t>по индивидуальному кредитору (вкладчику) — юридическому лицу — резиденту — полное наименование в соответствии с записью в Едином государственном реестре юридических лиц о его регистрации;</w:t>
      </w:r>
    </w:p>
    <w:p>
      <w:pPr>
        <w:pStyle w:val="MainText"/>
        <w:rPr/>
      </w:pPr>
      <w:r>
        <w:rPr/>
        <w:t>по индивидуальному кредитору (вкладчику) — юридическому лицу — нерезиденту — полное наименование в соответствии с наименованием, приведенным в учредительных документах;</w:t>
      </w:r>
    </w:p>
    <w:p>
      <w:pPr>
        <w:pStyle w:val="MainText"/>
        <w:rPr/>
      </w:pPr>
      <w:r>
        <w:rPr/>
        <w:t>по физическому лицу — порядковый номер Х в виде целого числа (1; 2; ...) (например, вкладчик № 1);</w:t>
      </w:r>
    </w:p>
    <w:p>
      <w:pPr>
        <w:pStyle w:val="MainText"/>
        <w:rPr/>
      </w:pPr>
      <w:r>
        <w:rPr/>
        <w:t>по группе связанных кредиторов (вкладчиков) — порядковый номер — Х</w:t>
      </w:r>
      <w:r>
        <w:rPr>
          <w:vertAlign w:val="subscript"/>
        </w:rPr>
        <w:t>1</w:t>
      </w:r>
      <w:r>
        <w:rPr/>
        <w:t>.Х</w:t>
      </w:r>
      <w:r>
        <w:rPr>
          <w:vertAlign w:val="subscript"/>
        </w:rPr>
        <w:t>2</w:t>
      </w:r>
      <w:r>
        <w:rPr/>
        <w:t>, где Х</w:t>
      </w:r>
      <w:r>
        <w:rPr>
          <w:vertAlign w:val="subscript"/>
        </w:rPr>
        <w:t>1</w:t>
      </w:r>
      <w:r>
        <w:rPr/>
        <w:t> — порядковый номер группы, а Х</w:t>
      </w:r>
      <w:r>
        <w:rPr>
          <w:vertAlign w:val="subscript"/>
        </w:rPr>
        <w:t>2</w:t>
      </w:r>
      <w:r>
        <w:rPr/>
        <w:t> — номер заемщика в группе (1.1; 1.2; 1.3; ...) в порядке убывания размера обязательств.</w:t>
      </w:r>
    </w:p>
    <w:p>
      <w:pPr>
        <w:pStyle w:val="MainText"/>
        <w:rPr/>
      </w:pPr>
      <w:r>
        <w:rPr/>
        <w:t>4. В графе 3 Отчета по каждому кредитору (вкладчику) указывается:</w:t>
      </w:r>
    </w:p>
    <w:p>
      <w:pPr>
        <w:pStyle w:val="MainText"/>
        <w:rPr/>
      </w:pPr>
      <w:r>
        <w:rPr/>
        <w:t>для юридических лиц — основной государственный регистрационный номер (ОГРН);</w:t>
      </w:r>
    </w:p>
    <w:p>
      <w:pPr>
        <w:pStyle w:val="MainText"/>
        <w:rPr/>
      </w:pPr>
      <w:r>
        <w:rPr/>
        <w:t>для физических лиц — идентификационный номер налогоплательщика (ИНН);</w:t>
      </w:r>
    </w:p>
    <w:p>
      <w:pPr>
        <w:pStyle w:val="MainText"/>
        <w:rPr/>
      </w:pPr>
      <w:r>
        <w:rPr/>
        <w:t>для нерезидентов — условное обозначение “НР”.</w:t>
      </w:r>
    </w:p>
    <w:p>
      <w:pPr>
        <w:pStyle w:val="MainText"/>
        <w:rPr/>
      </w:pPr>
      <w:r>
        <w:rPr/>
        <w:t>5. В графе 5 Отчета приводится удельный вес в общей сумме обязательств, рассчитанный как процентное соотношение обязательств кредитной организации перед одним кредитором (вкладчиком) или группой связанных между собой кредиторов (вкладчиков) (графа 4 Отчета) и общей суммы обязательств кредитной организации.</w:t>
      </w:r>
    </w:p>
    <w:p>
      <w:pPr>
        <w:pStyle w:val="MainText"/>
        <w:rPr/>
      </w:pPr>
      <w:r>
        <w:rPr/>
        <w:t>6. В графе 6 Отчета указывается процентное соотношение обязательств кредитной организации перед одним кредитором (вкладчиком) или группой связанных между собой кредиторов (вкладчиков) (графа 4 Отчета) к величине собственных средств (капитала) кредитной организации, рассчитанной в соответствии с Положением Банка России от 10 февраля 2003 года № 215-П.</w:t>
      </w:r>
    </w:p>
    <w:p>
      <w:pPr>
        <w:pStyle w:val="MainText"/>
        <w:rPr/>
      </w:pPr>
      <w:r>
        <w:rPr/>
        <w:t>7. Отчет составляется в целом по кредитной организации (включая небанковские кредитные организации) по состоянию на 1-е число месяца, следующего за отчетным, и представляется в территориальное учреждение Банка России:</w:t>
      </w:r>
    </w:p>
    <w:p>
      <w:pPr>
        <w:pStyle w:val="MainText"/>
        <w:rPr/>
      </w:pPr>
      <w:r>
        <w:rPr/>
        <w:t>кредитными организациями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8.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ИНФОРМАЦИЯ О СОБЛЮДЕНИИ КРЕДИТНЫМИ ОРГАНИЗАЦИЯМИ, ОСУЩЕСТВЛЯЮЩИМИ ЭМИССИЮ ОБЛИГАЦИЙ С ИПОТЕЧНЫМ ПОКРЫТИЕМ, ТРЕБОВАНИЙ К ИПОТЕЧНОМУ ПОКРЫТИЮ ОБЛИГАЦИЙ </w:t>
        <w:br/>
        <w:t>по состоянию на “</w:t>
      </w:r>
      <w:r>
        <w:rPr/>
        <w:t>___” __________ _____</w:t>
      </w:r>
      <w:r>
        <w:rPr>
          <w:b w:val="false"/>
        </w:rPr>
        <w:t xml:space="preserve"> </w:t>
      </w:r>
      <w:r>
        <w:rPr/>
        <w:t>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0409159</w:t>
        <w:br/>
        <w:t>Месячная</w:t>
        <w:br/>
        <w:t>в процентах</w:t>
      </w:r>
    </w:p>
    <w:tbl>
      <w:tblPr>
        <w:tblW w:w="10989" w:type="dxa"/>
        <w:jc w:val="center"/>
        <w:tblInd w:w="0" w:type="dxa"/>
        <w:tblLayout w:type="fixed"/>
        <w:tblCellMar>
          <w:top w:w="0" w:type="dxa"/>
          <w:start w:w="108" w:type="dxa"/>
          <w:bottom w:w="0" w:type="dxa"/>
          <w:end w:w="108" w:type="dxa"/>
        </w:tblCellMar>
      </w:tblPr>
      <w:tblGrid>
        <w:gridCol w:w="959"/>
        <w:gridCol w:w="5812"/>
        <w:gridCol w:w="2693"/>
        <w:gridCol w:w="1525"/>
      </w:tblGrid>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58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Наименование требования</w:t>
            </w:r>
          </w:p>
        </w:tc>
        <w:tc>
          <w:tcPr>
            <w:tcW w:w="26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Требование, установленное Федеральным законом “Об ипотечных ценных бумагах”</w:t>
            </w:r>
          </w:p>
        </w:tc>
        <w:tc>
          <w:tcPr>
            <w:tcW w:w="15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Фактическое значение соотношения</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58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26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15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58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Соотношение размера (суммы) обеспеченных ипотекой требований, составляющих ипотечное покрытие облигаций, и общей номинальной стоимости облигаций (Т1)</w:t>
            </w:r>
          </w:p>
        </w:tc>
        <w:tc>
          <w:tcPr>
            <w:tcW w:w="26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і80</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58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Соотношение размера ипотечного покрытия облигаций и размера (суммы) обязательств по этим облигациям (Т2)</w:t>
            </w:r>
          </w:p>
        </w:tc>
        <w:tc>
          <w:tcPr>
            <w:tcW w:w="26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u w:val="single"/>
              </w:rPr>
              <w:t>&gt;</w:t>
            </w:r>
            <w:r>
              <w:rPr/>
              <w:t>100</w:t>
            </w:r>
          </w:p>
        </w:tc>
        <w:tc>
          <w:tcPr>
            <w:tcW w:w="15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0409159 “Информация о соблюдении кредитными организациями, осуществляющими эмиссию облигаций с ипотечным покрытием, требований к ипотечному покрытию облигаций”</w:t>
      </w:r>
    </w:p>
    <w:p>
      <w:pPr>
        <w:pStyle w:val="MainText"/>
        <w:rPr/>
      </w:pPr>
      <w:r>
        <w:rPr/>
        <w:t>1. Отчетность по форме 0409159 “Информация о соблюдении кредитными организациями, осуществляющими эмиссию облигаций с ипотечным покрытием, требований к ипотечному покрытию облигаций” (далее — Отчет) составляется в целом по кредитной организации, осуществляющей эмиссию облигаций с ипотечным покрытием (далее — кредитная организация), по состоянию на 1-е число месяца, следующего за отчетным, и представляется в территориальное учреждение Банка России:</w:t>
      </w:r>
    </w:p>
    <w:p>
      <w:pPr>
        <w:pStyle w:val="MainText"/>
        <w:rPr/>
      </w:pPr>
      <w:r>
        <w:rPr/>
        <w:t>кредитными организациями (за исключением крупных кредитных организаций с широкой сетью подразделений) — не позднее 6-го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15-го рабочего дня месяца, следующего за отчетным.</w:t>
      </w:r>
    </w:p>
    <w:p>
      <w:pPr>
        <w:pStyle w:val="MainText"/>
        <w:rPr/>
      </w:pPr>
      <w:r>
        <w:rPr/>
        <w:t>В составе Отчета по состоянию на 1-е число месяца, следующего за отчетным, кредитные организации представляют информацию о допущенных на внутримесячные даты фактах нарушений требований, установленных Федеральным законом от 11 ноября 2003 года № 152-ФЗ “Об ипотечных ценных бумагах” (Собрание законодательства Российской Федерации, 2003, № 46, ст. 4448; 2005, № 1, ст. 19; 2006, № 31, ст. 3440). Информация должна содержать наименование требования, его фактическое значение, выраженное в процентах, и дату, на которую было допущено нарушение (даты, на которые были допущены нарушения).</w:t>
      </w:r>
    </w:p>
    <w:p>
      <w:pPr>
        <w:pStyle w:val="MainText"/>
        <w:rPr/>
      </w:pPr>
      <w:r>
        <w:rPr/>
        <w:t>2. Соотношение размера (суммы) обеспеченных ипотекой требований, составляющих ипотечное покрытие облигаций, и общей номинальной стоимости облигаций рассчитывается по формуле:</w:t>
      </w:r>
    </w:p>
    <w:p>
      <w:pPr>
        <w:pStyle w:val="MainTextBezOtstupa"/>
        <w:spacing w:before="120" w:after="0"/>
        <w:ind w:start="1134" w:end="295"/>
        <w:jc w:val="start"/>
        <w:rPr/>
      </w:pPr>
      <w:r>
        <w:rPr/>
        <w:t>Кр</w:t>
      </w:r>
      <w:r>
        <w:rPr>
          <w:vertAlign w:val="subscript"/>
        </w:rPr>
        <w:t>ип</w:t>
      </w:r>
    </w:p>
    <w:p>
      <w:pPr>
        <w:pStyle w:val="MainTextBezOtstupa"/>
        <w:ind w:start="567" w:end="0"/>
        <w:jc w:val="start"/>
        <w:rPr/>
      </w:pPr>
      <w:r>
        <w:rPr/>
        <w:t>Т1 = ———— х 100%,</w:t>
      </w:r>
    </w:p>
    <w:p>
      <w:pPr>
        <w:pStyle w:val="MainTextBezOtstupa"/>
        <w:ind w:start="1134" w:end="295"/>
        <w:jc w:val="start"/>
        <w:rPr/>
      </w:pPr>
      <w:r>
        <w:rPr/>
        <w:t>Обл</w:t>
      </w:r>
    </w:p>
    <w:p>
      <w:pPr>
        <w:pStyle w:val="MainText"/>
        <w:rPr/>
      </w:pPr>
      <w:r>
        <w:rPr/>
        <w:t>где:</w:t>
      </w:r>
    </w:p>
    <w:p>
      <w:pPr>
        <w:pStyle w:val="MainText"/>
        <w:rPr/>
      </w:pPr>
      <w:r>
        <w:rPr/>
        <w:t>Кр</w:t>
      </w:r>
      <w:r>
        <w:rPr>
          <w:vertAlign w:val="subscript"/>
        </w:rPr>
        <w:t>ип</w:t>
      </w:r>
      <w:r>
        <w:rPr/>
        <w:t> — совокупная сумма предоставленных кредитов с ипотечным покрытием;</w:t>
      </w:r>
    </w:p>
    <w:p>
      <w:pPr>
        <w:pStyle w:val="MainText"/>
        <w:rPr/>
      </w:pPr>
      <w:r>
        <w:rPr/>
        <w:t>Обл — объем эмиссии облигаций с ипотечным покрытием.</w:t>
      </w:r>
    </w:p>
    <w:p>
      <w:pPr>
        <w:pStyle w:val="MainText"/>
        <w:rPr/>
      </w:pPr>
      <w:r>
        <w:rPr/>
        <w:t>Показатели Кр</w:t>
      </w:r>
      <w:r>
        <w:rPr>
          <w:vertAlign w:val="subscript"/>
        </w:rPr>
        <w:t>ип</w:t>
      </w:r>
      <w:r>
        <w:rPr/>
        <w:t xml:space="preserve"> и Обл определяются в соответствии с Инструкцией Банка России от 31 марта 2004 года № 112-И “Об обязательных нормативах кредитных организаций, осуществляющих эмиссию облигаций с ипотечным покрытием”, зарегистрированной Министерством юстиции Российской Федерации 5 мая 2004 года № 5783, от 14 марта 2005 года № 6394, 26 июня 2007 года № 9704 (“Вестник Банка России” от 19 мая 2004 года № 30, от 13 апреля 2005 года № 19, от 4 апреля 2007 года № 38) (далее – Инструкция Банка России № 112-И).</w:t>
      </w:r>
    </w:p>
    <w:p>
      <w:pPr>
        <w:pStyle w:val="MainText"/>
        <w:rPr/>
      </w:pPr>
      <w:r>
        <w:rPr/>
        <w:t>3. Соотношение размера ипотечного покрытия облигаций и размера (суммы) обязательств по этим облигациям рассчитывается по формуле:</w:t>
      </w:r>
    </w:p>
    <w:p>
      <w:pPr>
        <w:pStyle w:val="MainTextBezOtstupa"/>
        <w:spacing w:before="120" w:after="0"/>
        <w:ind w:start="1276" w:end="284"/>
        <w:jc w:val="start"/>
        <w:rPr/>
      </w:pPr>
      <w:r>
        <w:rPr/>
        <w:t>ИП</w:t>
      </w:r>
    </w:p>
    <w:p>
      <w:pPr>
        <w:pStyle w:val="MainTextBezOtstupa"/>
        <w:ind w:start="567" w:end="0"/>
        <w:jc w:val="start"/>
        <w:rPr/>
      </w:pPr>
      <w:r>
        <w:rPr/>
        <w:t>Т2 = ———— х 100%,</w:t>
      </w:r>
    </w:p>
    <w:p>
      <w:pPr>
        <w:pStyle w:val="MainTextBezOtstupa"/>
        <w:ind w:start="1134" w:end="283"/>
        <w:jc w:val="start"/>
        <w:rPr/>
      </w:pPr>
      <w:r>
        <w:rPr/>
        <w:t>Об</w:t>
      </w:r>
      <w:r>
        <w:rPr>
          <w:vertAlign w:val="subscript"/>
        </w:rPr>
        <w:t>обл</w:t>
      </w:r>
    </w:p>
    <w:p>
      <w:pPr>
        <w:pStyle w:val="MainText"/>
        <w:rPr/>
      </w:pPr>
      <w:r>
        <w:rPr/>
        <w:t>где:</w:t>
      </w:r>
    </w:p>
    <w:p>
      <w:pPr>
        <w:pStyle w:val="MainText"/>
        <w:rPr/>
      </w:pPr>
      <w:r>
        <w:rPr/>
        <w:t>ИП — размер ипотечного покрытия, определяемый в соответствии с Инструкцией Банка России № 112-И;</w:t>
      </w:r>
    </w:p>
    <w:p>
      <w:pPr>
        <w:pStyle w:val="MainText"/>
        <w:rPr/>
      </w:pPr>
      <w:r>
        <w:rPr/>
        <w:t>Об</w:t>
      </w:r>
      <w:r>
        <w:rPr>
          <w:vertAlign w:val="subscript"/>
        </w:rPr>
        <w:t>обл</w:t>
      </w:r>
      <w:r>
        <w:rPr/>
        <w:t> — обязательства по облигациям с ипотечным покрытием, определяемые аналогично показателю Обл в отношении конкретного ипотечного покрытия.</w:t>
      </w:r>
    </w:p>
    <w:p>
      <w:pPr>
        <w:pStyle w:val="MainText"/>
        <w:rPr/>
      </w:pPr>
      <w:r>
        <w:rPr/>
        <w:t>4.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ДОЧЕРНИХ ОРГАНИЗАЦИЯХ — НЕРЕЗИДЕНТАХ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0409170</w:t>
        <w:br/>
        <w:t>На нерегулярной основе</w:t>
      </w:r>
    </w:p>
    <w:tbl>
      <w:tblPr>
        <w:tblW w:w="16214" w:type="dxa"/>
        <w:jc w:val="center"/>
        <w:tblInd w:w="0" w:type="dxa"/>
        <w:tblLayout w:type="fixed"/>
        <w:tblCellMar>
          <w:top w:w="0" w:type="dxa"/>
          <w:start w:w="28" w:type="dxa"/>
          <w:bottom w:w="0" w:type="dxa"/>
          <w:end w:w="28" w:type="dxa"/>
        </w:tblCellMar>
      </w:tblPr>
      <w:tblGrid>
        <w:gridCol w:w="1474"/>
        <w:gridCol w:w="1474"/>
        <w:gridCol w:w="1474"/>
        <w:gridCol w:w="1474"/>
        <w:gridCol w:w="1474"/>
        <w:gridCol w:w="1474"/>
        <w:gridCol w:w="1474"/>
        <w:gridCol w:w="1474"/>
        <w:gridCol w:w="1474"/>
        <w:gridCol w:w="1474"/>
        <w:gridCol w:w="1474"/>
      </w:tblGrid>
      <w:tr>
        <w:trPr>
          <w:cantSplit/>
        </w:trPr>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дочерней организации — нерезидента</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Дата и номер разрешения Банка России</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Дата фактического приобретения организацией-нерезидентом статуса дочерней организации кредитной организации</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Дата фактической утраты организацией-нерезидентом статуса дочерней организации кредитной организации</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Сумма участия в уставном капитале дочерней организации — нерезидента, единиц иностранной валюты</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Доля участия в уставном капитале дочерней организации — нерезидента, процент</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Место нахождения дочерней организации — нерезидента (адрес)</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Телефон руководителя дочерней организации — нерезидента</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Фамилия руководителя дочерней организации — нерезидента</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Имя руководителя дочерней организации — нерезидента</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Отчество руководителя дочерней организации — нерезидента</w:t>
            </w:r>
          </w:p>
        </w:tc>
      </w:tr>
      <w:tr>
        <w:trPr>
          <w:cantSplit/>
        </w:trPr>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14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r>
    </w:tbl>
    <w:p>
      <w:pPr>
        <w:pStyle w:val="MainTextBezOtstupa"/>
        <w:tabs>
          <w:tab w:val="clear" w:pos="720"/>
          <w:tab w:val="left" w:pos="4564" w:leader="none"/>
        </w:tabs>
        <w:spacing w:before="120" w:after="0"/>
        <w:rPr/>
      </w:pPr>
      <w:r>
        <w:rPr/>
        <w:t>Руководитель</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0409170 “Сведения о дочерних организациях — нерезидентах”</w:t>
      </w:r>
    </w:p>
    <w:p>
      <w:pPr>
        <w:pStyle w:val="MainText"/>
        <w:rPr/>
      </w:pPr>
      <w:r>
        <w:rPr/>
        <w:t>1. Кредитная организация, имеющая дочерние организации за пределами территории Российской Федерации, представляет отчетность по форме 0409170 “Сведения о дочерних организациях — нерезидентах” (далее — Отчет) в территориальное учреждение Банка России, осуществляющее надзор за ее деятельностью, не позднее 1 месяца со дня приобретения организацией-нерезидентом статуса дочерней организации по отношению к отчитывающейся кредитной организации и не позднее 5 рабочих дней со дня изменения одного из реквизитов Отчета.</w:t>
      </w:r>
    </w:p>
    <w:p>
      <w:pPr>
        <w:pStyle w:val="MainText"/>
        <w:rPr/>
      </w:pPr>
      <w:r>
        <w:rPr/>
        <w:t>2. В графе 2 Отчета указываются дата и номер разрешения Банка России на учреждение дочерней организации за пределами территории Российской Федерации и приобретение статуса основного общества в отношении действующих юридических лиц — нерезидентов.</w:t>
      </w:r>
    </w:p>
    <w:p>
      <w:pPr>
        <w:pStyle w:val="MainText"/>
        <w:rPr/>
      </w:pPr>
      <w:r>
        <w:rPr/>
        <w:t>3. Отчет подписывается руководителем кредитной организации. Подпись руководителя кредитной организации скрепляется печатью кредитной организации. В случае если Отчет содержит более 1 листа, листы должны быть пронумерованы, прошиты и скреплены на оборотной стороне последнего листа заверительной надписью с указанием цифрами и прописью количества пронумерованных листов, подписанной ее составителем (с расшифровкой подписи, должности и указанием даты составления). Подпись составителя заверительной надписи должна быть скреплена печатью кредитной организации.</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rPr/>
      </w:pPr>
      <w:r>
        <w:rPr>
          <w:color w:val="000000"/>
        </w:rPr>
        <w:t xml:space="preserve">ОТЧЕТ О НАЛИЧНОМ ДЕНЕЖНОМ ОБОРОТЕ </w:t>
        <w:br/>
        <w:t xml:space="preserve">за </w:t>
      </w:r>
      <w:r>
        <w:rPr/>
        <w:t>______________________ (месяц) ______ 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120" w:after="60"/>
        <w:jc w:val="end"/>
        <w:rPr/>
      </w:pPr>
      <w:r>
        <w:rPr/>
        <w:t>Код формы по ОКУД 0409202</w:t>
        <w:br/>
        <w:t>Месячная</w:t>
        <w:br/>
        <w:t>тыс. руб.</w:t>
      </w:r>
    </w:p>
    <w:tbl>
      <w:tblPr>
        <w:tblW w:w="10989" w:type="dxa"/>
        <w:jc w:val="center"/>
        <w:tblInd w:w="0" w:type="dxa"/>
        <w:tblLayout w:type="fixed"/>
        <w:tblCellMar>
          <w:top w:w="0" w:type="dxa"/>
          <w:start w:w="108" w:type="dxa"/>
          <w:bottom w:w="0" w:type="dxa"/>
          <w:end w:w="108" w:type="dxa"/>
        </w:tblCellMar>
      </w:tblPr>
      <w:tblGrid>
        <w:gridCol w:w="3663"/>
        <w:gridCol w:w="3663"/>
        <w:gridCol w:w="3663"/>
      </w:tblGrid>
      <w:tr>
        <w:trPr>
          <w:tblHeader w:val="true"/>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Код территории по ОКАТО</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Символ</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w:t>
            </w:r>
          </w:p>
        </w:tc>
      </w:tr>
      <w:tr>
        <w:trPr>
          <w:tblHeader w:val="true"/>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I. Всего по кредитной организации (ее филиалу)</w:t>
            </w:r>
          </w:p>
        </w:tc>
      </w:tr>
      <w:tr>
        <w:trPr>
          <w:cantSplit/>
        </w:trPr>
        <w:tc>
          <w:tcPr>
            <w:tcW w:w="3663" w:type="dxa"/>
            <w:tcBorders>
              <w:top w:val="single" w:sz="6" w:space="0" w:color="000000"/>
              <w:start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символ</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3663" w:type="dxa"/>
            <w:tcBorders>
              <w:start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3663" w:type="dxa"/>
            <w:tcBorders>
              <w:start w:val="single" w:sz="6" w:space="0" w:color="000000"/>
              <w:bottom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II. Сводные данные по входящим в состав кредитной организации (ее филиала) внутренним структурным подразделениям и банкоматам, расположенным вне пределов территории, подведомственной территориальному учреждению Банка России, осуществляющему надзор за ее (его) деятельностью</w:t>
            </w:r>
          </w:p>
        </w:tc>
      </w:tr>
      <w:tr>
        <w:trPr>
          <w:cantSplit/>
        </w:trPr>
        <w:tc>
          <w:tcPr>
            <w:tcW w:w="3663" w:type="dxa"/>
            <w:tcBorders>
              <w:top w:val="single" w:sz="6" w:space="0" w:color="000000"/>
              <w:start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символ</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3663" w:type="dxa"/>
            <w:tcBorders>
              <w:start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3663" w:type="dxa"/>
            <w:tcBorders>
              <w:start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3663" w:type="dxa"/>
            <w:tcBorders>
              <w:top w:val="single" w:sz="6" w:space="0" w:color="000000"/>
              <w:start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символ</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3663" w:type="dxa"/>
            <w:tcBorders>
              <w:start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3663" w:type="dxa"/>
            <w:tcBorders>
              <w:start w:val="single" w:sz="6" w:space="0" w:color="000000"/>
              <w:bottom w:val="single" w:sz="6" w:space="0" w:color="000000"/>
              <w:end w:val="single" w:sz="6" w:space="0" w:color="000000"/>
            </w:tcBorders>
          </w:tcPr>
          <w:p>
            <w:pPr>
              <w:pStyle w:val="MainText"/>
              <w:snapToGrid w:val="false"/>
              <w:ind w:hanging="0" w:end="0"/>
              <w:jc w:val="start"/>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spacing w:before="120" w:after="0"/>
        <w:rPr/>
      </w:pPr>
      <w:r>
        <w:rPr>
          <w:color w:val="000000"/>
        </w:rPr>
        <w:t>Порядок составления и представления отчетности по форме 0409202 “Отчет о наличном денежном обороте”</w:t>
      </w:r>
    </w:p>
    <w:p>
      <w:pPr>
        <w:pStyle w:val="MGlavaCenter"/>
        <w:rPr>
          <w:b w:val="false"/>
        </w:rPr>
      </w:pPr>
      <w:r>
        <w:rPr>
          <w:b w:val="false"/>
        </w:rPr>
        <w:t>Раздел I. Общие положения</w:t>
      </w:r>
    </w:p>
    <w:p>
      <w:pPr>
        <w:pStyle w:val="MainText"/>
        <w:rPr/>
      </w:pPr>
      <w:r>
        <w:rPr/>
        <w:t>I.1. Отчетность по форме 0409202 “Отчет о наличном денежном обороте” (далее — Отчет) представляется в целях получения информации Банком России об источниках поступлений наличных денежных средств в валюте Российской Федерации (далее — наличные деньги) в головные офисы и филиалы кредитных организаций (включая небанковские кредитные организации (их филиалы) (далее — кредитные организации, за исключением прямого указания в тексте настоящего Порядка на головной офис или филиал кредитной организации), входящие в их состав дополнительные офисы, кредитно-кассовые офисы, операционные офисы, операционные кассы вне кассового узла, обменные пункты, а также иные внутренние структурные подразделения, предусмотренные нормативными актами Банка России (далее — внутренние структурные подразделения), и направлениях их выдач.</w:t>
      </w:r>
    </w:p>
    <w:p>
      <w:pPr>
        <w:pStyle w:val="MGlavaCenter"/>
        <w:rPr>
          <w:b w:val="false"/>
        </w:rPr>
      </w:pPr>
      <w:r>
        <w:rPr>
          <w:b w:val="false"/>
        </w:rPr>
        <w:t>Раздел II. Содержание Отчета</w:t>
      </w:r>
    </w:p>
    <w:p>
      <w:pPr>
        <w:pStyle w:val="MainText"/>
        <w:rPr/>
      </w:pPr>
      <w:r>
        <w:rPr/>
        <w:t>II.1. Отчет составляется в тысячах рублей.</w:t>
      </w:r>
    </w:p>
    <w:p>
      <w:pPr>
        <w:pStyle w:val="MainText"/>
        <w:spacing w:before="0" w:after="120"/>
        <w:rPr/>
      </w:pPr>
      <w:r>
        <w:rPr/>
        <w:t>II.2. Отчет составляется по следующей номенклатуре символов.</w:t>
      </w:r>
    </w:p>
    <w:tbl>
      <w:tblPr>
        <w:tblW w:w="10988" w:type="dxa"/>
        <w:jc w:val="center"/>
        <w:tblInd w:w="0" w:type="dxa"/>
        <w:tblLayout w:type="fixed"/>
        <w:tblCellMar>
          <w:top w:w="0" w:type="dxa"/>
          <w:start w:w="108" w:type="dxa"/>
          <w:bottom w:w="0" w:type="dxa"/>
          <w:end w:w="108" w:type="dxa"/>
        </w:tblCellMar>
      </w:tblPr>
      <w:tblGrid>
        <w:gridCol w:w="9747"/>
        <w:gridCol w:w="1241"/>
      </w:tblGrid>
      <w:tr>
        <w:trPr>
          <w:tblHeader w:val="true"/>
          <w:cantSplit/>
        </w:trPr>
        <w:tc>
          <w:tcPr>
            <w:tcW w:w="9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Статьи прихода и расхода</w:t>
            </w:r>
          </w:p>
        </w:tc>
        <w:tc>
          <w:tcPr>
            <w:tcW w:w="124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Символы</w:t>
            </w:r>
          </w:p>
        </w:tc>
      </w:tr>
      <w:tr>
        <w:trPr>
          <w:tblHeader w:val="true"/>
          <w:cantSplit/>
        </w:trPr>
        <w:tc>
          <w:tcPr>
            <w:tcW w:w="9747" w:type="dxa"/>
            <w:tcBorders>
              <w:top w:val="single" w:sz="6" w:space="0" w:color="000000"/>
              <w:start w:val="single" w:sz="6" w:space="0" w:color="000000"/>
              <w:end w:val="single" w:sz="6" w:space="0" w:color="000000"/>
            </w:tcBorders>
          </w:tcPr>
          <w:p>
            <w:pPr>
              <w:pStyle w:val="MainText"/>
              <w:ind w:hanging="0" w:end="0"/>
              <w:jc w:val="center"/>
              <w:rPr/>
            </w:pPr>
            <w:r>
              <w:rPr/>
              <w:t>1</w:t>
            </w:r>
          </w:p>
        </w:tc>
        <w:tc>
          <w:tcPr>
            <w:tcW w:w="1241" w:type="dxa"/>
            <w:tcBorders>
              <w:top w:val="single" w:sz="6" w:space="0" w:color="000000"/>
              <w:start w:val="single" w:sz="6" w:space="0" w:color="000000"/>
              <w:end w:val="single" w:sz="6" w:space="0" w:color="000000"/>
            </w:tcBorders>
          </w:tcPr>
          <w:p>
            <w:pPr>
              <w:pStyle w:val="MainText"/>
              <w:ind w:hanging="0" w:end="0"/>
              <w:jc w:val="center"/>
              <w:rPr/>
            </w:pPr>
            <w:r>
              <w:rPr/>
              <w:t>2</w:t>
            </w:r>
          </w:p>
        </w:tc>
      </w:tr>
      <w:tr>
        <w:trPr>
          <w:cantSplit/>
        </w:trPr>
        <w:tc>
          <w:tcPr>
            <w:tcW w:w="9747" w:type="dxa"/>
            <w:tcBorders>
              <w:top w:val="single" w:sz="6" w:space="0" w:color="000000"/>
              <w:start w:val="single" w:sz="6" w:space="0" w:color="000000"/>
            </w:tcBorders>
          </w:tcPr>
          <w:p>
            <w:pPr>
              <w:pStyle w:val="MainText"/>
              <w:ind w:hanging="0" w:end="0"/>
              <w:jc w:val="start"/>
              <w:rPr/>
            </w:pPr>
            <w:r>
              <w:rPr/>
              <w:t>ПРИХОД</w:t>
            </w:r>
          </w:p>
        </w:tc>
        <w:tc>
          <w:tcPr>
            <w:tcW w:w="1241" w:type="dxa"/>
            <w:tcBorders>
              <w:top w:val="single" w:sz="6" w:space="0" w:color="000000"/>
              <w:start w:val="single" w:sz="6" w:space="0" w:color="000000"/>
              <w:end w:val="single" w:sz="6" w:space="0" w:color="000000"/>
            </w:tcBorders>
          </w:tcPr>
          <w:p>
            <w:pPr>
              <w:pStyle w:val="MainText"/>
              <w:snapToGrid w:val="false"/>
              <w:ind w:hanging="0" w:end="0"/>
              <w:jc w:val="center"/>
              <w:rPr/>
            </w:pPr>
            <w:r>
              <w:rPr/>
            </w:r>
          </w:p>
        </w:tc>
      </w:tr>
      <w:tr>
        <w:trPr>
          <w:cantSplit/>
        </w:trPr>
        <w:tc>
          <w:tcPr>
            <w:tcW w:w="9747" w:type="dxa"/>
            <w:tcBorders>
              <w:start w:val="single" w:sz="6" w:space="0" w:color="000000"/>
            </w:tcBorders>
          </w:tcPr>
          <w:p>
            <w:pPr>
              <w:pStyle w:val="MainText"/>
              <w:ind w:hanging="0" w:end="0"/>
              <w:jc w:val="start"/>
              <w:rPr/>
            </w:pPr>
            <w:r>
              <w:rPr/>
              <w:t>Поступления от продажи товаров</w:t>
            </w:r>
          </w:p>
        </w:tc>
        <w:tc>
          <w:tcPr>
            <w:tcW w:w="1241" w:type="dxa"/>
            <w:tcBorders>
              <w:start w:val="single" w:sz="6" w:space="0" w:color="000000"/>
              <w:end w:val="single" w:sz="6" w:space="0" w:color="000000"/>
            </w:tcBorders>
          </w:tcPr>
          <w:p>
            <w:pPr>
              <w:pStyle w:val="MainText"/>
              <w:ind w:hanging="0" w:end="0"/>
              <w:jc w:val="center"/>
              <w:rPr/>
            </w:pPr>
            <w:r>
              <w:rPr/>
              <w:t>02</w:t>
            </w:r>
          </w:p>
        </w:tc>
      </w:tr>
      <w:tr>
        <w:trPr>
          <w:cantSplit/>
        </w:trPr>
        <w:tc>
          <w:tcPr>
            <w:tcW w:w="9747" w:type="dxa"/>
            <w:tcBorders>
              <w:start w:val="single" w:sz="6" w:space="0" w:color="000000"/>
            </w:tcBorders>
          </w:tcPr>
          <w:p>
            <w:pPr>
              <w:pStyle w:val="MainText"/>
              <w:ind w:hanging="0" w:end="0"/>
              <w:jc w:val="start"/>
              <w:rPr/>
            </w:pPr>
            <w:r>
              <w:rPr/>
              <w:t>Поступления от реализации платных услуг (выполненных работ)</w:t>
            </w:r>
          </w:p>
        </w:tc>
        <w:tc>
          <w:tcPr>
            <w:tcW w:w="1241" w:type="dxa"/>
            <w:tcBorders>
              <w:start w:val="single" w:sz="6" w:space="0" w:color="000000"/>
              <w:end w:val="single" w:sz="6" w:space="0" w:color="000000"/>
            </w:tcBorders>
          </w:tcPr>
          <w:p>
            <w:pPr>
              <w:pStyle w:val="MainText"/>
              <w:ind w:hanging="0" w:end="0"/>
              <w:jc w:val="center"/>
              <w:rPr/>
            </w:pPr>
            <w:r>
              <w:rPr/>
              <w:t>11</w:t>
            </w:r>
          </w:p>
        </w:tc>
      </w:tr>
      <w:tr>
        <w:trPr>
          <w:cantSplit/>
        </w:trPr>
        <w:tc>
          <w:tcPr>
            <w:tcW w:w="9747" w:type="dxa"/>
            <w:tcBorders>
              <w:start w:val="single" w:sz="6" w:space="0" w:color="000000"/>
            </w:tcBorders>
          </w:tcPr>
          <w:p>
            <w:pPr>
              <w:pStyle w:val="MainText"/>
              <w:ind w:hanging="0" w:end="0"/>
              <w:jc w:val="start"/>
              <w:rPr/>
            </w:pPr>
            <w:r>
              <w:rPr/>
              <w:t>Поступления налогов, сборов, страховых взносов, штрафов, таможенных платежей, средств самообложения граждан, взносов, страховых премий</w:t>
            </w:r>
          </w:p>
        </w:tc>
        <w:tc>
          <w:tcPr>
            <w:tcW w:w="1241" w:type="dxa"/>
            <w:tcBorders>
              <w:start w:val="single" w:sz="6" w:space="0" w:color="000000"/>
              <w:end w:val="single" w:sz="6" w:space="0" w:color="000000"/>
            </w:tcBorders>
          </w:tcPr>
          <w:p>
            <w:pPr>
              <w:pStyle w:val="MainText"/>
              <w:ind w:hanging="0" w:end="0"/>
              <w:jc w:val="center"/>
              <w:rPr/>
            </w:pPr>
            <w:r>
              <w:rPr/>
              <w:br/>
              <w:t>12</w:t>
            </w:r>
          </w:p>
        </w:tc>
      </w:tr>
      <w:tr>
        <w:trPr>
          <w:cantSplit/>
        </w:trPr>
        <w:tc>
          <w:tcPr>
            <w:tcW w:w="9747" w:type="dxa"/>
            <w:tcBorders>
              <w:start w:val="single" w:sz="6" w:space="0" w:color="000000"/>
            </w:tcBorders>
          </w:tcPr>
          <w:p>
            <w:pPr>
              <w:pStyle w:val="MainText"/>
              <w:ind w:hanging="0" w:end="0"/>
              <w:jc w:val="start"/>
              <w:rPr/>
            </w:pPr>
            <w:r>
              <w:rPr/>
              <w:t>Поступления от физических лиц в целях перевода в адрес других физических лиц</w:t>
            </w:r>
          </w:p>
        </w:tc>
        <w:tc>
          <w:tcPr>
            <w:tcW w:w="1241" w:type="dxa"/>
            <w:tcBorders>
              <w:start w:val="single" w:sz="6" w:space="0" w:color="000000"/>
              <w:end w:val="single" w:sz="6" w:space="0" w:color="000000"/>
            </w:tcBorders>
          </w:tcPr>
          <w:p>
            <w:pPr>
              <w:pStyle w:val="MainText"/>
              <w:ind w:hanging="0" w:end="0"/>
              <w:jc w:val="center"/>
              <w:rPr/>
            </w:pPr>
            <w:r>
              <w:rPr/>
              <w:t>13</w:t>
            </w:r>
          </w:p>
        </w:tc>
      </w:tr>
      <w:tr>
        <w:trPr>
          <w:cantSplit/>
        </w:trPr>
        <w:tc>
          <w:tcPr>
            <w:tcW w:w="9747" w:type="dxa"/>
            <w:tcBorders>
              <w:start w:val="single" w:sz="6" w:space="0" w:color="000000"/>
            </w:tcBorders>
          </w:tcPr>
          <w:p>
            <w:pPr>
              <w:pStyle w:val="MainText"/>
              <w:ind w:hanging="0" w:end="0"/>
              <w:jc w:val="start"/>
              <w:rPr/>
            </w:pPr>
            <w:r>
              <w:rPr/>
              <w:t>Поступления займов и в погашение кредитов</w:t>
            </w:r>
          </w:p>
        </w:tc>
        <w:tc>
          <w:tcPr>
            <w:tcW w:w="1241" w:type="dxa"/>
            <w:tcBorders>
              <w:start w:val="single" w:sz="6" w:space="0" w:color="000000"/>
              <w:end w:val="single" w:sz="6" w:space="0" w:color="000000"/>
            </w:tcBorders>
          </w:tcPr>
          <w:p>
            <w:pPr>
              <w:pStyle w:val="MainText"/>
              <w:ind w:hanging="0" w:end="0"/>
              <w:jc w:val="center"/>
              <w:rPr/>
            </w:pPr>
            <w:r>
              <w:rPr/>
              <w:t>14</w:t>
            </w:r>
          </w:p>
        </w:tc>
      </w:tr>
      <w:tr>
        <w:trPr>
          <w:cantSplit/>
        </w:trPr>
        <w:tc>
          <w:tcPr>
            <w:tcW w:w="9747" w:type="dxa"/>
            <w:tcBorders>
              <w:start w:val="single" w:sz="6" w:space="0" w:color="000000"/>
            </w:tcBorders>
          </w:tcPr>
          <w:p>
            <w:pPr>
              <w:pStyle w:val="MainText"/>
              <w:ind w:hanging="0" w:end="0"/>
              <w:jc w:val="start"/>
              <w:rPr/>
            </w:pPr>
            <w:r>
              <w:rPr/>
              <w:t>Поступления от операций с недвижимостью</w:t>
            </w:r>
          </w:p>
        </w:tc>
        <w:tc>
          <w:tcPr>
            <w:tcW w:w="1241" w:type="dxa"/>
            <w:tcBorders>
              <w:start w:val="single" w:sz="6" w:space="0" w:color="000000"/>
              <w:end w:val="single" w:sz="6" w:space="0" w:color="000000"/>
            </w:tcBorders>
          </w:tcPr>
          <w:p>
            <w:pPr>
              <w:pStyle w:val="MainText"/>
              <w:ind w:hanging="0" w:end="0"/>
              <w:jc w:val="center"/>
              <w:rPr/>
            </w:pPr>
            <w:r>
              <w:rPr/>
              <w:t>15</w:t>
            </w:r>
          </w:p>
        </w:tc>
      </w:tr>
      <w:tr>
        <w:trPr>
          <w:cantSplit/>
        </w:trPr>
        <w:tc>
          <w:tcPr>
            <w:tcW w:w="9747" w:type="dxa"/>
            <w:tcBorders>
              <w:start w:val="single" w:sz="6" w:space="0" w:color="000000"/>
            </w:tcBorders>
          </w:tcPr>
          <w:p>
            <w:pPr>
              <w:pStyle w:val="MainText"/>
              <w:ind w:hanging="0" w:end="0"/>
              <w:jc w:val="start"/>
              <w:rPr/>
            </w:pPr>
            <w:r>
              <w:rPr/>
              <w:t>Поступления на счета по вкладам (депозитам) физических лиц</w:t>
            </w:r>
          </w:p>
        </w:tc>
        <w:tc>
          <w:tcPr>
            <w:tcW w:w="1241" w:type="dxa"/>
            <w:tcBorders>
              <w:start w:val="single" w:sz="6" w:space="0" w:color="000000"/>
              <w:end w:val="single" w:sz="6" w:space="0" w:color="000000"/>
            </w:tcBorders>
          </w:tcPr>
          <w:p>
            <w:pPr>
              <w:pStyle w:val="MainText"/>
              <w:ind w:hanging="0" w:end="0"/>
              <w:jc w:val="center"/>
              <w:rPr/>
            </w:pPr>
            <w:r>
              <w:rPr/>
              <w:t>16</w:t>
            </w:r>
          </w:p>
        </w:tc>
      </w:tr>
      <w:tr>
        <w:trPr>
          <w:cantSplit/>
        </w:trPr>
        <w:tc>
          <w:tcPr>
            <w:tcW w:w="9747" w:type="dxa"/>
            <w:tcBorders>
              <w:start w:val="single" w:sz="6" w:space="0" w:color="000000"/>
            </w:tcBorders>
          </w:tcPr>
          <w:p>
            <w:pPr>
              <w:pStyle w:val="MainText"/>
              <w:ind w:hanging="0" w:end="0"/>
              <w:jc w:val="start"/>
              <w:rPr/>
            </w:pPr>
            <w:r>
              <w:rPr/>
              <w:t>Поступления от организаций Федерального агентства связи</w:t>
            </w:r>
          </w:p>
        </w:tc>
        <w:tc>
          <w:tcPr>
            <w:tcW w:w="1241" w:type="dxa"/>
            <w:tcBorders>
              <w:start w:val="single" w:sz="6" w:space="0" w:color="000000"/>
              <w:end w:val="single" w:sz="6" w:space="0" w:color="000000"/>
            </w:tcBorders>
          </w:tcPr>
          <w:p>
            <w:pPr>
              <w:pStyle w:val="MainText"/>
              <w:ind w:hanging="0" w:end="0"/>
              <w:jc w:val="center"/>
              <w:rPr/>
            </w:pPr>
            <w:r>
              <w:rPr/>
              <w:t>17</w:t>
            </w:r>
          </w:p>
        </w:tc>
      </w:tr>
      <w:tr>
        <w:trPr>
          <w:cantSplit/>
        </w:trPr>
        <w:tc>
          <w:tcPr>
            <w:tcW w:w="9747" w:type="dxa"/>
            <w:tcBorders>
              <w:start w:val="single" w:sz="6" w:space="0" w:color="000000"/>
            </w:tcBorders>
          </w:tcPr>
          <w:p>
            <w:pPr>
              <w:pStyle w:val="MainText"/>
              <w:ind w:hanging="0" w:end="0"/>
              <w:jc w:val="start"/>
              <w:rPr/>
            </w:pPr>
            <w:r>
              <w:rPr/>
              <w:t>Поступления на счета индивидуальных предпринимателей</w:t>
            </w:r>
          </w:p>
        </w:tc>
        <w:tc>
          <w:tcPr>
            <w:tcW w:w="1241" w:type="dxa"/>
            <w:tcBorders>
              <w:start w:val="single" w:sz="6" w:space="0" w:color="000000"/>
              <w:end w:val="single" w:sz="6" w:space="0" w:color="000000"/>
            </w:tcBorders>
          </w:tcPr>
          <w:p>
            <w:pPr>
              <w:pStyle w:val="MainText"/>
              <w:ind w:hanging="0" w:end="0"/>
              <w:jc w:val="center"/>
              <w:rPr/>
            </w:pPr>
            <w:r>
              <w:rPr/>
              <w:t>19</w:t>
            </w:r>
          </w:p>
        </w:tc>
      </w:tr>
      <w:tr>
        <w:trPr>
          <w:cantSplit/>
        </w:trPr>
        <w:tc>
          <w:tcPr>
            <w:tcW w:w="9747" w:type="dxa"/>
            <w:tcBorders>
              <w:start w:val="single" w:sz="6" w:space="0" w:color="000000"/>
            </w:tcBorders>
          </w:tcPr>
          <w:p>
            <w:pPr>
              <w:pStyle w:val="MainText"/>
              <w:ind w:hanging="0" w:end="0"/>
              <w:jc w:val="start"/>
              <w:rPr/>
            </w:pPr>
            <w:r>
              <w:rPr/>
              <w:t>Поступления от операций с государственными и другими ценными бумагами (за исключением векселей)</w:t>
            </w:r>
          </w:p>
        </w:tc>
        <w:tc>
          <w:tcPr>
            <w:tcW w:w="1241" w:type="dxa"/>
            <w:tcBorders>
              <w:start w:val="single" w:sz="6" w:space="0" w:color="000000"/>
              <w:end w:val="single" w:sz="6" w:space="0" w:color="000000"/>
            </w:tcBorders>
          </w:tcPr>
          <w:p>
            <w:pPr>
              <w:pStyle w:val="MainText"/>
              <w:ind w:hanging="0" w:end="0"/>
              <w:jc w:val="center"/>
              <w:rPr/>
            </w:pPr>
            <w:r>
              <w:rPr/>
              <w:t>20</w:t>
            </w:r>
          </w:p>
        </w:tc>
      </w:tr>
      <w:tr>
        <w:trPr>
          <w:cantSplit/>
        </w:trPr>
        <w:tc>
          <w:tcPr>
            <w:tcW w:w="9747" w:type="dxa"/>
            <w:tcBorders>
              <w:start w:val="single" w:sz="6" w:space="0" w:color="000000"/>
            </w:tcBorders>
          </w:tcPr>
          <w:p>
            <w:pPr>
              <w:pStyle w:val="MainText"/>
              <w:ind w:hanging="0" w:end="0"/>
              <w:jc w:val="start"/>
              <w:rPr/>
            </w:pPr>
            <w:r>
              <w:rPr/>
              <w:t>Поступления от операций с векселями</w:t>
            </w:r>
          </w:p>
        </w:tc>
        <w:tc>
          <w:tcPr>
            <w:tcW w:w="1241" w:type="dxa"/>
            <w:tcBorders>
              <w:start w:val="single" w:sz="6" w:space="0" w:color="000000"/>
              <w:end w:val="single" w:sz="6" w:space="0" w:color="000000"/>
            </w:tcBorders>
          </w:tcPr>
          <w:p>
            <w:pPr>
              <w:pStyle w:val="MainText"/>
              <w:ind w:hanging="0" w:end="0"/>
              <w:jc w:val="center"/>
              <w:rPr/>
            </w:pPr>
            <w:r>
              <w:rPr/>
              <w:t>21</w:t>
            </w:r>
          </w:p>
        </w:tc>
      </w:tr>
      <w:tr>
        <w:trPr>
          <w:cantSplit/>
        </w:trPr>
        <w:tc>
          <w:tcPr>
            <w:tcW w:w="9747" w:type="dxa"/>
            <w:tcBorders>
              <w:start w:val="single" w:sz="6" w:space="0" w:color="000000"/>
            </w:tcBorders>
          </w:tcPr>
          <w:p>
            <w:pPr>
              <w:pStyle w:val="MainText"/>
              <w:ind w:hanging="0" w:end="0"/>
              <w:jc w:val="start"/>
              <w:rPr/>
            </w:pPr>
            <w:r>
              <w:rPr/>
              <w:t>Поступления от операций игорного бизнеса</w:t>
            </w:r>
          </w:p>
        </w:tc>
        <w:tc>
          <w:tcPr>
            <w:tcW w:w="1241" w:type="dxa"/>
            <w:tcBorders>
              <w:start w:val="single" w:sz="6" w:space="0" w:color="000000"/>
              <w:end w:val="single" w:sz="6" w:space="0" w:color="000000"/>
            </w:tcBorders>
          </w:tcPr>
          <w:p>
            <w:pPr>
              <w:pStyle w:val="MainText"/>
              <w:ind w:hanging="0" w:end="0"/>
              <w:jc w:val="center"/>
              <w:rPr/>
            </w:pPr>
            <w:r>
              <w:rPr/>
              <w:t>22</w:t>
            </w:r>
          </w:p>
        </w:tc>
      </w:tr>
      <w:tr>
        <w:trPr>
          <w:cantSplit/>
        </w:trPr>
        <w:tc>
          <w:tcPr>
            <w:tcW w:w="9747" w:type="dxa"/>
            <w:tcBorders>
              <w:start w:val="single" w:sz="6" w:space="0" w:color="000000"/>
            </w:tcBorders>
          </w:tcPr>
          <w:p>
            <w:pPr>
              <w:pStyle w:val="MainText"/>
              <w:ind w:hanging="0" w:end="0"/>
              <w:jc w:val="start"/>
              <w:rPr/>
            </w:pPr>
            <w:r>
              <w:rPr/>
              <w:t>Поступления от операций с использованием платежных карт</w:t>
            </w:r>
          </w:p>
        </w:tc>
        <w:tc>
          <w:tcPr>
            <w:tcW w:w="1241" w:type="dxa"/>
            <w:tcBorders>
              <w:start w:val="single" w:sz="6" w:space="0" w:color="000000"/>
              <w:end w:val="single" w:sz="6" w:space="0" w:color="000000"/>
            </w:tcBorders>
          </w:tcPr>
          <w:p>
            <w:pPr>
              <w:pStyle w:val="MainText"/>
              <w:ind w:hanging="0" w:end="0"/>
              <w:jc w:val="center"/>
              <w:rPr/>
            </w:pPr>
            <w:r>
              <w:rPr/>
              <w:t>23</w:t>
            </w:r>
          </w:p>
        </w:tc>
      </w:tr>
      <w:tr>
        <w:trPr>
          <w:cantSplit/>
        </w:trPr>
        <w:tc>
          <w:tcPr>
            <w:tcW w:w="9747" w:type="dxa"/>
            <w:tcBorders>
              <w:start w:val="single" w:sz="6" w:space="0" w:color="000000"/>
            </w:tcBorders>
          </w:tcPr>
          <w:p>
            <w:pPr>
              <w:pStyle w:val="MainText"/>
              <w:ind w:hanging="0" w:end="0"/>
              <w:jc w:val="start"/>
              <w:rPr/>
            </w:pPr>
            <w:r>
              <w:rPr/>
              <w:t>Поступления от продажи физическим лицам наличной иностранной валюты</w:t>
            </w:r>
          </w:p>
        </w:tc>
        <w:tc>
          <w:tcPr>
            <w:tcW w:w="1241" w:type="dxa"/>
            <w:tcBorders>
              <w:start w:val="single" w:sz="6" w:space="0" w:color="000000"/>
              <w:end w:val="single" w:sz="6" w:space="0" w:color="000000"/>
            </w:tcBorders>
          </w:tcPr>
          <w:p>
            <w:pPr>
              <w:pStyle w:val="MainText"/>
              <w:ind w:hanging="0" w:end="0"/>
              <w:jc w:val="center"/>
              <w:rPr/>
            </w:pPr>
            <w:r>
              <w:rPr/>
              <w:t>30</w:t>
            </w:r>
          </w:p>
        </w:tc>
      </w:tr>
      <w:tr>
        <w:trPr>
          <w:cantSplit/>
        </w:trPr>
        <w:tc>
          <w:tcPr>
            <w:tcW w:w="9747" w:type="dxa"/>
            <w:tcBorders>
              <w:start w:val="single" w:sz="6" w:space="0" w:color="000000"/>
            </w:tcBorders>
          </w:tcPr>
          <w:p>
            <w:pPr>
              <w:pStyle w:val="MainText"/>
              <w:ind w:hanging="0" w:end="0"/>
              <w:jc w:val="start"/>
              <w:rPr/>
            </w:pPr>
            <w:r>
              <w:rPr/>
              <w:t>Поступления на счета физических лиц</w:t>
            </w:r>
          </w:p>
        </w:tc>
        <w:tc>
          <w:tcPr>
            <w:tcW w:w="1241" w:type="dxa"/>
            <w:tcBorders>
              <w:start w:val="single" w:sz="6" w:space="0" w:color="000000"/>
              <w:end w:val="single" w:sz="6" w:space="0" w:color="000000"/>
            </w:tcBorders>
          </w:tcPr>
          <w:p>
            <w:pPr>
              <w:pStyle w:val="MainText"/>
              <w:ind w:hanging="0" w:end="0"/>
              <w:jc w:val="center"/>
              <w:rPr/>
            </w:pPr>
            <w:r>
              <w:rPr/>
              <w:t>31</w:t>
            </w:r>
          </w:p>
        </w:tc>
      </w:tr>
      <w:tr>
        <w:trPr>
          <w:cantSplit/>
        </w:trPr>
        <w:tc>
          <w:tcPr>
            <w:tcW w:w="9747" w:type="dxa"/>
            <w:tcBorders>
              <w:start w:val="single" w:sz="6" w:space="0" w:color="000000"/>
              <w:bottom w:val="single" w:sz="6" w:space="0" w:color="000000"/>
            </w:tcBorders>
          </w:tcPr>
          <w:p>
            <w:pPr>
              <w:pStyle w:val="MainText"/>
              <w:ind w:hanging="0" w:end="0"/>
              <w:jc w:val="start"/>
              <w:rPr/>
            </w:pPr>
            <w:r>
              <w:rPr/>
              <w:t>Прочие поступления</w:t>
            </w:r>
          </w:p>
        </w:tc>
        <w:tc>
          <w:tcPr>
            <w:tcW w:w="1241" w:type="dxa"/>
            <w:tcBorders>
              <w:start w:val="single" w:sz="6" w:space="0" w:color="000000"/>
              <w:bottom w:val="single" w:sz="6" w:space="0" w:color="000000"/>
              <w:end w:val="single" w:sz="6" w:space="0" w:color="000000"/>
            </w:tcBorders>
          </w:tcPr>
          <w:p>
            <w:pPr>
              <w:pStyle w:val="MainText"/>
              <w:ind w:hanging="0" w:end="0"/>
              <w:jc w:val="center"/>
              <w:rPr/>
            </w:pPr>
            <w:r>
              <w:rPr/>
              <w:t>32</w:t>
            </w:r>
          </w:p>
        </w:tc>
      </w:tr>
      <w:tr>
        <w:trPr>
          <w:cantSplit/>
        </w:trPr>
        <w:tc>
          <w:tcPr>
            <w:tcW w:w="9747" w:type="dxa"/>
            <w:tcBorders>
              <w:top w:val="single" w:sz="6" w:space="0" w:color="000000"/>
              <w:start w:val="single" w:sz="6" w:space="0" w:color="000000"/>
              <w:end w:val="single" w:sz="6" w:space="0" w:color="000000"/>
            </w:tcBorders>
          </w:tcPr>
          <w:p>
            <w:pPr>
              <w:pStyle w:val="MainText"/>
              <w:ind w:hanging="0" w:end="0"/>
              <w:jc w:val="start"/>
              <w:rPr/>
            </w:pPr>
            <w:r>
              <w:rPr/>
              <w:t>Итого по символам 02—32</w:t>
            </w:r>
          </w:p>
        </w:tc>
        <w:tc>
          <w:tcPr>
            <w:tcW w:w="1241" w:type="dxa"/>
            <w:tcBorders>
              <w:top w:val="single" w:sz="6" w:space="0" w:color="000000"/>
              <w:start w:val="single" w:sz="6" w:space="0" w:color="000000"/>
              <w:end w:val="single" w:sz="6" w:space="0" w:color="000000"/>
            </w:tcBorders>
          </w:tcPr>
          <w:p>
            <w:pPr>
              <w:pStyle w:val="MainText"/>
              <w:snapToGrid w:val="false"/>
              <w:ind w:hanging="0" w:end="0"/>
              <w:jc w:val="center"/>
              <w:rPr/>
            </w:pPr>
            <w:r>
              <w:rPr/>
            </w:r>
          </w:p>
        </w:tc>
      </w:tr>
      <w:tr>
        <w:trPr>
          <w:cantSplit/>
        </w:trPr>
        <w:tc>
          <w:tcPr>
            <w:tcW w:w="9747" w:type="dxa"/>
            <w:tcBorders>
              <w:top w:val="single" w:sz="6" w:space="0" w:color="000000"/>
              <w:start w:val="single" w:sz="6" w:space="0" w:color="000000"/>
            </w:tcBorders>
          </w:tcPr>
          <w:p>
            <w:pPr>
              <w:pStyle w:val="MainText"/>
              <w:ind w:hanging="0" w:end="0"/>
              <w:jc w:val="start"/>
              <w:rPr/>
            </w:pPr>
            <w:r>
              <w:rPr/>
              <w:t>Поступления в кассу кредитной организации наличных денег из банкоматов и платежных терминалов кредитных организаций</w:t>
            </w:r>
          </w:p>
        </w:tc>
        <w:tc>
          <w:tcPr>
            <w:tcW w:w="1241" w:type="dxa"/>
            <w:tcBorders>
              <w:top w:val="single" w:sz="6" w:space="0" w:color="000000"/>
              <w:start w:val="single" w:sz="6" w:space="0" w:color="000000"/>
              <w:end w:val="single" w:sz="6" w:space="0" w:color="000000"/>
            </w:tcBorders>
          </w:tcPr>
          <w:p>
            <w:pPr>
              <w:pStyle w:val="MainText"/>
              <w:ind w:hanging="0" w:end="0"/>
              <w:jc w:val="center"/>
              <w:rPr/>
            </w:pPr>
            <w:r>
              <w:rPr/>
              <w:br/>
              <w:t>33</w:t>
            </w:r>
          </w:p>
        </w:tc>
      </w:tr>
      <w:tr>
        <w:trPr>
          <w:cantSplit/>
        </w:trPr>
        <w:tc>
          <w:tcPr>
            <w:tcW w:w="9747" w:type="dxa"/>
            <w:tcBorders>
              <w:start w:val="single" w:sz="6" w:space="0" w:color="000000"/>
            </w:tcBorders>
          </w:tcPr>
          <w:p>
            <w:pPr>
              <w:pStyle w:val="MainText"/>
              <w:ind w:hanging="0" w:end="0"/>
              <w:jc w:val="start"/>
              <w:rPr/>
            </w:pPr>
            <w:r>
              <w:rPr/>
              <w:t>Остаток в кассе кредитной организации на начало отчетного месяца</w:t>
            </w:r>
          </w:p>
        </w:tc>
        <w:tc>
          <w:tcPr>
            <w:tcW w:w="1241" w:type="dxa"/>
            <w:tcBorders>
              <w:start w:val="single" w:sz="6" w:space="0" w:color="000000"/>
              <w:end w:val="single" w:sz="6" w:space="0" w:color="000000"/>
            </w:tcBorders>
          </w:tcPr>
          <w:p>
            <w:pPr>
              <w:pStyle w:val="MainText"/>
              <w:ind w:hanging="0" w:end="0"/>
              <w:jc w:val="center"/>
              <w:rPr/>
            </w:pPr>
            <w:r>
              <w:rPr/>
              <w:t>35</w:t>
            </w:r>
          </w:p>
        </w:tc>
      </w:tr>
      <w:tr>
        <w:trPr>
          <w:cantSplit/>
        </w:trPr>
        <w:tc>
          <w:tcPr>
            <w:tcW w:w="9747" w:type="dxa"/>
            <w:tcBorders>
              <w:start w:val="single" w:sz="6" w:space="0" w:color="000000"/>
            </w:tcBorders>
          </w:tcPr>
          <w:p>
            <w:pPr>
              <w:pStyle w:val="MainText"/>
              <w:ind w:hanging="0" w:end="0"/>
              <w:jc w:val="start"/>
              <w:rPr/>
            </w:pPr>
            <w:r>
              <w:rPr/>
              <w:t>Поступления наличных денег в кассу кредитной организации, кассу внутреннего структурного подразделения из оборотной кассы расчетно-кассового центра Банка России, из филиалов и внутренних структурных подразделений кредитной организации</w:t>
            </w:r>
          </w:p>
        </w:tc>
        <w:tc>
          <w:tcPr>
            <w:tcW w:w="1241" w:type="dxa"/>
            <w:tcBorders>
              <w:start w:val="single" w:sz="6" w:space="0" w:color="000000"/>
              <w:end w:val="single" w:sz="6" w:space="0" w:color="000000"/>
            </w:tcBorders>
          </w:tcPr>
          <w:p>
            <w:pPr>
              <w:pStyle w:val="MainText"/>
              <w:ind w:hanging="0" w:end="0"/>
              <w:jc w:val="center"/>
              <w:rPr/>
            </w:pPr>
            <w:r>
              <w:rPr/>
              <w:br/>
              <w:br/>
              <w:t>37</w:t>
            </w:r>
          </w:p>
        </w:tc>
      </w:tr>
      <w:tr>
        <w:trPr>
          <w:cantSplit/>
        </w:trPr>
        <w:tc>
          <w:tcPr>
            <w:tcW w:w="9747" w:type="dxa"/>
            <w:tcBorders>
              <w:start w:val="single" w:sz="6" w:space="0" w:color="000000"/>
              <w:bottom w:val="single" w:sz="6" w:space="0" w:color="000000"/>
            </w:tcBorders>
          </w:tcPr>
          <w:p>
            <w:pPr>
              <w:pStyle w:val="MainText"/>
              <w:ind w:hanging="0" w:end="0"/>
              <w:jc w:val="start"/>
              <w:rPr/>
            </w:pPr>
            <w:r>
              <w:rPr/>
              <w:t>Поступления наличных денег в кассу кредитной организации из другой кредитной организации, из территориального управления инкассации — филиала Российского объединения инкассации (РОСИНКАС)</w:t>
            </w:r>
          </w:p>
        </w:tc>
        <w:tc>
          <w:tcPr>
            <w:tcW w:w="1241" w:type="dxa"/>
            <w:tcBorders>
              <w:start w:val="single" w:sz="6" w:space="0" w:color="000000"/>
              <w:bottom w:val="single" w:sz="6" w:space="0" w:color="000000"/>
              <w:end w:val="single" w:sz="6" w:space="0" w:color="000000"/>
            </w:tcBorders>
          </w:tcPr>
          <w:p>
            <w:pPr>
              <w:pStyle w:val="MainText"/>
              <w:ind w:hanging="0" w:end="0"/>
              <w:jc w:val="center"/>
              <w:rPr/>
            </w:pPr>
            <w:r>
              <w:rPr/>
              <w:br/>
              <w:br/>
              <w:t>39</w:t>
            </w:r>
          </w:p>
        </w:tc>
      </w:tr>
      <w:tr>
        <w:trPr>
          <w:cantSplit/>
        </w:trPr>
        <w:tc>
          <w:tcPr>
            <w:tcW w:w="9747" w:type="dxa"/>
            <w:tcBorders>
              <w:top w:val="single" w:sz="6" w:space="0" w:color="000000"/>
              <w:start w:val="single" w:sz="6" w:space="0" w:color="000000"/>
              <w:end w:val="single" w:sz="6" w:space="0" w:color="000000"/>
            </w:tcBorders>
          </w:tcPr>
          <w:p>
            <w:pPr>
              <w:pStyle w:val="MainText"/>
              <w:ind w:hanging="0" w:end="0"/>
              <w:jc w:val="start"/>
              <w:rPr/>
            </w:pPr>
            <w:r>
              <w:rPr/>
              <w:t>Баланс: итог символов 02—39 = итогу символов 40—77</w:t>
            </w:r>
          </w:p>
        </w:tc>
        <w:tc>
          <w:tcPr>
            <w:tcW w:w="1241" w:type="dxa"/>
            <w:tcBorders>
              <w:top w:val="single" w:sz="6" w:space="0" w:color="000000"/>
              <w:start w:val="single" w:sz="6" w:space="0" w:color="000000"/>
              <w:end w:val="single" w:sz="6" w:space="0" w:color="000000"/>
            </w:tcBorders>
          </w:tcPr>
          <w:p>
            <w:pPr>
              <w:pStyle w:val="MainText"/>
              <w:snapToGrid w:val="false"/>
              <w:ind w:hanging="0" w:end="0"/>
              <w:jc w:val="center"/>
              <w:rPr/>
            </w:pPr>
            <w:r>
              <w:rPr/>
            </w:r>
          </w:p>
        </w:tc>
      </w:tr>
      <w:tr>
        <w:trPr>
          <w:cantSplit/>
        </w:trPr>
        <w:tc>
          <w:tcPr>
            <w:tcW w:w="9747" w:type="dxa"/>
            <w:tcBorders>
              <w:top w:val="single" w:sz="6" w:space="0" w:color="000000"/>
              <w:start w:val="single" w:sz="6" w:space="0" w:color="000000"/>
            </w:tcBorders>
          </w:tcPr>
          <w:p>
            <w:pPr>
              <w:pStyle w:val="MainText"/>
              <w:ind w:hanging="0" w:end="0"/>
              <w:jc w:val="start"/>
              <w:rPr/>
            </w:pPr>
            <w:r>
              <w:rPr/>
              <w:t>РАСХОД</w:t>
            </w:r>
          </w:p>
        </w:tc>
        <w:tc>
          <w:tcPr>
            <w:tcW w:w="1241" w:type="dxa"/>
            <w:tcBorders>
              <w:top w:val="single" w:sz="6" w:space="0" w:color="000000"/>
              <w:start w:val="single" w:sz="6" w:space="0" w:color="000000"/>
              <w:end w:val="single" w:sz="6" w:space="0" w:color="000000"/>
            </w:tcBorders>
          </w:tcPr>
          <w:p>
            <w:pPr>
              <w:pStyle w:val="MainText"/>
              <w:snapToGrid w:val="false"/>
              <w:ind w:hanging="0" w:end="0"/>
              <w:jc w:val="center"/>
              <w:rPr/>
            </w:pPr>
            <w:r>
              <w:rPr/>
            </w:r>
          </w:p>
        </w:tc>
      </w:tr>
      <w:tr>
        <w:trPr>
          <w:cantSplit/>
        </w:trPr>
        <w:tc>
          <w:tcPr>
            <w:tcW w:w="9747" w:type="dxa"/>
            <w:tcBorders>
              <w:start w:val="single" w:sz="6" w:space="0" w:color="000000"/>
            </w:tcBorders>
          </w:tcPr>
          <w:p>
            <w:pPr>
              <w:pStyle w:val="MainText"/>
              <w:ind w:hanging="0" w:end="0"/>
              <w:jc w:val="start"/>
              <w:rPr/>
            </w:pPr>
            <w:r>
              <w:rPr/>
              <w:t>Выдачи на заработную плату и выплаты социального характера</w:t>
            </w:r>
          </w:p>
        </w:tc>
        <w:tc>
          <w:tcPr>
            <w:tcW w:w="1241" w:type="dxa"/>
            <w:tcBorders>
              <w:start w:val="single" w:sz="6" w:space="0" w:color="000000"/>
              <w:end w:val="single" w:sz="6" w:space="0" w:color="000000"/>
            </w:tcBorders>
          </w:tcPr>
          <w:p>
            <w:pPr>
              <w:pStyle w:val="MainText"/>
              <w:ind w:hanging="0" w:end="0"/>
              <w:jc w:val="center"/>
              <w:rPr/>
            </w:pPr>
            <w:r>
              <w:rPr/>
              <w:t>40</w:t>
            </w:r>
          </w:p>
        </w:tc>
      </w:tr>
      <w:tr>
        <w:trPr>
          <w:cantSplit/>
        </w:trPr>
        <w:tc>
          <w:tcPr>
            <w:tcW w:w="9747" w:type="dxa"/>
            <w:tcBorders>
              <w:start w:val="single" w:sz="6" w:space="0" w:color="000000"/>
            </w:tcBorders>
          </w:tcPr>
          <w:p>
            <w:pPr>
              <w:pStyle w:val="MainText"/>
              <w:ind w:hanging="0" w:end="0"/>
              <w:jc w:val="start"/>
              <w:rPr/>
            </w:pPr>
            <w:r>
              <w:rPr/>
              <w:t>Выдачи на стипендии</w:t>
            </w:r>
          </w:p>
        </w:tc>
        <w:tc>
          <w:tcPr>
            <w:tcW w:w="1241" w:type="dxa"/>
            <w:tcBorders>
              <w:start w:val="single" w:sz="6" w:space="0" w:color="000000"/>
              <w:end w:val="single" w:sz="6" w:space="0" w:color="000000"/>
            </w:tcBorders>
          </w:tcPr>
          <w:p>
            <w:pPr>
              <w:pStyle w:val="MainText"/>
              <w:ind w:hanging="0" w:end="0"/>
              <w:jc w:val="center"/>
              <w:rPr/>
            </w:pPr>
            <w:r>
              <w:rPr/>
              <w:t>41</w:t>
            </w:r>
          </w:p>
        </w:tc>
      </w:tr>
      <w:tr>
        <w:trPr>
          <w:cantSplit/>
        </w:trPr>
        <w:tc>
          <w:tcPr>
            <w:tcW w:w="9747" w:type="dxa"/>
            <w:tcBorders>
              <w:start w:val="single" w:sz="6" w:space="0" w:color="000000"/>
            </w:tcBorders>
          </w:tcPr>
          <w:p>
            <w:pPr>
              <w:pStyle w:val="MainText"/>
              <w:ind w:hanging="0" w:end="0"/>
              <w:jc w:val="start"/>
              <w:rPr/>
            </w:pPr>
            <w:r>
              <w:rPr/>
              <w:t>Выдачи на расходы, не относящиеся к фонду заработной платы и выплатам социального характера</w:t>
            </w:r>
          </w:p>
        </w:tc>
        <w:tc>
          <w:tcPr>
            <w:tcW w:w="1241" w:type="dxa"/>
            <w:tcBorders>
              <w:start w:val="single" w:sz="6" w:space="0" w:color="000000"/>
              <w:end w:val="single" w:sz="6" w:space="0" w:color="000000"/>
            </w:tcBorders>
          </w:tcPr>
          <w:p>
            <w:pPr>
              <w:pStyle w:val="MainText"/>
              <w:ind w:hanging="0" w:end="0"/>
              <w:jc w:val="center"/>
              <w:rPr/>
            </w:pPr>
            <w:r>
              <w:rPr/>
              <w:t>42</w:t>
            </w:r>
          </w:p>
        </w:tc>
      </w:tr>
      <w:tr>
        <w:trPr>
          <w:cantSplit/>
        </w:trPr>
        <w:tc>
          <w:tcPr>
            <w:tcW w:w="9747" w:type="dxa"/>
            <w:tcBorders>
              <w:start w:val="single" w:sz="6" w:space="0" w:color="000000"/>
            </w:tcBorders>
          </w:tcPr>
          <w:p>
            <w:pPr>
              <w:pStyle w:val="MainText"/>
              <w:ind w:hanging="0" w:end="0"/>
              <w:jc w:val="start"/>
              <w:rPr/>
            </w:pPr>
            <w:r>
              <w:rPr/>
              <w:t>Выдачи на закупку сельскохозяйственных продуктов</w:t>
            </w:r>
          </w:p>
        </w:tc>
        <w:tc>
          <w:tcPr>
            <w:tcW w:w="1241" w:type="dxa"/>
            <w:tcBorders>
              <w:start w:val="single" w:sz="6" w:space="0" w:color="000000"/>
              <w:end w:val="single" w:sz="6" w:space="0" w:color="000000"/>
            </w:tcBorders>
          </w:tcPr>
          <w:p>
            <w:pPr>
              <w:pStyle w:val="MainText"/>
              <w:ind w:hanging="0" w:end="0"/>
              <w:jc w:val="center"/>
              <w:rPr/>
            </w:pPr>
            <w:r>
              <w:rPr/>
              <w:t>46</w:t>
            </w:r>
          </w:p>
        </w:tc>
      </w:tr>
      <w:tr>
        <w:trPr>
          <w:cantSplit/>
        </w:trPr>
        <w:tc>
          <w:tcPr>
            <w:tcW w:w="9747" w:type="dxa"/>
            <w:tcBorders>
              <w:start w:val="single" w:sz="6" w:space="0" w:color="000000"/>
            </w:tcBorders>
          </w:tcPr>
          <w:p>
            <w:pPr>
              <w:pStyle w:val="MainText"/>
              <w:ind w:hanging="0" w:end="0"/>
              <w:jc w:val="start"/>
              <w:rPr/>
            </w:pPr>
            <w:r>
              <w:rPr/>
              <w:t>Выдачи на операции игорного бизнеса</w:t>
            </w:r>
          </w:p>
        </w:tc>
        <w:tc>
          <w:tcPr>
            <w:tcW w:w="1241" w:type="dxa"/>
            <w:tcBorders>
              <w:start w:val="single" w:sz="6" w:space="0" w:color="000000"/>
              <w:end w:val="single" w:sz="6" w:space="0" w:color="000000"/>
            </w:tcBorders>
          </w:tcPr>
          <w:p>
            <w:pPr>
              <w:pStyle w:val="MainText"/>
              <w:ind w:hanging="0" w:end="0"/>
              <w:jc w:val="center"/>
              <w:rPr/>
            </w:pPr>
            <w:r>
              <w:rPr/>
              <w:t>47</w:t>
            </w:r>
          </w:p>
        </w:tc>
      </w:tr>
      <w:tr>
        <w:trPr>
          <w:cantSplit/>
        </w:trPr>
        <w:tc>
          <w:tcPr>
            <w:tcW w:w="9747" w:type="dxa"/>
            <w:tcBorders>
              <w:start w:val="single" w:sz="6" w:space="0" w:color="000000"/>
            </w:tcBorders>
          </w:tcPr>
          <w:p>
            <w:pPr>
              <w:pStyle w:val="MainText"/>
              <w:ind w:hanging="0" w:end="0"/>
              <w:jc w:val="start"/>
              <w:rPr/>
            </w:pPr>
            <w:r>
              <w:rPr/>
              <w:t>Выдачи на выплату пенсий, пособий и страховых возмещений</w:t>
            </w:r>
          </w:p>
        </w:tc>
        <w:tc>
          <w:tcPr>
            <w:tcW w:w="1241" w:type="dxa"/>
            <w:tcBorders>
              <w:start w:val="single" w:sz="6" w:space="0" w:color="000000"/>
              <w:end w:val="single" w:sz="6" w:space="0" w:color="000000"/>
            </w:tcBorders>
          </w:tcPr>
          <w:p>
            <w:pPr>
              <w:pStyle w:val="MainText"/>
              <w:ind w:hanging="0" w:end="0"/>
              <w:jc w:val="center"/>
              <w:rPr/>
            </w:pPr>
            <w:r>
              <w:rPr/>
              <w:t>50</w:t>
            </w:r>
          </w:p>
        </w:tc>
      </w:tr>
      <w:tr>
        <w:trPr>
          <w:cantSplit/>
        </w:trPr>
        <w:tc>
          <w:tcPr>
            <w:tcW w:w="9747" w:type="dxa"/>
            <w:tcBorders>
              <w:start w:val="single" w:sz="6" w:space="0" w:color="000000"/>
            </w:tcBorders>
          </w:tcPr>
          <w:p>
            <w:pPr>
              <w:pStyle w:val="MainText"/>
              <w:ind w:hanging="0" w:end="0"/>
              <w:jc w:val="start"/>
              <w:rPr/>
            </w:pPr>
            <w:r>
              <w:rPr/>
              <w:t>Выдачи со счетов физических лиц</w:t>
            </w:r>
          </w:p>
        </w:tc>
        <w:tc>
          <w:tcPr>
            <w:tcW w:w="1241" w:type="dxa"/>
            <w:tcBorders>
              <w:start w:val="single" w:sz="6" w:space="0" w:color="000000"/>
              <w:end w:val="single" w:sz="6" w:space="0" w:color="000000"/>
            </w:tcBorders>
          </w:tcPr>
          <w:p>
            <w:pPr>
              <w:pStyle w:val="MainText"/>
              <w:ind w:hanging="0" w:end="0"/>
              <w:jc w:val="center"/>
              <w:rPr/>
            </w:pPr>
            <w:r>
              <w:rPr/>
              <w:t>51</w:t>
            </w:r>
          </w:p>
        </w:tc>
      </w:tr>
      <w:tr>
        <w:trPr>
          <w:cantSplit/>
        </w:trPr>
        <w:tc>
          <w:tcPr>
            <w:tcW w:w="9747" w:type="dxa"/>
            <w:tcBorders>
              <w:start w:val="single" w:sz="6" w:space="0" w:color="000000"/>
            </w:tcBorders>
          </w:tcPr>
          <w:p>
            <w:pPr>
              <w:pStyle w:val="MainText"/>
              <w:ind w:hanging="0" w:end="0"/>
              <w:jc w:val="start"/>
              <w:rPr/>
            </w:pPr>
            <w:r>
              <w:rPr/>
              <w:t>Прочие выдачи</w:t>
            </w:r>
          </w:p>
        </w:tc>
        <w:tc>
          <w:tcPr>
            <w:tcW w:w="1241" w:type="dxa"/>
            <w:tcBorders>
              <w:start w:val="single" w:sz="6" w:space="0" w:color="000000"/>
              <w:end w:val="single" w:sz="6" w:space="0" w:color="000000"/>
            </w:tcBorders>
          </w:tcPr>
          <w:p>
            <w:pPr>
              <w:pStyle w:val="MainText"/>
              <w:ind w:hanging="0" w:end="0"/>
              <w:jc w:val="center"/>
              <w:rPr/>
            </w:pPr>
            <w:r>
              <w:rPr/>
              <w:t>53</w:t>
            </w:r>
          </w:p>
        </w:tc>
      </w:tr>
      <w:tr>
        <w:trPr>
          <w:cantSplit/>
        </w:trPr>
        <w:tc>
          <w:tcPr>
            <w:tcW w:w="9747" w:type="dxa"/>
            <w:tcBorders>
              <w:start w:val="single" w:sz="6" w:space="0" w:color="000000"/>
            </w:tcBorders>
          </w:tcPr>
          <w:p>
            <w:pPr>
              <w:pStyle w:val="MainText"/>
              <w:ind w:hanging="0" w:end="0"/>
              <w:jc w:val="start"/>
              <w:rPr/>
            </w:pPr>
            <w:r>
              <w:rPr/>
              <w:t>Выдачи займов и кредитов</w:t>
            </w:r>
          </w:p>
        </w:tc>
        <w:tc>
          <w:tcPr>
            <w:tcW w:w="1241" w:type="dxa"/>
            <w:tcBorders>
              <w:start w:val="single" w:sz="6" w:space="0" w:color="000000"/>
              <w:end w:val="single" w:sz="6" w:space="0" w:color="000000"/>
            </w:tcBorders>
          </w:tcPr>
          <w:p>
            <w:pPr>
              <w:pStyle w:val="MainText"/>
              <w:ind w:hanging="0" w:end="0"/>
              <w:jc w:val="center"/>
              <w:rPr/>
            </w:pPr>
            <w:r>
              <w:rPr/>
              <w:t>54</w:t>
            </w:r>
          </w:p>
        </w:tc>
      </w:tr>
      <w:tr>
        <w:trPr>
          <w:cantSplit/>
        </w:trPr>
        <w:tc>
          <w:tcPr>
            <w:tcW w:w="9747" w:type="dxa"/>
            <w:tcBorders>
              <w:start w:val="single" w:sz="6" w:space="0" w:color="000000"/>
            </w:tcBorders>
          </w:tcPr>
          <w:p>
            <w:pPr>
              <w:pStyle w:val="MainText"/>
              <w:ind w:hanging="0" w:end="0"/>
              <w:jc w:val="start"/>
              <w:rPr/>
            </w:pPr>
            <w:r>
              <w:rPr/>
              <w:t>Выдачи со счетов по вкладам (депозитам) физических лиц</w:t>
            </w:r>
          </w:p>
        </w:tc>
        <w:tc>
          <w:tcPr>
            <w:tcW w:w="1241" w:type="dxa"/>
            <w:tcBorders>
              <w:start w:val="single" w:sz="6" w:space="0" w:color="000000"/>
              <w:end w:val="single" w:sz="6" w:space="0" w:color="000000"/>
            </w:tcBorders>
          </w:tcPr>
          <w:p>
            <w:pPr>
              <w:pStyle w:val="MainText"/>
              <w:ind w:hanging="0" w:end="0"/>
              <w:jc w:val="center"/>
              <w:rPr/>
            </w:pPr>
            <w:r>
              <w:rPr/>
              <w:t>55</w:t>
            </w:r>
          </w:p>
        </w:tc>
      </w:tr>
      <w:tr>
        <w:trPr>
          <w:cantSplit/>
        </w:trPr>
        <w:tc>
          <w:tcPr>
            <w:tcW w:w="9747" w:type="dxa"/>
            <w:tcBorders>
              <w:start w:val="single" w:sz="6" w:space="0" w:color="000000"/>
            </w:tcBorders>
          </w:tcPr>
          <w:p>
            <w:pPr>
              <w:pStyle w:val="MainText"/>
              <w:ind w:hanging="0" w:end="0"/>
              <w:jc w:val="start"/>
              <w:rPr/>
            </w:pPr>
            <w:r>
              <w:rPr/>
              <w:t>Выдачи по переводам (без открытия счета переводополучателям)</w:t>
            </w:r>
          </w:p>
        </w:tc>
        <w:tc>
          <w:tcPr>
            <w:tcW w:w="1241" w:type="dxa"/>
            <w:tcBorders>
              <w:start w:val="single" w:sz="6" w:space="0" w:color="000000"/>
              <w:end w:val="single" w:sz="6" w:space="0" w:color="000000"/>
            </w:tcBorders>
          </w:tcPr>
          <w:p>
            <w:pPr>
              <w:pStyle w:val="MainText"/>
              <w:ind w:hanging="0" w:end="0"/>
              <w:jc w:val="center"/>
              <w:rPr/>
            </w:pPr>
            <w:r>
              <w:rPr/>
              <w:t>56</w:t>
            </w:r>
          </w:p>
        </w:tc>
      </w:tr>
      <w:tr>
        <w:trPr>
          <w:cantSplit/>
        </w:trPr>
        <w:tc>
          <w:tcPr>
            <w:tcW w:w="9747" w:type="dxa"/>
            <w:tcBorders>
              <w:start w:val="single" w:sz="6" w:space="0" w:color="000000"/>
            </w:tcBorders>
          </w:tcPr>
          <w:p>
            <w:pPr>
              <w:pStyle w:val="MainText"/>
              <w:ind w:hanging="0" w:end="0"/>
              <w:jc w:val="start"/>
              <w:rPr/>
            </w:pPr>
            <w:r>
              <w:rPr/>
              <w:t>Выдачи при покупке у физических лиц наличной иностранной валюты</w:t>
            </w:r>
          </w:p>
        </w:tc>
        <w:tc>
          <w:tcPr>
            <w:tcW w:w="1241" w:type="dxa"/>
            <w:tcBorders>
              <w:start w:val="single" w:sz="6" w:space="0" w:color="000000"/>
              <w:end w:val="single" w:sz="6" w:space="0" w:color="000000"/>
            </w:tcBorders>
          </w:tcPr>
          <w:p>
            <w:pPr>
              <w:pStyle w:val="MainText"/>
              <w:ind w:hanging="0" w:end="0"/>
              <w:jc w:val="center"/>
              <w:rPr/>
            </w:pPr>
            <w:r>
              <w:rPr/>
              <w:t>57</w:t>
            </w:r>
          </w:p>
        </w:tc>
      </w:tr>
      <w:tr>
        <w:trPr>
          <w:cantSplit/>
        </w:trPr>
        <w:tc>
          <w:tcPr>
            <w:tcW w:w="9747" w:type="dxa"/>
            <w:tcBorders>
              <w:start w:val="single" w:sz="6" w:space="0" w:color="000000"/>
            </w:tcBorders>
          </w:tcPr>
          <w:p>
            <w:pPr>
              <w:pStyle w:val="MainText"/>
              <w:ind w:hanging="0" w:end="0"/>
              <w:jc w:val="start"/>
              <w:rPr/>
            </w:pPr>
            <w:r>
              <w:rPr/>
              <w:t>Выдачи со счетов индивидуальных предпринимателей</w:t>
            </w:r>
          </w:p>
        </w:tc>
        <w:tc>
          <w:tcPr>
            <w:tcW w:w="1241" w:type="dxa"/>
            <w:tcBorders>
              <w:start w:val="single" w:sz="6" w:space="0" w:color="000000"/>
              <w:end w:val="single" w:sz="6" w:space="0" w:color="000000"/>
            </w:tcBorders>
          </w:tcPr>
          <w:p>
            <w:pPr>
              <w:pStyle w:val="MainText"/>
              <w:ind w:hanging="0" w:end="0"/>
              <w:jc w:val="center"/>
              <w:rPr/>
            </w:pPr>
            <w:r>
              <w:rPr/>
              <w:t>58</w:t>
            </w:r>
          </w:p>
        </w:tc>
      </w:tr>
      <w:tr>
        <w:trPr>
          <w:cantSplit/>
        </w:trPr>
        <w:tc>
          <w:tcPr>
            <w:tcW w:w="9747" w:type="dxa"/>
            <w:tcBorders>
              <w:start w:val="single" w:sz="6" w:space="0" w:color="000000"/>
            </w:tcBorders>
          </w:tcPr>
          <w:p>
            <w:pPr>
              <w:pStyle w:val="MainText"/>
              <w:ind w:hanging="0" w:end="0"/>
              <w:jc w:val="start"/>
              <w:rPr/>
            </w:pPr>
            <w:r>
              <w:rPr/>
              <w:t>Выдачи организациям Федерального агентства связи</w:t>
            </w:r>
          </w:p>
        </w:tc>
        <w:tc>
          <w:tcPr>
            <w:tcW w:w="1241" w:type="dxa"/>
            <w:tcBorders>
              <w:start w:val="single" w:sz="6" w:space="0" w:color="000000"/>
              <w:end w:val="single" w:sz="6" w:space="0" w:color="000000"/>
            </w:tcBorders>
          </w:tcPr>
          <w:p>
            <w:pPr>
              <w:pStyle w:val="MainText"/>
              <w:ind w:hanging="0" w:end="0"/>
              <w:jc w:val="center"/>
              <w:rPr/>
            </w:pPr>
            <w:r>
              <w:rPr/>
              <w:t>59</w:t>
            </w:r>
          </w:p>
        </w:tc>
      </w:tr>
      <w:tr>
        <w:trPr>
          <w:cantSplit/>
        </w:trPr>
        <w:tc>
          <w:tcPr>
            <w:tcW w:w="9747" w:type="dxa"/>
            <w:tcBorders>
              <w:start w:val="single" w:sz="6" w:space="0" w:color="000000"/>
            </w:tcBorders>
          </w:tcPr>
          <w:p>
            <w:pPr>
              <w:pStyle w:val="MainText"/>
              <w:ind w:hanging="0" w:end="0"/>
              <w:jc w:val="start"/>
              <w:rPr/>
            </w:pPr>
            <w:r>
              <w:rPr/>
              <w:t>Выдачи на операции с государственными и другими ценными бумагами (за исключением векселей)</w:t>
            </w:r>
          </w:p>
        </w:tc>
        <w:tc>
          <w:tcPr>
            <w:tcW w:w="1241" w:type="dxa"/>
            <w:tcBorders>
              <w:start w:val="single" w:sz="6" w:space="0" w:color="000000"/>
              <w:end w:val="single" w:sz="6" w:space="0" w:color="000000"/>
            </w:tcBorders>
          </w:tcPr>
          <w:p>
            <w:pPr>
              <w:pStyle w:val="MainText"/>
              <w:ind w:hanging="0" w:end="0"/>
              <w:jc w:val="center"/>
              <w:rPr/>
            </w:pPr>
            <w:r>
              <w:rPr/>
              <w:t>60</w:t>
            </w:r>
          </w:p>
        </w:tc>
      </w:tr>
      <w:tr>
        <w:trPr>
          <w:cantSplit/>
        </w:trPr>
        <w:tc>
          <w:tcPr>
            <w:tcW w:w="9747" w:type="dxa"/>
            <w:tcBorders>
              <w:start w:val="single" w:sz="6" w:space="0" w:color="000000"/>
            </w:tcBorders>
          </w:tcPr>
          <w:p>
            <w:pPr>
              <w:pStyle w:val="MainText"/>
              <w:ind w:hanging="0" w:end="0"/>
              <w:jc w:val="start"/>
              <w:rPr/>
            </w:pPr>
            <w:r>
              <w:rPr/>
              <w:t>Выдачи на операции с векселями</w:t>
            </w:r>
          </w:p>
        </w:tc>
        <w:tc>
          <w:tcPr>
            <w:tcW w:w="1241" w:type="dxa"/>
            <w:tcBorders>
              <w:start w:val="single" w:sz="6" w:space="0" w:color="000000"/>
              <w:end w:val="single" w:sz="6" w:space="0" w:color="000000"/>
            </w:tcBorders>
          </w:tcPr>
          <w:p>
            <w:pPr>
              <w:pStyle w:val="MainText"/>
              <w:ind w:hanging="0" w:end="0"/>
              <w:jc w:val="center"/>
              <w:rPr/>
            </w:pPr>
            <w:r>
              <w:rPr/>
              <w:t>61</w:t>
            </w:r>
          </w:p>
        </w:tc>
      </w:tr>
      <w:tr>
        <w:trPr>
          <w:cantSplit/>
        </w:trPr>
        <w:tc>
          <w:tcPr>
            <w:tcW w:w="9747" w:type="dxa"/>
            <w:tcBorders>
              <w:start w:val="single" w:sz="6" w:space="0" w:color="000000"/>
              <w:bottom w:val="single" w:sz="6" w:space="0" w:color="000000"/>
            </w:tcBorders>
          </w:tcPr>
          <w:p>
            <w:pPr>
              <w:pStyle w:val="MainText"/>
              <w:ind w:hanging="0" w:end="0"/>
              <w:jc w:val="start"/>
              <w:rPr/>
            </w:pPr>
            <w:r>
              <w:rPr/>
              <w:t>Выдачи по операциям с использованием платежных карт</w:t>
            </w:r>
          </w:p>
        </w:tc>
        <w:tc>
          <w:tcPr>
            <w:tcW w:w="1241" w:type="dxa"/>
            <w:tcBorders>
              <w:start w:val="single" w:sz="6" w:space="0" w:color="000000"/>
              <w:bottom w:val="single" w:sz="6" w:space="0" w:color="000000"/>
              <w:end w:val="single" w:sz="6" w:space="0" w:color="000000"/>
            </w:tcBorders>
          </w:tcPr>
          <w:p>
            <w:pPr>
              <w:pStyle w:val="MainText"/>
              <w:ind w:hanging="0" w:end="0"/>
              <w:jc w:val="center"/>
              <w:rPr/>
            </w:pPr>
            <w:r>
              <w:rPr/>
              <w:t>62</w:t>
            </w:r>
          </w:p>
        </w:tc>
      </w:tr>
      <w:tr>
        <w:trPr>
          <w:cantSplit/>
        </w:trPr>
        <w:tc>
          <w:tcPr>
            <w:tcW w:w="974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 по символам 40—62</w:t>
            </w:r>
          </w:p>
        </w:tc>
        <w:tc>
          <w:tcPr>
            <w:tcW w:w="12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74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Остаток в кассе кредитной организации на конец отчетного месяца</w:t>
            </w:r>
          </w:p>
        </w:tc>
        <w:tc>
          <w:tcPr>
            <w:tcW w:w="124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70</w:t>
            </w:r>
          </w:p>
        </w:tc>
      </w:tr>
      <w:tr>
        <w:trPr>
          <w:cantSplit/>
        </w:trPr>
        <w:tc>
          <w:tcPr>
            <w:tcW w:w="974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Выдачи наличных денег из кассы кредитной организации, кассы внутреннего структурного подразделения в оборотную кассу расчетно-кассового центра Банка России, в филиалы и внутренние структурные подразделения кредитной организации</w:t>
            </w:r>
          </w:p>
        </w:tc>
        <w:tc>
          <w:tcPr>
            <w:tcW w:w="124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br/>
              <w:br/>
              <w:t>72</w:t>
            </w:r>
          </w:p>
        </w:tc>
      </w:tr>
      <w:tr>
        <w:trPr>
          <w:cantSplit/>
        </w:trPr>
        <w:tc>
          <w:tcPr>
            <w:tcW w:w="974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Выдачи наличных денег из кассы кредитной организации для загрузки банкоматов кредитных организаций</w:t>
            </w:r>
          </w:p>
        </w:tc>
        <w:tc>
          <w:tcPr>
            <w:tcW w:w="124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75</w:t>
            </w:r>
          </w:p>
        </w:tc>
      </w:tr>
      <w:tr>
        <w:trPr>
          <w:cantSplit/>
        </w:trPr>
        <w:tc>
          <w:tcPr>
            <w:tcW w:w="974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Выдачи наличных денег из кассы кредитной организации в другие кредитные организации</w:t>
            </w:r>
          </w:p>
        </w:tc>
        <w:tc>
          <w:tcPr>
            <w:tcW w:w="124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77</w:t>
            </w:r>
          </w:p>
        </w:tc>
      </w:tr>
      <w:tr>
        <w:trPr>
          <w:cantSplit/>
        </w:trPr>
        <w:tc>
          <w:tcPr>
            <w:tcW w:w="9747" w:type="dxa"/>
            <w:tcBorders>
              <w:top w:val="single" w:sz="6" w:space="0" w:color="000000"/>
              <w:start w:val="single" w:sz="6" w:space="0" w:color="000000"/>
              <w:end w:val="single" w:sz="6" w:space="0" w:color="000000"/>
            </w:tcBorders>
          </w:tcPr>
          <w:p>
            <w:pPr>
              <w:pStyle w:val="MainText"/>
              <w:ind w:hanging="0" w:end="0"/>
              <w:jc w:val="start"/>
              <w:rPr/>
            </w:pPr>
            <w:r>
              <w:rPr/>
              <w:t>Баланс: итог символов 40—77 = итогу символов 02—39</w:t>
            </w:r>
          </w:p>
        </w:tc>
        <w:tc>
          <w:tcPr>
            <w:tcW w:w="1241" w:type="dxa"/>
            <w:tcBorders>
              <w:top w:val="single" w:sz="6" w:space="0" w:color="000000"/>
              <w:start w:val="single" w:sz="6" w:space="0" w:color="000000"/>
              <w:end w:val="single" w:sz="6" w:space="0" w:color="000000"/>
            </w:tcBorders>
          </w:tcPr>
          <w:p>
            <w:pPr>
              <w:pStyle w:val="MainText"/>
              <w:snapToGrid w:val="false"/>
              <w:ind w:hanging="0" w:end="0"/>
              <w:jc w:val="center"/>
              <w:rPr/>
            </w:pPr>
            <w:r>
              <w:rPr/>
            </w:r>
          </w:p>
        </w:tc>
      </w:tr>
      <w:tr>
        <w:trPr>
          <w:cantSplit/>
        </w:trPr>
        <w:tc>
          <w:tcPr>
            <w:tcW w:w="9747" w:type="dxa"/>
            <w:tcBorders>
              <w:top w:val="single" w:sz="6" w:space="0" w:color="000000"/>
              <w:start w:val="single" w:sz="6" w:space="0" w:color="000000"/>
            </w:tcBorders>
          </w:tcPr>
          <w:p>
            <w:pPr>
              <w:pStyle w:val="MainText"/>
              <w:ind w:hanging="0" w:end="0"/>
              <w:jc w:val="start"/>
              <w:rPr/>
            </w:pPr>
            <w:r>
              <w:rPr/>
              <w:t>Поступления наличных денег через банкоматы и платежные терминалы кредитных организаций</w:t>
            </w:r>
          </w:p>
        </w:tc>
        <w:tc>
          <w:tcPr>
            <w:tcW w:w="1241" w:type="dxa"/>
            <w:tcBorders>
              <w:top w:val="single" w:sz="6" w:space="0" w:color="000000"/>
              <w:start w:val="single" w:sz="6" w:space="0" w:color="000000"/>
              <w:end w:val="single" w:sz="6" w:space="0" w:color="000000"/>
            </w:tcBorders>
          </w:tcPr>
          <w:p>
            <w:pPr>
              <w:pStyle w:val="MainText"/>
              <w:ind w:hanging="0" w:end="0"/>
              <w:jc w:val="center"/>
              <w:rPr/>
            </w:pPr>
            <w:r>
              <w:rPr/>
              <w:t>80</w:t>
            </w:r>
          </w:p>
        </w:tc>
      </w:tr>
      <w:tr>
        <w:trPr>
          <w:cantSplit/>
        </w:trPr>
        <w:tc>
          <w:tcPr>
            <w:tcW w:w="9747" w:type="dxa"/>
            <w:tcBorders>
              <w:start w:val="single" w:sz="6" w:space="0" w:color="000000"/>
            </w:tcBorders>
          </w:tcPr>
          <w:p>
            <w:pPr>
              <w:pStyle w:val="MainText"/>
              <w:ind w:hanging="0" w:end="0"/>
              <w:jc w:val="start"/>
              <w:rPr/>
            </w:pPr>
            <w:r>
              <w:rPr/>
              <w:t>Выдачи наличных денег через банкоматы кредитных организаций</w:t>
            </w:r>
          </w:p>
        </w:tc>
        <w:tc>
          <w:tcPr>
            <w:tcW w:w="1241" w:type="dxa"/>
            <w:tcBorders>
              <w:start w:val="single" w:sz="6" w:space="0" w:color="000000"/>
              <w:end w:val="single" w:sz="6" w:space="0" w:color="000000"/>
            </w:tcBorders>
          </w:tcPr>
          <w:p>
            <w:pPr>
              <w:pStyle w:val="MainText"/>
              <w:ind w:hanging="0" w:end="0"/>
              <w:jc w:val="center"/>
              <w:rPr/>
            </w:pPr>
            <w:r>
              <w:rPr/>
              <w:t>81</w:t>
            </w:r>
          </w:p>
        </w:tc>
      </w:tr>
      <w:tr>
        <w:trPr>
          <w:cantSplit/>
        </w:trPr>
        <w:tc>
          <w:tcPr>
            <w:tcW w:w="9747" w:type="dxa"/>
            <w:tcBorders>
              <w:start w:val="single" w:sz="6" w:space="0" w:color="000000"/>
            </w:tcBorders>
          </w:tcPr>
          <w:p>
            <w:pPr>
              <w:pStyle w:val="MainText"/>
              <w:ind w:hanging="0" w:end="0"/>
              <w:jc w:val="start"/>
              <w:rPr/>
            </w:pPr>
            <w:r>
              <w:rPr/>
              <w:t>Сумма переходящей торговой выручки</w:t>
            </w:r>
          </w:p>
        </w:tc>
        <w:tc>
          <w:tcPr>
            <w:tcW w:w="1241" w:type="dxa"/>
            <w:tcBorders>
              <w:start w:val="single" w:sz="6" w:space="0" w:color="000000"/>
              <w:end w:val="single" w:sz="6" w:space="0" w:color="000000"/>
            </w:tcBorders>
          </w:tcPr>
          <w:p>
            <w:pPr>
              <w:pStyle w:val="MainText"/>
              <w:ind w:hanging="0" w:end="0"/>
              <w:jc w:val="center"/>
              <w:rPr/>
            </w:pPr>
            <w:r>
              <w:rPr/>
              <w:t>89</w:t>
            </w:r>
          </w:p>
        </w:tc>
      </w:tr>
      <w:tr>
        <w:trPr>
          <w:cantSplit/>
        </w:trPr>
        <w:tc>
          <w:tcPr>
            <w:tcW w:w="9747" w:type="dxa"/>
            <w:tcBorders>
              <w:start w:val="single" w:sz="6" w:space="0" w:color="000000"/>
            </w:tcBorders>
          </w:tcPr>
          <w:p>
            <w:pPr>
              <w:pStyle w:val="MainText"/>
              <w:ind w:hanging="0" w:end="0"/>
              <w:jc w:val="start"/>
              <w:rPr/>
            </w:pPr>
            <w:r>
              <w:rPr/>
              <w:t>Досрочно выплаченная заработная плата</w:t>
            </w:r>
          </w:p>
        </w:tc>
        <w:tc>
          <w:tcPr>
            <w:tcW w:w="1241" w:type="dxa"/>
            <w:tcBorders>
              <w:start w:val="single" w:sz="6" w:space="0" w:color="000000"/>
              <w:end w:val="single" w:sz="6" w:space="0" w:color="000000"/>
            </w:tcBorders>
          </w:tcPr>
          <w:p>
            <w:pPr>
              <w:pStyle w:val="MainText"/>
              <w:ind w:hanging="0" w:end="0"/>
              <w:jc w:val="center"/>
              <w:rPr/>
            </w:pPr>
            <w:r>
              <w:rPr/>
              <w:t>96</w:t>
            </w:r>
          </w:p>
        </w:tc>
      </w:tr>
      <w:tr>
        <w:trPr>
          <w:cantSplit/>
        </w:trPr>
        <w:tc>
          <w:tcPr>
            <w:tcW w:w="9747" w:type="dxa"/>
            <w:tcBorders>
              <w:start w:val="single" w:sz="6" w:space="0" w:color="000000"/>
            </w:tcBorders>
          </w:tcPr>
          <w:p>
            <w:pPr>
              <w:pStyle w:val="MainText"/>
              <w:ind w:hanging="0" w:end="0"/>
              <w:jc w:val="start"/>
              <w:rPr/>
            </w:pPr>
            <w:r>
              <w:rPr/>
              <w:t>Поступления на счета некоммерческих организаций</w:t>
            </w:r>
          </w:p>
        </w:tc>
        <w:tc>
          <w:tcPr>
            <w:tcW w:w="1241" w:type="dxa"/>
            <w:tcBorders>
              <w:start w:val="single" w:sz="6" w:space="0" w:color="000000"/>
              <w:end w:val="single" w:sz="6" w:space="0" w:color="000000"/>
            </w:tcBorders>
          </w:tcPr>
          <w:p>
            <w:pPr>
              <w:pStyle w:val="MainText"/>
              <w:ind w:hanging="0" w:end="0"/>
              <w:jc w:val="center"/>
              <w:rPr/>
            </w:pPr>
            <w:r>
              <w:rPr/>
              <w:t>97</w:t>
            </w:r>
          </w:p>
        </w:tc>
      </w:tr>
      <w:tr>
        <w:trPr>
          <w:cantSplit/>
        </w:trPr>
        <w:tc>
          <w:tcPr>
            <w:tcW w:w="9747" w:type="dxa"/>
            <w:tcBorders>
              <w:start w:val="single" w:sz="6" w:space="0" w:color="000000"/>
            </w:tcBorders>
          </w:tcPr>
          <w:p>
            <w:pPr>
              <w:pStyle w:val="MainText"/>
              <w:ind w:hanging="0" w:end="0"/>
              <w:jc w:val="start"/>
              <w:rPr/>
            </w:pPr>
            <w:r>
              <w:rPr/>
              <w:t>Выдачи со счетов некоммерческих организаций</w:t>
            </w:r>
          </w:p>
        </w:tc>
        <w:tc>
          <w:tcPr>
            <w:tcW w:w="1241" w:type="dxa"/>
            <w:tcBorders>
              <w:start w:val="single" w:sz="6" w:space="0" w:color="000000"/>
              <w:end w:val="single" w:sz="6" w:space="0" w:color="000000"/>
            </w:tcBorders>
          </w:tcPr>
          <w:p>
            <w:pPr>
              <w:pStyle w:val="MainText"/>
              <w:ind w:hanging="0" w:end="0"/>
              <w:jc w:val="center"/>
              <w:rPr/>
            </w:pPr>
            <w:r>
              <w:rPr/>
              <w:t>98</w:t>
            </w:r>
          </w:p>
        </w:tc>
      </w:tr>
      <w:tr>
        <w:trPr>
          <w:cantSplit/>
        </w:trPr>
        <w:tc>
          <w:tcPr>
            <w:tcW w:w="9747" w:type="dxa"/>
            <w:tcBorders>
              <w:start w:val="single" w:sz="6" w:space="0" w:color="000000"/>
            </w:tcBorders>
          </w:tcPr>
          <w:p>
            <w:pPr>
              <w:pStyle w:val="MainText"/>
              <w:ind w:hanging="0" w:end="0"/>
              <w:jc w:val="start"/>
              <w:rPr/>
            </w:pPr>
            <w:r>
              <w:rPr/>
              <w:t>Поступления от банковских платежных агентов</w:t>
            </w:r>
          </w:p>
        </w:tc>
        <w:tc>
          <w:tcPr>
            <w:tcW w:w="1241" w:type="dxa"/>
            <w:tcBorders>
              <w:start w:val="single" w:sz="6" w:space="0" w:color="000000"/>
              <w:end w:val="single" w:sz="6" w:space="0" w:color="000000"/>
            </w:tcBorders>
          </w:tcPr>
          <w:p>
            <w:pPr>
              <w:pStyle w:val="MainText"/>
              <w:ind w:hanging="0" w:end="0"/>
              <w:jc w:val="center"/>
              <w:rPr/>
            </w:pPr>
            <w:r>
              <w:rPr/>
              <w:t>99</w:t>
            </w:r>
          </w:p>
        </w:tc>
      </w:tr>
      <w:tr>
        <w:trPr>
          <w:cantSplit/>
        </w:trPr>
        <w:tc>
          <w:tcPr>
            <w:tcW w:w="9747" w:type="dxa"/>
            <w:tcBorders>
              <w:start w:val="single" w:sz="6" w:space="0" w:color="000000"/>
              <w:bottom w:val="single" w:sz="6" w:space="0" w:color="000000"/>
            </w:tcBorders>
          </w:tcPr>
          <w:p>
            <w:pPr>
              <w:pStyle w:val="MainText"/>
              <w:ind w:hanging="0" w:end="0"/>
              <w:jc w:val="start"/>
              <w:rPr/>
            </w:pPr>
            <w:r>
              <w:rPr/>
              <w:t>Поступления от платежных агентов</w:t>
            </w:r>
          </w:p>
        </w:tc>
        <w:tc>
          <w:tcPr>
            <w:tcW w:w="1241" w:type="dxa"/>
            <w:tcBorders>
              <w:start w:val="single" w:sz="6" w:space="0" w:color="000000"/>
              <w:bottom w:val="single" w:sz="6" w:space="0" w:color="000000"/>
              <w:end w:val="single" w:sz="6" w:space="0" w:color="000000"/>
            </w:tcBorders>
          </w:tcPr>
          <w:p>
            <w:pPr>
              <w:pStyle w:val="MainText"/>
              <w:ind w:hanging="0" w:end="0"/>
              <w:jc w:val="center"/>
              <w:rPr/>
            </w:pPr>
            <w:r>
              <w:rPr/>
              <w:t>100</w:t>
            </w:r>
          </w:p>
        </w:tc>
      </w:tr>
    </w:tbl>
    <w:p>
      <w:pPr>
        <w:pStyle w:val="MainText"/>
        <w:spacing w:before="120" w:after="0"/>
        <w:rPr/>
      </w:pPr>
      <w:r>
        <w:rPr/>
        <w:t>II.3. В Отчете отражается оборот наличных денег, проходящих через кассы кредитных организаций и входящих в их состав внутренних структурных подразделений (символы 02—77), а также через банкоматы и платежные терминалы кредитных организаций (символы 80, 81).</w:t>
      </w:r>
    </w:p>
    <w:p>
      <w:pPr>
        <w:pStyle w:val="MainText"/>
        <w:rPr/>
      </w:pPr>
      <w:r>
        <w:rPr/>
        <w:t>Распределение оборотов наличных денег по символам Отчета осуществляется исходя из следующего содержания символов.</w:t>
      </w:r>
    </w:p>
    <w:p>
      <w:pPr>
        <w:pStyle w:val="MainText"/>
        <w:rPr/>
      </w:pPr>
      <w:r>
        <w:rPr/>
        <w:t>Символ 02. Поступления наличных денег от продажи товаров на счета организаций розничной торговли, общественного питания, организаций оптовой торговли и организаций других видов деятельности, обороты которых учитываются в составе оборота розничной торговли и оборота общественного питания в соответствии с унифицированными формами федерального государственного статистического наблюдения.</w:t>
      </w:r>
    </w:p>
    <w:p>
      <w:pPr>
        <w:pStyle w:val="MainText"/>
        <w:rPr/>
      </w:pPr>
      <w:r>
        <w:rPr/>
        <w:t>Поступления наличных денег от физических лиц (без открытия счета перевододателям) в целях перевода на счета юридических лиц, индивидуальных предпринимателей, открытые в отчитывающейся и (или) других кредитных организациях, в оплату товаров.</w:t>
      </w:r>
    </w:p>
    <w:p>
      <w:pPr>
        <w:pStyle w:val="MainText"/>
        <w:rPr/>
      </w:pPr>
      <w:r>
        <w:rPr/>
        <w:t>Символ 11. Поступления наличных денег от реализации платных услуг (выполненных работ) на счета организаций железнодорожного, водного, воздушного, автомобильного, местного пассажирского и грузового транспорта, организаций кинопроката, театрально-зрелищных организаций, музеев, выставок, парков (садов) культуры и отдыха, клубов, библиотек, туристических фирм, учреждений физкультуры и спорта, ипподромов, санаторно-оздоровительных и медицинских учреждений, учреждений образования и дошкольного воспитания, рынков, организаций обслуживания населения (бань, прачечных, химчисток, парикмахерских, проката, ломбардов, ателье, справочно-информационных служб и прочее), организаций, для которых оказание платных услуг (выполнение работ) не является основной деятельностью.</w:t>
      </w:r>
    </w:p>
    <w:p>
      <w:pPr>
        <w:pStyle w:val="MainText"/>
        <w:rPr/>
      </w:pPr>
      <w:r>
        <w:rPr/>
        <w:t>Поступления наличных денег на счета организаций, а также от физических лиц (без открытия счета перевододателям) в целях перевода на счета юридических лиц, индивидуальных предпринимателей, открытые в отчитывающейся и (или) других кредитных организациях, в качестве оплаты за предоставление жилищно-коммунальных услуг (пользование жилыми помещениями, энергоснабжение, водоснабжение, тепло- и газоснабжение и прочее), квартирной платы, за услуги связи.</w:t>
      </w:r>
    </w:p>
    <w:p>
      <w:pPr>
        <w:pStyle w:val="MainText"/>
        <w:rPr/>
      </w:pPr>
      <w:r>
        <w:rPr/>
        <w:t>Поступления наличных денег на счета организаций от оказания услуг по сдаче в аренду недвижимого и другого имущества.</w:t>
      </w:r>
    </w:p>
    <w:p>
      <w:pPr>
        <w:pStyle w:val="MainText"/>
        <w:rPr/>
      </w:pPr>
      <w:r>
        <w:rPr/>
        <w:t>Символ 12. Поступления налогов, сборов, страховых взносов, штрафов, таможенных платежей, средств самообложения граждан, взносов, страховых премий.</w:t>
      </w:r>
    </w:p>
    <w:p>
      <w:pPr>
        <w:pStyle w:val="MainText"/>
        <w:rPr/>
      </w:pPr>
      <w:r>
        <w:rPr/>
        <w:t>Поступления от физических лиц (без открытия счета перевододателям) всех видов налогов и сборов (в том числе госпошлины), средств самообложения граждан, штрафов, таможенных платежей и страховых взносов в целях перевода на счета федерального бюджета, бюджетов субъектов Российской Федерации, местных бюджетов и государственных внебюджетных фондов.</w:t>
      </w:r>
    </w:p>
    <w:p>
      <w:pPr>
        <w:pStyle w:val="MainText"/>
        <w:rPr/>
      </w:pPr>
      <w:r>
        <w:rPr/>
        <w:t>Поступления страховых премий, в том числе от физических лиц (без открытия счета перевододателям), на счета страховых организаций.</w:t>
      </w:r>
    </w:p>
    <w:p>
      <w:pPr>
        <w:pStyle w:val="MainText"/>
        <w:rPr/>
      </w:pPr>
      <w:r>
        <w:rPr/>
        <w:t>Поступления взносов (в уставный капитал, благотворительных, целевых, паевых, вступительных, дополнительных, добровольных и прочих), в том числе от физических лиц (без открытия счета перевододателям), на счета организаций, за исключением взносов по операциям, связанным с реализацией недвижимости.</w:t>
      </w:r>
    </w:p>
    <w:p>
      <w:pPr>
        <w:pStyle w:val="MainText"/>
        <w:rPr/>
      </w:pPr>
      <w:r>
        <w:rPr/>
        <w:t>Символ 13. Поступления наличных денег от физических лиц в целях перевода другим физическим лицам без открытия перевододателям и переводополучателям банковских счетов и счетов по вкладам (депозитам) в кредитных организациях.</w:t>
      </w:r>
    </w:p>
    <w:p>
      <w:pPr>
        <w:pStyle w:val="MainText"/>
        <w:rPr/>
      </w:pPr>
      <w:r>
        <w:rPr/>
        <w:t>Символ 14. Поступления займов и в погашение кредитов.</w:t>
      </w:r>
    </w:p>
    <w:p>
      <w:pPr>
        <w:pStyle w:val="MainText"/>
        <w:rPr/>
      </w:pPr>
      <w:r>
        <w:rPr/>
        <w:t>Поступления на счета организаций сумм наличных денег (основного долга и процентов) по договорам займа (включая оказание временной финансовой помощи), в том числе от физических лиц (без открытия счета перевододателям).</w:t>
      </w:r>
    </w:p>
    <w:p>
      <w:pPr>
        <w:pStyle w:val="MainText"/>
        <w:rPr/>
      </w:pPr>
      <w:r>
        <w:rPr/>
        <w:t>Поступления наличных денег от физических лиц в погашение кредитов, предоставленных отчитывающейся кредитной организацией, и процентов по ним, а также от физических лиц (без открытия счета перевододателям) в целях перевода в другие кредитные организации в погашение предоставленных ими кредитов и процентов по ним.</w:t>
      </w:r>
    </w:p>
    <w:p>
      <w:pPr>
        <w:pStyle w:val="MainText"/>
        <w:rPr/>
      </w:pPr>
      <w:r>
        <w:rPr/>
        <w:t>Символ 15. Поступления наличных денег на счета организаций от реализации недвижимости (зданий, сооружений, земли и прочее), а также от физических лиц (без открытия счета перевододателям) в целях перевода на счета юридических лиц, индивидуальных предпринимателей, открытые в отчитывающейся и (или) других кредитных организациях, в оплату недвижимости (зданий, сооружений, земли и прочее), взносов на счета жилищных, жилищно-строительных кооперативов, товариществ собственников жилья и других организаций по операциям, связанным с реализацией недвижимости.</w:t>
      </w:r>
    </w:p>
    <w:p>
      <w:pPr>
        <w:pStyle w:val="MainText"/>
        <w:rPr/>
      </w:pPr>
      <w:r>
        <w:rPr/>
        <w:t>Символ 16. Поступления наличных денег от физических лиц с целью зачисления на открытые в отчитывающейся кредитной организации счета по вкладам (депозитам) физических лиц, а также от физических лиц (без открытия счета перевододателям) в целях перевода на открытые в отчитывающейся и (или) других кредитных организациях счета по вкладам (депозитам) физических лиц, включая поступления наличных денег на счета в иностранной валюте (за исключением поступлений займов и в погашение кредитов, процентов по ним).</w:t>
      </w:r>
    </w:p>
    <w:p>
      <w:pPr>
        <w:pStyle w:val="MainText"/>
        <w:rPr/>
      </w:pPr>
      <w:r>
        <w:rPr/>
        <w:t>Символ 17. Поступления наличных денег от организаций Федерального агентства связи (от переводных операций, сумм невыплаченных пенсий и других единовременных выплат).</w:t>
      </w:r>
    </w:p>
    <w:p>
      <w:pPr>
        <w:pStyle w:val="MainText"/>
        <w:rPr/>
      </w:pPr>
      <w:r>
        <w:rPr/>
        <w:t>Символ 19. Поступления наличных денег на счета индивидуальных предпринимателей, а также физических лиц, занимающихся в установленном законодательством Российской Федерации порядке частной практикой, независимо от указанного в объявлении на взнос наличными источника их поступления.</w:t>
      </w:r>
    </w:p>
    <w:p>
      <w:pPr>
        <w:pStyle w:val="MainText"/>
        <w:rPr/>
      </w:pPr>
      <w:r>
        <w:rPr/>
        <w:t>Символ 20. Поступления наличных денег, в том числе на счета организаций, от операций с государственными и другими ценными бумагами, предусмотренными законодательством Российской Федерации (за исключением векселей).</w:t>
      </w:r>
    </w:p>
    <w:p>
      <w:pPr>
        <w:pStyle w:val="MainText"/>
        <w:rPr/>
      </w:pPr>
      <w:r>
        <w:rPr/>
        <w:t>Символ 21. Поступления наличных денег, в том числе на счета организаций, от операций с векселями.</w:t>
      </w:r>
    </w:p>
    <w:p>
      <w:pPr>
        <w:pStyle w:val="MainText"/>
        <w:rPr/>
      </w:pPr>
      <w:r>
        <w:rPr/>
        <w:t>Символ 22. Поступления наличных денег от операций игорного бизнеса.</w:t>
      </w:r>
    </w:p>
    <w:p>
      <w:pPr>
        <w:pStyle w:val="MainText"/>
        <w:rPr/>
      </w:pPr>
      <w:r>
        <w:rPr/>
        <w:t>Поступления наличных денег на счета организаторов азартных игр, содержащих тотализаторы, букмекерские конторы, казино и залы игровых автоматов, а также организующих и проводящих лотереи, тотализаторы (взаимное пари) и иные основанные на риске игры, в том числе в электронной форме.</w:t>
      </w:r>
    </w:p>
    <w:p>
      <w:pPr>
        <w:pStyle w:val="MainText"/>
        <w:rPr/>
      </w:pPr>
      <w:r>
        <w:rPr/>
        <w:t>Поступления наличных денег от продажи лотерейных билетов.</w:t>
      </w:r>
    </w:p>
    <w:p>
      <w:pPr>
        <w:pStyle w:val="MainText"/>
        <w:rPr/>
      </w:pPr>
      <w:r>
        <w:rPr/>
        <w:t>Символ 23. Поступления наличных денег от операций (независимо от их экономического содержания), совершаемых юридическими лицами, индивидуальными предпринимателями, физическими лицами, занимающимися в установленном законодательством Российской Федерации порядке частной практикой, и физическими лицами с использованием платежных карт (их реквизитов) (за исключением операций, совершаемых через банкоматы).</w:t>
      </w:r>
    </w:p>
    <w:p>
      <w:pPr>
        <w:pStyle w:val="MainText"/>
        <w:rPr/>
      </w:pPr>
      <w:r>
        <w:rPr/>
        <w:t>Символ 30. Поступления наличных денег от продажи физическим лицам наличной иностранной валюты и чеков (в том числе дорожных чеков), номинальная стоимость которых указана в иностранной валюте.</w:t>
      </w:r>
    </w:p>
    <w:p>
      <w:pPr>
        <w:pStyle w:val="MainText"/>
        <w:rPr/>
      </w:pPr>
      <w:r>
        <w:rPr/>
        <w:t>Символ 31. Поступления наличных денег с целью зачисления на открытые в отчитывающейся кредитной организации физическим лицам текущие счета, а также от физических лиц (без открытия счета перевододателям) в целях перевода на открытые в отчитывающейся и (или) других кредитных организациях физическим лицам текущие счета, включая поступления наличных денег на счета в иностранной валюте (за исключением поступлений займов и в погашение кредитов, процентов по ним).</w:t>
      </w:r>
    </w:p>
    <w:p>
      <w:pPr>
        <w:pStyle w:val="MainText"/>
        <w:rPr/>
      </w:pPr>
      <w:r>
        <w:rPr/>
        <w:t>Символ 32. Прочие поступления.</w:t>
      </w:r>
    </w:p>
    <w:p>
      <w:pPr>
        <w:pStyle w:val="MainText"/>
        <w:rPr/>
      </w:pPr>
      <w:r>
        <w:rPr/>
        <w:t>Все поступления наличных денег, не учтенные по символам 02, 11—17, 19—23, 30, 31. В частности:</w:t>
      </w:r>
    </w:p>
    <w:p>
      <w:pPr>
        <w:pStyle w:val="MainText"/>
        <w:rPr/>
      </w:pPr>
      <w:r>
        <w:rPr/>
        <w:t>возврат подотчетных и неиспользованных сумм наличных денег, полученных организациями в кредитных организациях по денежным чекам, в оплату за осуществляемые кредитной организацией банковские операции (сделки) (комиссионные вознаграждения, оплата арендуемых индивидуальных сейфов и так далее);</w:t>
      </w:r>
    </w:p>
    <w:p>
      <w:pPr>
        <w:pStyle w:val="MainText"/>
        <w:rPr/>
      </w:pPr>
      <w:r>
        <w:rPr/>
        <w:t>поступления наличных денег от организаций и воинских частей Министерства обороны Российской Федерации, Министерства внутренних дел Российской Федерации и других организаций, обслуживаемых в особом порядке, если в объявлении на взнос наличными в строке “источник взноса” не указан источник поступления наличных денег.</w:t>
      </w:r>
    </w:p>
    <w:p>
      <w:pPr>
        <w:pStyle w:val="MainText"/>
        <w:rPr/>
      </w:pPr>
      <w:r>
        <w:rPr/>
        <w:t>Символ 33. Поступления в кассу кредитной организации наличных денег, изъятых из банкоматов и платежных терминалов кредитных организаций.</w:t>
      </w:r>
    </w:p>
    <w:p>
      <w:pPr>
        <w:pStyle w:val="MainText"/>
        <w:rPr/>
      </w:pPr>
      <w:r>
        <w:rPr/>
        <w:t>Символ 35. Остаток наличных денег в кассе кредитной организации на начало отчетного месяца.</w:t>
      </w:r>
    </w:p>
    <w:p>
      <w:pPr>
        <w:pStyle w:val="MainText"/>
        <w:rPr/>
      </w:pPr>
      <w:r>
        <w:rPr/>
        <w:t>Остатки наличных денег в кассе кредитной организации (балансовый счет № 20202 “Касса кредитных организаций”), обменных пунктах (балансовый счет № 20206 “Касса обменных пунктов”), операционных кассах вне кассового узла (балансовый счет № 20207 “Денежные средства в операционных кассах, находящихся вне помещений кредитных организаций”) на начало отчетного месяца.</w:t>
      </w:r>
    </w:p>
    <w:p>
      <w:pPr>
        <w:pStyle w:val="MainText"/>
        <w:rPr/>
      </w:pPr>
      <w:r>
        <w:rPr/>
        <w:t>Символ 37. Поступления наличных денег в кассу кредитной организации, кассу внутреннего структурного подразделения из оборотной кассы расчетно-кассового центра Банка России, из филиалов и внутренних структурных подразделений кредитной организации.</w:t>
      </w:r>
    </w:p>
    <w:p>
      <w:pPr>
        <w:pStyle w:val="MainText"/>
        <w:rPr/>
      </w:pPr>
      <w:r>
        <w:rPr/>
        <w:t>Поступления наличных денег в кассу головного офиса из филиалов, внутренних структурных подразделений кредитной организации, из оборотной кассы расчетно-кассового центра Банка России.</w:t>
      </w:r>
    </w:p>
    <w:p>
      <w:pPr>
        <w:pStyle w:val="MainText"/>
        <w:rPr/>
      </w:pPr>
      <w:r>
        <w:rPr/>
        <w:t>Поступления наличных денег в кассу филиала из головного офиса, филиалов, внутренних структурных подразделений кредитной организации, из оборотной кассы расчетно-кассового центра Банка России.</w:t>
      </w:r>
    </w:p>
    <w:p>
      <w:pPr>
        <w:pStyle w:val="MainText"/>
        <w:rPr/>
      </w:pPr>
      <w:r>
        <w:rPr/>
        <w:t>Поступления наличных денег в кассу внутреннего структурного подразделения кредитной организации из головного офиса, филиалов, внутренних структурных подразделений кредитной организации, из оборотной кассы расчетно-кассового центра Банка России.</w:t>
      </w:r>
    </w:p>
    <w:p>
      <w:pPr>
        <w:pStyle w:val="MainText"/>
        <w:rPr/>
      </w:pPr>
      <w:r>
        <w:rPr/>
        <w:t>Символ 39. Поступления наличных денег в кассу кредитной организации из другой кредитной организации, из территориального управления инкассации — филиала Российского объединения инкассации (РОСИНКАС).</w:t>
      </w:r>
    </w:p>
    <w:p>
      <w:pPr>
        <w:pStyle w:val="MainText"/>
        <w:rPr/>
      </w:pPr>
      <w:r>
        <w:rPr/>
        <w:t>Символ 40. Выдачи наличных денег со счетов организаций на выплату заработной платы и выплаты социального характера, включенные в соответствии с методологией, принятой для заполнения форм федерального государственного статистического наблюдения, в фонд заработной платы и выплаты социального характера.</w:t>
      </w:r>
    </w:p>
    <w:p>
      <w:pPr>
        <w:pStyle w:val="MainText"/>
        <w:rPr/>
      </w:pPr>
      <w:r>
        <w:rPr/>
        <w:t>Выдачи наличных денег организациям и воинским частям Министерства обороны Российской Федерации, Министерства внутренних дел Российской Федерации и иным организациям, обслуживаемым в особом порядке, которые по условиям своей деятельности не указывают направление их выдачи.</w:t>
      </w:r>
    </w:p>
    <w:p>
      <w:pPr>
        <w:pStyle w:val="MainText"/>
        <w:rPr/>
      </w:pPr>
      <w:r>
        <w:rPr/>
        <w:t>Символ 41. Выдачи наличных денег со счетов организаций на выплату стипендий студентам высших учебных заведений, учащимся колледжей, курсов, училищ и других учебных заведений, на выплату государственных научных стипендий, стипендий по ученическому договору на профессиональное обучение, подготовку и переподготовку работников в связи с производственной необходимостью, стипендий за счет грантов, предоставленных международными, иностранными некоммерческими и благотворительными организациями.</w:t>
      </w:r>
    </w:p>
    <w:p>
      <w:pPr>
        <w:pStyle w:val="MainText"/>
        <w:rPr/>
      </w:pPr>
      <w:r>
        <w:rPr/>
        <w:t>Символ 42. Выдачи наличных денег со счетов организаций на расходы, относящиеся в соответствии с методологией, принятой для заполнения форм федерального государственного статистического наблюдения, к расходам, не учитываемым в фонде заработной платы и выплатах социального характера.</w:t>
      </w:r>
    </w:p>
    <w:p>
      <w:pPr>
        <w:pStyle w:val="MainText"/>
        <w:rPr/>
      </w:pPr>
      <w:r>
        <w:rPr/>
        <w:t>Выдачи наличных денег со счетов организаций по договорам займов (включая оказание временной финансовой помощи), заключенным с работниками данных организаций.</w:t>
      </w:r>
    </w:p>
    <w:p>
      <w:pPr>
        <w:pStyle w:val="MainText"/>
        <w:rPr/>
      </w:pPr>
      <w:r>
        <w:rPr/>
        <w:t>Символ 46. Выдачи наличных денег со счетов организаций на закупку у физических лиц, индивидуальных предпринимателей и организаций сельскохозяйственных продуктов и сырья.</w:t>
      </w:r>
    </w:p>
    <w:p>
      <w:pPr>
        <w:pStyle w:val="MainText"/>
        <w:rPr/>
      </w:pPr>
      <w:r>
        <w:rPr/>
        <w:t>Символ 47. Выдачи наличных денег на операции игорного бизнеса.</w:t>
      </w:r>
    </w:p>
    <w:p>
      <w:pPr>
        <w:pStyle w:val="MainText"/>
        <w:rPr/>
      </w:pPr>
      <w:r>
        <w:rPr/>
        <w:t>Выдачи наличных денег со счетов организаторов азартных игр, содержащих тотализаторы, букмекерские конторы, казино и залы игровых автоматов, а также организующих и проводящих лотереи, тотализаторы (взаимное пари) и иные основанные на риске игры, в том числе в электронной форме.</w:t>
      </w:r>
    </w:p>
    <w:p>
      <w:pPr>
        <w:pStyle w:val="MainText"/>
        <w:rPr/>
      </w:pPr>
      <w:r>
        <w:rPr/>
        <w:t>Выплаты выигрышей по лотерейным билетам.</w:t>
      </w:r>
    </w:p>
    <w:p>
      <w:pPr>
        <w:pStyle w:val="MainText"/>
        <w:rPr/>
      </w:pPr>
      <w:r>
        <w:rPr/>
        <w:t>Символ 50. Выдачи наличных денег со счетов организаций для выплаты всех видов пенсий, пособий, компенсаций и других выплат, осуществляемых за счет бюджетных средств, средств государственных внебюджетных и негосударственных фондов.</w:t>
      </w:r>
    </w:p>
    <w:p>
      <w:pPr>
        <w:pStyle w:val="MainText"/>
        <w:rPr/>
      </w:pPr>
      <w:r>
        <w:rPr/>
        <w:t>Выдачи наличных денег страховым организациям, имеющим лицензии на осуществление страховой деятельности на территории Российской Федерации, для осуществления выплат по договорам личного, имущественного и иного страхования.</w:t>
      </w:r>
    </w:p>
    <w:p>
      <w:pPr>
        <w:pStyle w:val="MainText"/>
        <w:rPr/>
      </w:pPr>
      <w:r>
        <w:rPr/>
        <w:t>Выдачи физическим лицам страховых возмещений по вкладу (вкладам), если счета по вкладу (вкладам) были открыты физическим лицам в кредитных организациях, у которых в настоящее время отозваны лицензии.</w:t>
      </w:r>
    </w:p>
    <w:p>
      <w:pPr>
        <w:pStyle w:val="MainText"/>
        <w:rPr/>
      </w:pPr>
      <w:r>
        <w:rPr/>
        <w:t>Символ 51. Выдачи наличных денег с текущего счета физического лица, включая выдачи наличных денег со счетов в иностранной валюте.</w:t>
      </w:r>
    </w:p>
    <w:p>
      <w:pPr>
        <w:pStyle w:val="MainText"/>
        <w:rPr/>
      </w:pPr>
      <w:r>
        <w:rPr/>
        <w:t>Символ 53. Прочие выдачи.</w:t>
      </w:r>
    </w:p>
    <w:p>
      <w:pPr>
        <w:pStyle w:val="MainText"/>
        <w:rPr/>
      </w:pPr>
      <w:r>
        <w:rPr/>
        <w:t>Все выдачи наличных денег, не учтенные по символам 40—42, 46, 47, 50, 51, 54—62.</w:t>
      </w:r>
    </w:p>
    <w:p>
      <w:pPr>
        <w:pStyle w:val="MainText"/>
        <w:rPr/>
      </w:pPr>
      <w:r>
        <w:rPr/>
        <w:t>Символ 54. Выдачи займов и кредитов.</w:t>
      </w:r>
    </w:p>
    <w:p>
      <w:pPr>
        <w:pStyle w:val="MainText"/>
        <w:rPr/>
      </w:pPr>
      <w:r>
        <w:rPr/>
        <w:t>Выдачи наличных денег со счетов организаций по договорам займа (включая оказание временной финансовой помощи), кроме договоров, заключенных с работниками данных организаций.</w:t>
      </w:r>
    </w:p>
    <w:p>
      <w:pPr>
        <w:pStyle w:val="MainText"/>
        <w:rPr/>
      </w:pPr>
      <w:r>
        <w:rPr/>
        <w:t>Выдачи наличными деньгами кредитов, предоставленных физическим лицам.</w:t>
      </w:r>
    </w:p>
    <w:p>
      <w:pPr>
        <w:pStyle w:val="MainText"/>
        <w:rPr/>
      </w:pPr>
      <w:r>
        <w:rPr/>
        <w:t>Символ 55. Выдачи наличных денег со счетов по вкладам (депозитам) физических лиц в кредитных организациях, включая выдачи наличных денег со счетов в иностранной валюте.</w:t>
      </w:r>
    </w:p>
    <w:p>
      <w:pPr>
        <w:pStyle w:val="MainText"/>
        <w:rPr/>
      </w:pPr>
      <w:r>
        <w:rPr/>
        <w:t>Символ 56. Выдачи наличных денег по переводам (без открытия счета переводополучателям).</w:t>
      </w:r>
    </w:p>
    <w:p>
      <w:pPr>
        <w:pStyle w:val="MainText"/>
        <w:rPr/>
      </w:pPr>
      <w:r>
        <w:rPr/>
        <w:t>Выдачи наличных денег по переводам, поступившим физическим лицам, без открытия переводополучателям банковских счетов и счетов по вкладам (депозитам) в кредитных организациях.</w:t>
      </w:r>
    </w:p>
    <w:p>
      <w:pPr>
        <w:pStyle w:val="MainText"/>
        <w:rPr/>
      </w:pPr>
      <w:r>
        <w:rPr/>
        <w:t>Символ 57. Выдачи наличных денег физическим лицам при покупке у них наличной иностранной валюты, в том числе поврежденных денежных знаков иностранных государств (группы иностранных государств) и чеков (в том числе дорожных чеков), номинальная стоимость которых указана в иностранной валюте.</w:t>
      </w:r>
    </w:p>
    <w:p>
      <w:pPr>
        <w:pStyle w:val="MainText"/>
        <w:rPr/>
      </w:pPr>
      <w:r>
        <w:rPr/>
        <w:t>Символ 58. Выдачи наличных денег со счетов индивидуальных предпринимателей, физических лиц, занимающихся в установленном законодательством Российской Федерации порядке частной практикой, независимо от указанных в денежном чеке направлений этих выдач.</w:t>
      </w:r>
    </w:p>
    <w:p>
      <w:pPr>
        <w:pStyle w:val="MainText"/>
        <w:rPr/>
      </w:pPr>
      <w:r>
        <w:rPr/>
        <w:t>Символ 59. Выдачи наличных денег организациям Федерального агентства связи для осуществления выплат переводов, пенсий и других единовременных выплат.</w:t>
      </w:r>
    </w:p>
    <w:p>
      <w:pPr>
        <w:pStyle w:val="MainText"/>
        <w:rPr/>
      </w:pPr>
      <w:r>
        <w:rPr/>
        <w:t>Символ 60. Выдачи наличных денег, в том числе со счетов организаций, на выплату дохода, погашение и покупку государственных и других ценных бумаг, предусмотренных законодательством Российской Федерации (за исключением векселей).</w:t>
      </w:r>
    </w:p>
    <w:p>
      <w:pPr>
        <w:pStyle w:val="MainText"/>
        <w:rPr/>
      </w:pPr>
      <w:r>
        <w:rPr/>
        <w:t>Символ 61. Выдачи наличных денег, в том числе со счетов организаций, на операции с векселями.</w:t>
      </w:r>
    </w:p>
    <w:p>
      <w:pPr>
        <w:pStyle w:val="MainText"/>
        <w:rPr/>
      </w:pPr>
      <w:r>
        <w:rPr/>
        <w:t>Символ 62. Выдачи наличных денег по операциям (независимо от их экономического содержания), совершаемым юридическими лицами, индивидуальными предпринимателями, физическими лицами, занимающимися в установленном законодательством Российской Федерации порядке частной практикой, и физическими лицами с использованием платежных карт (их реквизитов) (за исключением операций, совершаемых через банкоматы).</w:t>
      </w:r>
    </w:p>
    <w:p>
      <w:pPr>
        <w:pStyle w:val="MainText"/>
        <w:rPr/>
      </w:pPr>
      <w:r>
        <w:rPr/>
        <w:t>Символ 70. Остаток наличных денег в кассе кредитной организации на конец отчетного месяца.</w:t>
      </w:r>
    </w:p>
    <w:p>
      <w:pPr>
        <w:pStyle w:val="MainText"/>
        <w:rPr/>
      </w:pPr>
      <w:r>
        <w:rPr/>
        <w:t>Остатки наличных денег в кассе кредитной организации (балансовый счет № 20202 “Касса кредитных организаций”), обменных пунктах (балансовый счет № 20206 “Касса обменных пунктов”), операционных кассах вне кассового узла (балансовый счет № 20207 “Денежные средства в операционных кассах, находящихся вне помещений кредитных организаций”) на конец отчетного месяца.</w:t>
      </w:r>
    </w:p>
    <w:p>
      <w:pPr>
        <w:pStyle w:val="MainText"/>
        <w:rPr/>
      </w:pPr>
      <w:r>
        <w:rPr/>
        <w:t>Символ 72. Выдачи наличных денег из кассы кредитной организации, кассы внутреннего структурного подразделения в оборотную кассу расчетно-кассового центра Банка России, в филиалы и внутренние структурные подразделения кредитной организации.</w:t>
      </w:r>
    </w:p>
    <w:p>
      <w:pPr>
        <w:pStyle w:val="MainText"/>
        <w:rPr/>
      </w:pPr>
      <w:r>
        <w:rPr/>
        <w:t>Выдачи наличных денег из кассы головного офиса в филиалы, внутренние структурные подразделения кредитной организации, в оборотную кассу расчетно-кассового центра Банка России.</w:t>
      </w:r>
    </w:p>
    <w:p>
      <w:pPr>
        <w:pStyle w:val="MainText"/>
        <w:rPr/>
      </w:pPr>
      <w:r>
        <w:rPr/>
        <w:t>Выдачи наличных денег из кассы филиала в головной офис, филиалы, внутренние структурные подразделения кредитной организации, в оборотную кассу расчетно-кассового центра Банка России.</w:t>
      </w:r>
    </w:p>
    <w:p>
      <w:pPr>
        <w:pStyle w:val="MainText"/>
        <w:rPr/>
      </w:pPr>
      <w:r>
        <w:rPr/>
        <w:t>Выдачи наличных денег из кассы внутреннего структурного подразделения кредитной организации в головной офис, филиалы, внутренние структурные подразделения кредитной организации, в оборотную кассу расчетно-кассового центра Банка России.</w:t>
      </w:r>
    </w:p>
    <w:p>
      <w:pPr>
        <w:pStyle w:val="MainText"/>
        <w:rPr/>
      </w:pPr>
      <w:r>
        <w:rPr/>
        <w:t>Символ 75. Выдачи наличных денег из кассы кредитной организации для загрузки банкоматов кредитных организаций.</w:t>
      </w:r>
    </w:p>
    <w:p>
      <w:pPr>
        <w:pStyle w:val="MainText"/>
        <w:rPr/>
      </w:pPr>
      <w:r>
        <w:rPr/>
        <w:t>Символ 77. Выдачи наличных денег из кассы кредитной организации в другие кредитные организации.</w:t>
      </w:r>
    </w:p>
    <w:p>
      <w:pPr>
        <w:pStyle w:val="MainText"/>
        <w:rPr/>
      </w:pPr>
      <w:r>
        <w:rPr/>
        <w:t>Символ 80. Поступления наличных денег через банкоматы и платежные терминалы кредитных организаций.</w:t>
      </w:r>
    </w:p>
    <w:p>
      <w:pPr>
        <w:pStyle w:val="MainText"/>
        <w:rPr/>
      </w:pPr>
      <w:r>
        <w:rPr/>
        <w:t>Поступления наличных денег в банкоматы и платежные терминалы кредитной организации как с использованием, так и без использования платежных карт (их реквизитов), в оплату товаров, оказанных услуг (выполненных работ), налогов, сборов и страховых платежей, в погашение кредитов и процентов по ним, на счета физических лиц, от продажи физическим лицам наличной иностранной валюты за наличные деньги и прочее.</w:t>
      </w:r>
    </w:p>
    <w:p>
      <w:pPr>
        <w:pStyle w:val="MainText"/>
        <w:rPr/>
      </w:pPr>
      <w:r>
        <w:rPr/>
        <w:t>Символ 81. Выдачи наличных денег через банкоматы кредитных организаций.</w:t>
      </w:r>
    </w:p>
    <w:p>
      <w:pPr>
        <w:pStyle w:val="MainText"/>
        <w:rPr/>
      </w:pPr>
      <w:r>
        <w:rPr/>
        <w:t>Выдачи наличных денег из банкоматов кредитной организации как с использованием, так и без использования платежных карт (их реквизитов), включая выдачи при покупке у физических лиц наличной иностранной валюты.</w:t>
      </w:r>
    </w:p>
    <w:p>
      <w:pPr>
        <w:pStyle w:val="MainText"/>
        <w:rPr/>
      </w:pPr>
      <w:r>
        <w:rPr/>
        <w:t>Символ 89. Сумма переходящей торговой выручки.</w:t>
      </w:r>
    </w:p>
    <w:p>
      <w:pPr>
        <w:pStyle w:val="MainText"/>
        <w:rPr/>
      </w:pPr>
      <w:r>
        <w:rPr/>
        <w:t>Сумма торговой выручки отчетного месяца, проведенная по балансу кредитной организации в 1-й рабочий день месяца, следующего за отчетным (сведения заполняются один раз в месяц).</w:t>
      </w:r>
    </w:p>
    <w:p>
      <w:pPr>
        <w:pStyle w:val="MainText"/>
        <w:rPr/>
      </w:pPr>
      <w:r>
        <w:rPr/>
        <w:t>В тех случаях, когда 1-й день месяца является нерабочим днем, по символу 89 учитывается не вся выручка, оприходованная по балансу кредитной организации в 1-й рабочий день месяца, а лишь та ее часть, которая получена за последний день (дни) отчетного месяца. В этих случаях сумма выручки, перешедшей с отчетного месяца, определяется по торговым организациям, обслуживаемым инкассаторскими работниками, на основании препроводительных ведомостей к сумкам с денежной наличностью за последний день (дни), а по остальным торговым организациям — на основании записей торговых организаций в объявлениях на взнос наличными о сумме выручки, полученной от торговли за последний день (дни) отчетного месяца. При отсутствии записей торговых организаций о сумме выручки, полученной от торговли за последний день (дни) отчетного месяца, кредитные организации определяют сумму этой выручки расчетным путем в зависимости от количества дней, за которые она поступила.</w:t>
      </w:r>
    </w:p>
    <w:p>
      <w:pPr>
        <w:pStyle w:val="MainText"/>
        <w:rPr/>
      </w:pPr>
      <w:r>
        <w:rPr/>
        <w:t>Символ 96. Досрочно выплаченная заработная плата.</w:t>
      </w:r>
    </w:p>
    <w:p>
      <w:pPr>
        <w:pStyle w:val="MainText"/>
        <w:rPr/>
      </w:pPr>
      <w:r>
        <w:rPr/>
        <w:t>Сумма наличных денег, выданная в отчетном месяце на заработную плату по срокам, приходящимся на месяц, следующий за отчетным.</w:t>
      </w:r>
    </w:p>
    <w:p>
      <w:pPr>
        <w:pStyle w:val="MainText"/>
        <w:rPr/>
      </w:pPr>
      <w:r>
        <w:rPr/>
        <w:t>Символ 97. Поступления наличных денег на счета некоммерческих организаций.</w:t>
      </w:r>
    </w:p>
    <w:p>
      <w:pPr>
        <w:pStyle w:val="MainText"/>
        <w:rPr/>
      </w:pPr>
      <w:r>
        <w:rPr/>
        <w:t>Все поступления наличных денег на счета некоммерческих организаций, учтенные по символам прихода, независимо от указанного в кассовом документе источника их поступления.</w:t>
      </w:r>
    </w:p>
    <w:p>
      <w:pPr>
        <w:pStyle w:val="MainText"/>
        <w:rPr/>
      </w:pPr>
      <w:r>
        <w:rPr/>
        <w:t>Символ 98. Выдачи наличных денег со счетов некоммерческих организаций.</w:t>
      </w:r>
    </w:p>
    <w:p>
      <w:pPr>
        <w:pStyle w:val="MainText"/>
        <w:rPr/>
      </w:pPr>
      <w:r>
        <w:rPr/>
        <w:t>Все выдачи наличных денег со счетов некоммерческих организаций, учтенные по символам расхода, независимо от указанного в денежном чеке направления этих выдач.</w:t>
      </w:r>
    </w:p>
    <w:p>
      <w:pPr>
        <w:pStyle w:val="MainText"/>
        <w:rPr/>
      </w:pPr>
      <w:r>
        <w:rPr/>
        <w:t>Символ 99. Поступления от банковских платежных агентов.</w:t>
      </w:r>
    </w:p>
    <w:p>
      <w:pPr>
        <w:pStyle w:val="MainText"/>
        <w:rPr/>
      </w:pPr>
      <w:r>
        <w:rPr/>
        <w:t>Все поступления наличных денег от банковских платежных агентов, учтенные по символам прихода, независимо от указанного в кассовом документе источника их поступления.</w:t>
      </w:r>
    </w:p>
    <w:p>
      <w:pPr>
        <w:pStyle w:val="MainText"/>
        <w:rPr/>
      </w:pPr>
      <w:r>
        <w:rPr/>
        <w:t>Символ 100. Поступления от платежных агентов.</w:t>
      </w:r>
    </w:p>
    <w:p>
      <w:pPr>
        <w:pStyle w:val="MainText"/>
        <w:rPr/>
      </w:pPr>
      <w:r>
        <w:rPr/>
        <w:t>Все поступления наличных денег от платежных агентов, учтенные по символам прихода, независимо от указанного в кассовом документе источника их поступления.</w:t>
      </w:r>
    </w:p>
    <w:p>
      <w:pPr>
        <w:pStyle w:val="MGlavaCenter"/>
        <w:rPr>
          <w:b w:val="false"/>
        </w:rPr>
      </w:pPr>
      <w:r>
        <w:rPr>
          <w:b w:val="false"/>
        </w:rPr>
        <w:t>Раздел III. Составление и представление Отчета</w:t>
      </w:r>
    </w:p>
    <w:p>
      <w:pPr>
        <w:pStyle w:val="MainText"/>
        <w:rPr/>
      </w:pPr>
      <w:r>
        <w:rPr/>
        <w:t>III.1. Отчет в части оборотов наличных денег, проходящих через кассы кредитных организаций и входящих в их состав внутренних структурных подразделений, учитываемых по символам 02—77, составляется по данным бухгалтерского учета поступлений и выдач наличных денег, который ведется в кассовых журналах по формам 0401704 “Кассовый журнал по приходу”, 0401705 “Кассовый журнал по расходу” (далее — кассовые журналы), предусмотренным Общероссийским классификатором управленческой документации (ОКУД), с указанием символов Отчета на основании объявлений на взнос наличными, денежных чеков, приходных и расходных кассовых ордеров, препроводительных ведомостей к сумкам с денежной наличностью.</w:t>
      </w:r>
    </w:p>
    <w:p>
      <w:pPr>
        <w:pStyle w:val="MainText"/>
        <w:rPr/>
      </w:pPr>
      <w:r>
        <w:rPr/>
        <w:t>Символы 02—32 (за исключением символа 23) Отчета по приходу определяются по указанным в объявлениях на взнос наличными, препроводительных ведомостях к сумкам с денежной наличностью и в приходных кассовых ордерах источникам поступления наличных денег. Организации, имеющие поступления наличных денег из разных источников, указывают сумму поступлений по каждому источнику.</w:t>
      </w:r>
    </w:p>
    <w:p>
      <w:pPr>
        <w:pStyle w:val="MainText"/>
        <w:rPr/>
      </w:pPr>
      <w:r>
        <w:rPr/>
        <w:t>Символы 40—61 Отчета по расходу определяются по указанным на обороте денежных чеков и в расходных кассовых ордерах направлениям выдачи наличных денег.</w:t>
      </w:r>
    </w:p>
    <w:p>
      <w:pPr>
        <w:pStyle w:val="MainText"/>
        <w:rPr/>
      </w:pPr>
      <w:r>
        <w:rPr/>
        <w:t>Отчет в части оборотов наличных денег, проходящих через банкоматы и платежные терминалы кредитных организаций, учитываемых по символам 80, 81, составляется по данным электронного журнала, реестра платежей по операциям с использованием платежных карт, предусмотренных Положением Банка России от 24 декабря 2004 года № 266-П “Об эмиссии банковских карт и об операциях, совершаемых с использованием платежных карт”, зарегистрированным Министерством юстиции Российской Федерации 25 марта 2005 года № 6431, 30 октября 2006 года № 8416, 8 октября 2008 года № 12430 (“Вестник Банка России” от 30 марта 2005 года № 17, от 9 ноября 2006 года № 60, от 17 октября 2008 года № 58).</w:t>
      </w:r>
    </w:p>
    <w:p>
      <w:pPr>
        <w:pStyle w:val="MainText"/>
        <w:rPr/>
      </w:pPr>
      <w:r>
        <w:rPr/>
        <w:t>III.2. Для составления Отчета ведется (с применением печатной бланочной продукции либо компьютерного оборудования) Ведомость учета кассовых оборотов по форме 0401744 (далее — ведомость по форме 0401744), предусмотренная Общероссийским классификатором управленческой документации (ОКУД), в разрезе символов Отчета, в тысячах рублей, по данным кассовых журналов. В ведомость по форме 0401744 не включаются операции, по которым в приходных и расходных кассовых ордерах и кассовых журналах поле “Символ” не заполняется, в частности:</w:t>
      </w:r>
    </w:p>
    <w:p>
      <w:pPr>
        <w:pStyle w:val="MainText"/>
        <w:rPr/>
      </w:pPr>
      <w:r>
        <w:rPr/>
        <w:t>по поступлению наличных денег от кассового работника, осуществляющего кассовое обслуживание населения в послеоперационное время кредитной организации или в выходные, нерабочие праздничные дни;</w:t>
      </w:r>
    </w:p>
    <w:p>
      <w:pPr>
        <w:pStyle w:val="MainText"/>
        <w:rPr/>
      </w:pPr>
      <w:r>
        <w:rPr/>
        <w:t>по поступлению наличных денег от инкассаторских работников, осуществляющих операции по доставке монеты клиентам в обмен на банкноты;</w:t>
      </w:r>
    </w:p>
    <w:p>
      <w:pPr>
        <w:pStyle w:val="MainText"/>
        <w:rPr/>
      </w:pPr>
      <w:r>
        <w:rPr/>
        <w:t>по выдаче наличных денег кассовому работнику авансом для осуществления кассового обслуживания населения в послеоперационное время кредитной организации или в выходные, нерабочие праздничные дни;</w:t>
      </w:r>
    </w:p>
    <w:p>
      <w:pPr>
        <w:pStyle w:val="MainText"/>
        <w:rPr/>
      </w:pPr>
      <w:r>
        <w:rPr/>
        <w:t>по выдаче наличных денег инкассаторским работникам для совершения операций по доставке монеты клиентам в обмен на банкноты.</w:t>
      </w:r>
    </w:p>
    <w:p>
      <w:pPr>
        <w:pStyle w:val="MainText"/>
        <w:rPr/>
      </w:pPr>
      <w:r>
        <w:rPr/>
        <w:t>В ведомости по форме 0401744 по каждому символу прихода и расхода выводятся итоги за день и за месяц. При этом ежедневные остатки кассы кредитной организации по символам 35 и 70 не суммируются. В Отчете по символу 35 отражается остаток в кассе кредитной организации на 1-е число отчетного месяца, а по символу 70 — остаток в кассе кредитной организации на конец дня последнего числа отчетного месяца.</w:t>
      </w:r>
    </w:p>
    <w:p>
      <w:pPr>
        <w:pStyle w:val="MainText"/>
        <w:rPr/>
      </w:pPr>
      <w:r>
        <w:rPr/>
        <w:t>Общие итоги по символам 02—39 и символам 40—77 ведомости по форме 0401744 за день и за месяц, за исключением сумм по символам 35 и 70, сверяются и должны совпадать с итогами оборотов по дебету и кредиту по операциям с наличными деньгами по балансовым счетам №№ 20202, 20206, 20207, за исключением оборотов (по операциям с наличными деньгами), не учитываемых в ведомости по форме 0401744.</w:t>
      </w:r>
    </w:p>
    <w:p>
      <w:pPr>
        <w:pStyle w:val="MainText"/>
        <w:rPr/>
      </w:pPr>
      <w:r>
        <w:rPr/>
        <w:t>III.3. Отражение в Отчете операций по покупке и продаже наличной иностранной валюты за наличные деньги и чеков, номинальная стоимость которых указана в иностранной валюте, по символам 30 и 57 осуществляется по данным Реестра операций с наличной валютой и чеками, предусмотренного Инструкцией Банка России от 28 апреля 2004 года № 113-И “О порядке открытия, закрытия, организации работы обменных пунктов и порядке осуществления уполномоченными банками отдельных видов банковских операций и иных сделок с наличной иностранной валютой и валютой Российской Федерации, чеками (в том числе дорожными чеками), номинальная стоимость которых указана в иностранной валюте, с участием физических лиц”, зарегистрированной Министерством юстиции Российской Федерации 2 июня 2004 года № 5824, 11 ноября 2005 года № 7158, 22 декабря 2006 года № 8664 (“Вестник Банка России” от 9 июня 2004 года № 33, от 23 ноября 2005 года № 62, от 28 декабря 2006 года № 74).</w:t>
      </w:r>
    </w:p>
    <w:p>
      <w:pPr>
        <w:pStyle w:val="MainText"/>
        <w:rPr/>
      </w:pPr>
      <w:r>
        <w:rPr/>
        <w:t>III.4. Символы 97 и 98 Отчета определяются посредством выборки операций по поступлению и выдаче наличных денег на счета (со счетов) некоммерческих организаций (исходя из содержания символов 97 и 98) из данных, учтенных в кассовых журналах по символам прихода и расхода.</w:t>
      </w:r>
    </w:p>
    <w:p>
      <w:pPr>
        <w:pStyle w:val="MainText"/>
        <w:rPr/>
      </w:pPr>
      <w:r>
        <w:rPr/>
        <w:t>Символ 99 Отчета определяется посредством выборки операций по поступлению наличных денег от организаций, не являющихся кредитными, и индивидуальных предпринимателей, осуществляющих прием платежей физических лиц в соответствии с Федеральным законом от 3 июня 2009 года № 121-ФЗ “О внесении изменений в отдельные законодательные акты Российской Федерации в связи с принятием Федерального закона “О деятельности по приему платежей физических лиц, осуществляемой платежными агентами” (Собрание законодательства Российской Федерации, 2009, № 23, ст. 2776; № 29, ст. 3599).</w:t>
      </w:r>
    </w:p>
    <w:p>
      <w:pPr>
        <w:pStyle w:val="MainText"/>
        <w:rPr/>
      </w:pPr>
      <w:r>
        <w:rPr/>
        <w:t>Символ 100 Отчета определяется посредством выборки операций по поступлению наличных денег от организаций, не являющихся кредитными, и индивидуальных предпринимателей, осуществляющих прием платежей физических лиц в соответствии с Федеральным законом от 3 июня 2009 года № 103-ФЗ “О деятельности по приему платежей физических лиц, осуществляемой платежными агентами” (Собрание законодательства Российской Федерации, 2009, № 23, ст. 2758).</w:t>
      </w:r>
    </w:p>
    <w:p>
      <w:pPr>
        <w:pStyle w:val="MainText"/>
        <w:rPr/>
      </w:pPr>
      <w:r>
        <w:rPr/>
        <w:t>III.5. Отчет представляется головными офисами и филиалами кредитных организаций в территориальные учреждения Банка России, осуществляющие надзор за их деятельностью:</w:t>
      </w:r>
    </w:p>
    <w:p>
      <w:pPr>
        <w:pStyle w:val="MainText"/>
        <w:rPr/>
      </w:pPr>
      <w:r>
        <w:rPr/>
        <w:t>кредитными организациями, за исключением крупных кредитных организаций с широкой сетью подразделений, — не позднее 3-го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6-го рабочего дня месяца, следующего за отчетным.</w:t>
      </w:r>
    </w:p>
    <w:p>
      <w:pPr>
        <w:pStyle w:val="MainText"/>
        <w:spacing w:before="0" w:after="120"/>
        <w:rPr/>
      </w:pPr>
      <w:r>
        <w:rPr/>
        <w:t>В случае установления фактов предоставления недостоверных отчетных данных кредитная организация, допустившая искажение отчетных данных, обязана произвести их исправление посредством повторного представления Отчета, содержащего исправленные значения показателей и соответствующие объяснения, в сроки, приведенные в Графике внесения исправлений в Отчет.</w:t>
      </w:r>
    </w:p>
    <w:tbl>
      <w:tblPr>
        <w:tblW w:w="10988" w:type="dxa"/>
        <w:jc w:val="center"/>
        <w:tblInd w:w="0" w:type="dxa"/>
        <w:tblLayout w:type="fixed"/>
        <w:tblCellMar>
          <w:top w:w="0" w:type="dxa"/>
          <w:start w:w="108" w:type="dxa"/>
          <w:bottom w:w="0" w:type="dxa"/>
          <w:end w:w="108" w:type="dxa"/>
        </w:tblCellMar>
      </w:tblPr>
      <w:tblGrid>
        <w:gridCol w:w="3794"/>
        <w:gridCol w:w="7194"/>
      </w:tblGrid>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Сроки, в которые вносятся исправления (в пределах текущего года)</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Отчетные даты (текущего, предыдущего года), за которые вносятся исправления</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января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Все отчетные даты предыдущего года с января по декабрь</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февраля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Январь текущего года</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марта</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Январь и февраль текущего года </w:t>
              <w:br/>
              <w:t>Все отчетные даты предыдущего года с января по декабрь</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апреля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Все отчетные даты I квартала текущего года с января по март</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мая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Апрель текущего года</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июня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Апрель и май текущего года</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июля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Все отчетные даты I полугодия текущего года с января по июнь</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августа</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Июль текущего года</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сентября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Июль и август текущего года</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октября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Все отчетные даты за 9 месяцев текущего года с января по сентябрь</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ноября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Октябрь текущего года</w:t>
            </w:r>
          </w:p>
        </w:tc>
      </w:tr>
      <w:tr>
        <w:trPr>
          <w:cantSplit/>
        </w:trPr>
        <w:tc>
          <w:tcPr>
            <w:tcW w:w="37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20—25 декабря</w:t>
            </w:r>
          </w:p>
        </w:tc>
        <w:tc>
          <w:tcPr>
            <w:tcW w:w="719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Октябрь и ноябрь текущего года</w:t>
            </w:r>
          </w:p>
        </w:tc>
      </w:tr>
    </w:tbl>
    <w:p>
      <w:pPr>
        <w:pStyle w:val="MainText"/>
        <w:spacing w:before="120" w:after="0"/>
        <w:rPr/>
      </w:pPr>
      <w:r>
        <w:rPr/>
        <w:t>III.6. Отчет, представляемый головными офисами, филиалами кредитных организаций, должен содержать данные о наличном денежном обороте в целом по головному офису, филиалам кредитной организации и, в случае наличия внутренних структурных подразделений, банкоматов и платежных терминалов, расположенных вне пределов территории, подведомственной территориальному учреждению Банка России, осуществляющему надзор за деятельностью кредитной организации, — сводные данные по указанным внутренним структурным подразделениям, банкоматам и платежным терминалам. Отчет представляется в разрезе субъектов Российской Федерации по коду территории, соответствующему первым пяти разрядам кода по Общероссийскому классификатору объектов административно-территориального деления (ОКАТО).</w:t>
      </w:r>
    </w:p>
    <w:p>
      <w:pPr>
        <w:pStyle w:val="MainText"/>
        <w:rPr/>
      </w:pPr>
      <w:r>
        <w:rPr/>
        <w:t>III.7. Подразделения крупной кредитной организации с широкой сетью подразделений представляют Отчет в соответствии с пунктом III.5 настоящего Порядка с учетом следующих особенностей.</w:t>
      </w:r>
    </w:p>
    <w:p>
      <w:pPr>
        <w:pStyle w:val="MainText"/>
        <w:rPr/>
      </w:pPr>
      <w:r>
        <w:rPr/>
        <w:t>III.7.1. Головной офис крупной кредитной организации с широкой сетью подразделений представляет сводный Отчет по головному офису и отделениям, расположенным на территории одного субъекта Российской Федерации, в территориальное учреждение Банка России, осуществляющее надзор за их деятельностью.</w:t>
      </w:r>
    </w:p>
    <w:p>
      <w:pPr>
        <w:pStyle w:val="MainText"/>
        <w:rPr/>
      </w:pPr>
      <w:r>
        <w:rPr/>
        <w:t>III.7.2. Территориальные банки крупной кредитной организации с широкой сетью подразделений представляют сводные Отчеты по территориальному банку и отделениям, расположенным на территории одного субъекта Российской Федерации, в территориальные учреждения Банка России, осуществляющие надзор за их деятельностью.</w:t>
      </w:r>
    </w:p>
    <w:p>
      <w:pPr>
        <w:pStyle w:val="MainText"/>
        <w:rPr/>
      </w:pPr>
      <w:r>
        <w:rPr/>
        <w:t>III.7.3. На территориях субъектов Российской Федерации, где отсутствует территориальный банк крупной кредитной организации с широкой сетью подразделений, сводные Отчеты по ее отделениям, расположенным на этой территории, представляются отделениями, на которые крупной кредитной организацией возложены функции по сбору и представлению сводной отчетности в территориальные учреждения Банка России, осуществляющие надзор за их деятельностью.</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СВЕДЕНИЯ ОБ ИМЕЮЩИХ ПРИЗНАКИ ПОДДЕЛКИ ДЕНЕЖНЫХ ЗНАКАХ, ПЕРЕДАННЫХ ТЕРРИТОРИАЛЬНЫМ ОРГАНАМ ВНУТРЕННИХ ДЕЛ</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120" w:after="60"/>
        <w:jc w:val="end"/>
        <w:rPr/>
      </w:pPr>
      <w:r>
        <w:rPr/>
        <w:t>Код формы по ОКУД 0409207</w:t>
        <w:br/>
        <w:t>На нерегулярной основе</w:t>
      </w:r>
    </w:p>
    <w:tbl>
      <w:tblPr>
        <w:tblW w:w="10989" w:type="dxa"/>
        <w:jc w:val="center"/>
        <w:tblInd w:w="0" w:type="dxa"/>
        <w:tblLayout w:type="fixed"/>
        <w:tblCellMar>
          <w:top w:w="0" w:type="dxa"/>
          <w:start w:w="108" w:type="dxa"/>
          <w:bottom w:w="0" w:type="dxa"/>
          <w:end w:w="108" w:type="dxa"/>
        </w:tblCellMar>
      </w:tblPr>
      <w:tblGrid>
        <w:gridCol w:w="959"/>
        <w:gridCol w:w="8788"/>
        <w:gridCol w:w="1242"/>
      </w:tblGrid>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87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Наименование показателя (реквизита) денежного знака</w:t>
            </w:r>
          </w:p>
        </w:tc>
        <w:tc>
          <w:tcPr>
            <w:tcW w:w="12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Значение показателя (реквизита)</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87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12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Код валюты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Дата выявления</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Место выявления</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Номинал</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Год образца (выпуска)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Сведения о банкнотах:</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Дополнительные реквизиты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Серия и номер</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Имитация водяного знака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Отсутствие имитации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Тиснение бескрасочной печатной формой</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Надпечатка краской на одну из сторон</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8.4</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Надпечатка краской между слоями бумаги (для многослойных банкнот)</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8.5</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Надпечатка маслоподобным веществом (пропитка)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8.6</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Приклейка бумажного фрагмента к одной из сторон</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8.7</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Гравировка бумаги (удаление верхнего слоя)</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способы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Имитация защитных волокон</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Отсутствие имитации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Надпечатка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Приклейка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9.4</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Перешли с оригинала в процессе копирования</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9.5</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Вклейка между слоями бумаги (для многослойных объектов)</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9.6</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способы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Имитация защитной нити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Отсутствие имитации защитной нити, расположенной в толще бумаги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Надпечатка краской на одну из сторон</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Надпечатка краской на внутренней поверхности одного из листов (для многослойных объектов)</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10.4</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Вклейка полимерной ленты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10.5</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Вклейка бумажной полосы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10.6</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Наклейка бумажной полосы на одну из сторон</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10.7</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Отсутствие имитации фрагментов защитной нити, расположенных на поверхности бумаги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10.8</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Надпечатка (надрисовка) расположенных на поверхности бумаги блестящих участков</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10.9</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Припрессовка фольги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10.10</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способы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Имитация микроперфорации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Способы имитации оптически переменной краски</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изменения цвета при повороте объекта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блеска</w:t>
            </w:r>
          </w:p>
        </w:tc>
        <w:tc>
          <w:tcPr>
            <w:tcW w:w="124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 </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Люминесценция красок в УФ-лучах</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Отсутствует</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Соответствует подлинным образцам</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 соответствует подлинным образцам</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Примененные полиграфические способы</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14.1</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Металлографский</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Плоский офсетный</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Высокий</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14.4</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Трафаретный</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15</w:t>
            </w:r>
          </w:p>
        </w:tc>
        <w:tc>
          <w:tcPr>
            <w:tcW w:w="87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pPr>
            <w:r>
              <w:rPr/>
              <w:t>Примененные репрографические способы</w:t>
            </w:r>
          </w:p>
        </w:tc>
        <w:tc>
          <w:tcPr>
            <w:tcW w:w="1242"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15.1</w:t>
            </w:r>
          </w:p>
        </w:tc>
        <w:tc>
          <w:tcPr>
            <w:tcW w:w="87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pPr>
            <w:r>
              <w:rPr/>
              <w:t>Электрофотография</w:t>
            </w:r>
          </w:p>
        </w:tc>
        <w:tc>
          <w:tcPr>
            <w:tcW w:w="1242"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15.2</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Струйная печать</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15.3</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репрографической печати без определения типа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Сведения о монете:</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Наименование монетного двора</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Наличие темного следа на бумаге</w:t>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878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Звук при ударе о твердую поверхность</w:t>
            </w:r>
          </w:p>
        </w:tc>
        <w:tc>
          <w:tcPr>
            <w:tcW w:w="124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 </w:t>
            </w:r>
          </w:p>
        </w:tc>
      </w:tr>
    </w:tbl>
    <w:p>
      <w:pPr>
        <w:pStyle w:val="MainTextBezOtstupa"/>
        <w:tabs>
          <w:tab w:val="clear" w:pos="720"/>
          <w:tab w:val="left" w:pos="4564" w:leader="none"/>
        </w:tabs>
        <w:spacing w:before="120" w:after="0"/>
        <w:rPr/>
      </w:pPr>
      <w:r>
        <w:rPr/>
        <w:t>Заведующий кассой (кассовый работник)</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color w:val="000000"/>
        </w:rPr>
        <w:t>Порядок составления и представления отчетности по форме 0409207 “Сведения об имеющих признаки подделки денежных знаках, переданных территориальным органам внутренних дел”</w:t>
      </w:r>
    </w:p>
    <w:p>
      <w:pPr>
        <w:pStyle w:val="MainText"/>
        <w:rPr/>
      </w:pPr>
      <w:r>
        <w:rPr/>
        <w:t>1. Отчетность по форме 0409207 “Сведения об имеющих признаки подделки денежных знаках, переданных территориальным органам внутренних дел” (далее — Отчет) составляется кредитной организацией (ее филиалом), открытыми в соответствии с нормативными актами Банка России внутренними структурными подразделениями кредитной организации (ее филиала) (далее — ВСП) в случае передачи имеющих признаки подделки банкнот и монет Банка России или банкнот иностранных государств (группы иностранных государств) (далее — денежные знаки) работникам территориальных органов внутренних дел. Отчет составляется отдельно на каждую имеющую признаки подделки банкноту или монету.</w:t>
      </w:r>
    </w:p>
    <w:p>
      <w:pPr>
        <w:pStyle w:val="MainText"/>
        <w:rPr/>
      </w:pPr>
      <w:r>
        <w:rPr/>
        <w:t>2. ВСП в течение 5 рабочих дней со дня выявления имеющих признаки подделки денежных знаков представляет Отчет в кредитную организацию (ее филиал). Кредитная организация (ее филиал) не позднее 5 рабочих дней со дня выявления имеющих признаки подделки денежных знаков и (или) получения Отчета от ВСП представляет Отчет в территориальное учреждение Банка России, осуществляющее надзор за ее (его) деятельностью.</w:t>
      </w:r>
    </w:p>
    <w:p>
      <w:pPr>
        <w:pStyle w:val="MainText"/>
        <w:rPr/>
      </w:pPr>
      <w:r>
        <w:rPr/>
        <w:t>3. В строке 1 Отчета указываются цифровые коды валют в соответствии с Общероссийским классификатором валют (ОКВ).</w:t>
      </w:r>
    </w:p>
    <w:p>
      <w:pPr>
        <w:pStyle w:val="MainText"/>
        <w:rPr/>
      </w:pPr>
      <w:r>
        <w:rPr/>
        <w:t>4. В строке 2 Отчета указывается дата выявления денежного знака, имеющего признаки подделки, в формате дд.мм.гггг, где “дд” — день, “мм” — месяц, “гггг” — год.</w:t>
      </w:r>
    </w:p>
    <w:p>
      <w:pPr>
        <w:pStyle w:val="MainText"/>
        <w:rPr/>
      </w:pPr>
      <w:r>
        <w:rPr/>
        <w:t>5. В строке 3 Отчета указываются код территории по Общероссийскому классификатору объектов административно-территориального деления (ОКАТО), на которой находится ВСП, выявившее денежный знак, имеющий признаки подделки.</w:t>
      </w:r>
    </w:p>
    <w:p>
      <w:pPr>
        <w:pStyle w:val="MainText"/>
        <w:rPr/>
      </w:pPr>
      <w:r>
        <w:rPr/>
        <w:t>6. В строке 4 Отчета указывается номинал денежного знака цифрами.</w:t>
      </w:r>
    </w:p>
    <w:p>
      <w:pPr>
        <w:pStyle w:val="MainText"/>
        <w:rPr/>
      </w:pPr>
      <w:r>
        <w:rPr/>
        <w:t>7. В строке 5 Отчета указываются год образца и, если имеется, год выпуска денежного знака, например, для банкноты Банка России модификации 2004 года в строке 5 указывается: 1997 (2004).</w:t>
      </w:r>
    </w:p>
    <w:p>
      <w:pPr>
        <w:pStyle w:val="MainText"/>
        <w:rPr/>
      </w:pPr>
      <w:r>
        <w:rPr/>
        <w:t>8. В строке 6 Отчета указываются дополнительные реквизиты: для имеющих признаки подделки банкнот США — наименование банка-эмитента, чековая буква, номер квадранта, номер клише лицевой стороны, номер клише оборотной стороны (в указанном порядке); для имеющих признаки подделки банкнот стран — членов Европейского союза — буквенно-цифровая метка.</w:t>
      </w:r>
    </w:p>
    <w:p>
      <w:pPr>
        <w:pStyle w:val="MainText"/>
        <w:rPr/>
      </w:pPr>
      <w:r>
        <w:rPr/>
        <w:t>9. В строке 7 Отчета указываются серия и номер имеющей признаки подделки банкноты.</w:t>
      </w:r>
    </w:p>
    <w:p>
      <w:pPr>
        <w:pStyle w:val="MainText"/>
        <w:rPr/>
      </w:pPr>
      <w:r>
        <w:rPr/>
        <w:t>10. Строки 8.1—8.7, 9.1—9.5, 10.1—10.9, 11—15.3 Отчета заполняются путем проставления знака “+” напротив характерных признаков подделки, присутствующих на имеющей признаки подделки банкноте.</w:t>
      </w:r>
    </w:p>
    <w:p>
      <w:pPr>
        <w:pStyle w:val="MainText"/>
        <w:rPr/>
      </w:pPr>
      <w:r>
        <w:rPr/>
        <w:t>11. Строки 8.8, 9.6, 10.10 Отчета заполняются в том случае, если описание характерных признаков подделки отсутствует в строках 8.1—8.7, 9.1—9.5, 10.1—10.9 Отчета соответственно.</w:t>
      </w:r>
    </w:p>
    <w:p>
      <w:pPr>
        <w:pStyle w:val="MainText"/>
        <w:rPr/>
      </w:pPr>
      <w:r>
        <w:rPr/>
        <w:t>12. Если имитация характерного признака подделки выполнена комбинацией нескольких способов (например, имитация водяного знака — тиснением бескрасочной печатной формой и надпечаткой маслоподобным веществом), то знак “+” проставляется напротив нескольких соответствующих позиций в строках 8—10.10, 12.1, 12.2 Отчета.</w:t>
      </w:r>
    </w:p>
    <w:p>
      <w:pPr>
        <w:pStyle w:val="MainText"/>
        <w:spacing w:before="0" w:after="120"/>
        <w:rPr/>
      </w:pPr>
      <w:r>
        <w:rPr/>
        <w:t>13. Строка 14 Отчета заполняется на основании сведений, приведенных в таблице:</w:t>
      </w:r>
    </w:p>
    <w:tbl>
      <w:tblPr>
        <w:tblW w:w="10972" w:type="dxa"/>
        <w:jc w:val="center"/>
        <w:tblInd w:w="0" w:type="dxa"/>
        <w:tblLayout w:type="fixed"/>
        <w:tblCellMar>
          <w:top w:w="0" w:type="dxa"/>
          <w:start w:w="28" w:type="dxa"/>
          <w:bottom w:w="0" w:type="dxa"/>
          <w:end w:w="28" w:type="dxa"/>
        </w:tblCellMar>
      </w:tblPr>
      <w:tblGrid>
        <w:gridCol w:w="808"/>
        <w:gridCol w:w="1560"/>
        <w:gridCol w:w="1134"/>
        <w:gridCol w:w="1418"/>
        <w:gridCol w:w="6052"/>
      </w:tblGrid>
      <w:tr>
        <w:trPr>
          <w:cantSplit/>
        </w:trPr>
        <w:tc>
          <w:tcPr>
            <w:tcW w:w="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15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Способ печати</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Деформация бумаги</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Толщина красочного слоя</w:t>
            </w:r>
          </w:p>
        </w:tc>
        <w:tc>
          <w:tcPr>
            <w:tcW w:w="60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Особенности</w:t>
            </w:r>
          </w:p>
        </w:tc>
      </w:tr>
      <w:tr>
        <w:trPr>
          <w:cantSplit/>
        </w:trPr>
        <w:tc>
          <w:tcPr>
            <w:tcW w:w="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5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60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r>
      <w:tr>
        <w:trPr>
          <w:cantSplit/>
        </w:trPr>
        <w:tc>
          <w:tcPr>
            <w:tcW w:w="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56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Металлографский</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Выпуклая</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Очень большая</w:t>
            </w:r>
          </w:p>
        </w:tc>
        <w:tc>
          <w:tcPr>
            <w:tcW w:w="60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краю штриха</w:t>
            </w:r>
            <w:r>
              <w:rPr>
                <w:sz w:val="16"/>
                <w:vertAlign w:val="superscript"/>
              </w:rPr>
              <w:t>1</w:t>
            </w:r>
            <w:r>
              <w:rPr>
                <w:sz w:val="16"/>
              </w:rPr>
              <w:t xml:space="preserve"> заметны “усики” — следы выдавливания краски</w:t>
            </w:r>
          </w:p>
        </w:tc>
      </w:tr>
      <w:tr>
        <w:trPr>
          <w:cantSplit/>
        </w:trPr>
        <w:tc>
          <w:tcPr>
            <w:tcW w:w="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56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Плоский офсетный</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Отсутствует</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Малая</w:t>
            </w:r>
          </w:p>
        </w:tc>
        <w:tc>
          <w:tcPr>
            <w:tcW w:w="60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Край штриха ровный, слегка размытый</w:t>
            </w:r>
          </w:p>
        </w:tc>
      </w:tr>
      <w:tr>
        <w:trPr>
          <w:cantSplit/>
        </w:trPr>
        <w:tc>
          <w:tcPr>
            <w:tcW w:w="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56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Высокий</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Вдавленная</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Средняя</w:t>
            </w:r>
          </w:p>
        </w:tc>
        <w:tc>
          <w:tcPr>
            <w:tcW w:w="60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центре штриха краски меньше, чем по краям — имеется хорошо заметный “красочный бортик”</w:t>
            </w:r>
          </w:p>
        </w:tc>
      </w:tr>
      <w:tr>
        <w:trPr>
          <w:cantSplit/>
        </w:trPr>
        <w:tc>
          <w:tcPr>
            <w:tcW w:w="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56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Трафаретный</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Отсутствует</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Большая</w:t>
            </w:r>
          </w:p>
        </w:tc>
        <w:tc>
          <w:tcPr>
            <w:tcW w:w="60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Край штриха имеет “пилообразную” форму</w:t>
            </w:r>
          </w:p>
        </w:tc>
      </w:tr>
    </w:tbl>
    <w:p>
      <w:pPr>
        <w:pStyle w:val="MainText"/>
        <w:spacing w:before="120" w:after="0"/>
        <w:rPr/>
      </w:pPr>
      <w:r>
        <w:rPr/>
        <w:t>14. Если имитация изображения на имеющей признаки подделки банкноте выполнена несколькими способами печати, то знак “+” проставляется напротив нескольких соответствующих позиций в строках 14—15.3 Отчета.</w:t>
      </w:r>
    </w:p>
    <w:p>
      <w:pPr>
        <w:pStyle w:val="MainText"/>
        <w:rPr/>
      </w:pPr>
      <w:r>
        <w:rPr/>
        <w:t>15. В строке 16 Отчета проставляется сокращенное фирменное наименование монетного двора, указанное на имеющей признаки подделки монете.</w:t>
      </w:r>
    </w:p>
    <w:p>
      <w:pPr>
        <w:pStyle w:val="MainText"/>
        <w:rPr/>
      </w:pPr>
      <w:r>
        <w:rPr/>
        <w:t>16. В строке 17 Отчета проставляется знак “+” при наличии темного следа на бумаге.</w:t>
      </w:r>
    </w:p>
    <w:p>
      <w:pPr>
        <w:pStyle w:val="MainText"/>
        <w:spacing w:before="0" w:after="120"/>
        <w:rPr/>
      </w:pPr>
      <w:r>
        <w:rPr/>
        <w:t>17. При заполнении строки 18 Отчета указывается, глухой или звонкий звук возникает при ударе монеты о твердую поверхность.</w:t>
      </w:r>
    </w:p>
    <w:p>
      <w:pPr>
        <w:pStyle w:val="SnoskaLineTab"/>
        <w:keepLines w:val="false"/>
        <w:pBdr>
          <w:top w:val="single" w:sz="6" w:space="1" w:color="000000"/>
        </w:pBdr>
        <w:rPr/>
      </w:pPr>
      <w:r>
        <w:rPr>
          <w:vertAlign w:val="superscript"/>
        </w:rPr>
        <w:t>1</w:t>
      </w:r>
      <w:r>
        <w:rPr/>
        <w:t> Здесь и далее в графе 5 под “штрихом” понимаются линии, составляющие изображение на банкноте.</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0"/>
        <w:rPr/>
      </w:pPr>
      <w:r>
        <w:rPr>
          <w:color w:val="000000"/>
        </w:rPr>
        <w:t xml:space="preserve">ИНФОРМАЦИЯ О ПРОВЕРКАХ СОБЛЮДЕНИЯ ОРГАНИЗАЦИЯМИ </w:t>
        <w:br/>
        <w:t xml:space="preserve">ПОРЯДКА ВЕДЕНИЯ КАССОВЫХ ОПЕРАЦИЙ </w:t>
        <w:br/>
        <w:t>И РАБОТЫ С НАЛИЧНЫМИ ДЕНЬГАМИ</w:t>
        <w:br/>
        <w:t>за __________________ г.</w:t>
      </w:r>
    </w:p>
    <w:p>
      <w:pPr>
        <w:pStyle w:val="MainTextBezOtstupa"/>
        <w:spacing w:before="0" w:after="227"/>
        <w:ind w:start="71" w:end="0"/>
        <w:jc w:val="center"/>
        <w:rPr/>
      </w:pPr>
      <w:r>
        <w:rPr/>
        <w:t>(отчетный год)</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120" w:after="60"/>
        <w:jc w:val="end"/>
        <w:rPr/>
      </w:pPr>
      <w:r>
        <w:rPr/>
        <w:t>Код формы по ОКУД 0409212</w:t>
        <w:br/>
        <w:t>Годовая</w:t>
      </w:r>
    </w:p>
    <w:tbl>
      <w:tblPr>
        <w:tblW w:w="10989" w:type="dxa"/>
        <w:jc w:val="center"/>
        <w:tblInd w:w="0" w:type="dxa"/>
        <w:tblLayout w:type="fixed"/>
        <w:tblCellMar>
          <w:top w:w="0" w:type="dxa"/>
          <w:start w:w="108" w:type="dxa"/>
          <w:bottom w:w="0" w:type="dxa"/>
          <w:end w:w="108" w:type="dxa"/>
        </w:tblCellMar>
      </w:tblPr>
      <w:tblGrid>
        <w:gridCol w:w="959"/>
        <w:gridCol w:w="8363"/>
        <w:gridCol w:w="1667"/>
      </w:tblGrid>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показателя</w:t>
            </w:r>
          </w:p>
        </w:tc>
        <w:tc>
          <w:tcPr>
            <w:tcW w:w="16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Проверки, проведенные кредитной организацией (ее филиалом)</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6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I</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Проверки соблюдения организациями порядка ведения кассовых операций и работы с наличными деньгами</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Количество обслуживаемых организаций</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Количество контролируемых организаций, </w:t>
              <w:br/>
              <w:t>в том числе:</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количество контролируемых организаций, закрывших соответствующие счета</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Установлены лимиты остатков наличных денег (количество организаций)</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установленных лимитов остатков наличных денег (тыс. руб.)</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Фактически проверено (количество организаций)</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Допущено нарушений (количество организаций)</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Сумма нарушений (тыс. руб.), </w:t>
              <w:br/>
              <w:t>в том числе:</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превышение лимитов остатков наличных денег</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несоблюдение предельного размера расчетов наличными деньгами</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неоприходование (неполное оприходование) наличных денег</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 нарушения (количество организаций):</w:t>
            </w:r>
          </w:p>
        </w:tc>
        <w:tc>
          <w:tcPr>
            <w:tcW w:w="16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Х</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расходование наличных денег, поступивших за проданные товары, выполненные работы и оказанные услуги, без согласования с кредитной организацией</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8.2</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несоблюдение согласованных с кредитной организацией условий расходования наличных денег, поступивших за проданные товары, выполненные работы и оказанные услуги</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8.3</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расходование наличных денег, принятых от физических лиц в качестве платежей в пользу иных лиц</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8.4</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ненадлежащее оформление кассовых документов и книг, ведущихся для учета кассовых операций</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II</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Меры, принятые по результатам проверок</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w:t>
            </w:r>
          </w:p>
        </w:tc>
        <w:tc>
          <w:tcPr>
            <w:tcW w:w="83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Направлено сведений налоговым органам (количество организаций)</w:t>
            </w:r>
          </w:p>
        </w:tc>
        <w:tc>
          <w:tcPr>
            <w:tcW w:w="16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0409212 “Информация о проверках соблюдения организациями порядка ведения кассовых операций и работы с наличными деньгами”</w:t>
      </w:r>
    </w:p>
    <w:p>
      <w:pPr>
        <w:pStyle w:val="MainText"/>
        <w:rPr/>
      </w:pPr>
      <w:r>
        <w:rPr/>
        <w:t>Отчетность по форме 0409212 “Информация о проверках соблюдения организациями порядка ведения кассовых операций и работы с наличными деньгами” (далее — Отчет) составляется кредитными организациями (их филиалами) за отчетный год и представляется в соответствии с их местом нахождения в территориальные учреждения Банка России в порядке и в сроки, устанавливаемые территориальными учреждениями Банка России.</w:t>
      </w:r>
    </w:p>
    <w:p>
      <w:pPr>
        <w:pStyle w:val="MainText"/>
        <w:rPr/>
      </w:pPr>
      <w:r>
        <w:rPr/>
        <w:t>В Отчете отражаются сведения о проверках соблюдения организациями порядка ведения кассовых операций и работы с наличными деньгами, произведенных кредитными организациями (их филиалами).</w:t>
      </w:r>
    </w:p>
    <w:p>
      <w:pPr>
        <w:pStyle w:val="MainText"/>
        <w:rPr/>
      </w:pPr>
      <w:r>
        <w:rPr/>
        <w:t>Числовые значения, отражаемые в Отчете в тысячах рублей, приводятся с точностью до одного знака после запятой.</w:t>
      </w:r>
    </w:p>
    <w:p>
      <w:pPr>
        <w:pStyle w:val="MainText"/>
        <w:rPr/>
      </w:pPr>
      <w:r>
        <w:rPr/>
        <w:t>По строке 1 Отчета указывается количество контролируемых и неконтролируемых организаций, которым в кредитных организациях (их филиалах) открыты (закрыты) соответствующие счета.</w:t>
      </w:r>
    </w:p>
    <w:p>
      <w:pPr>
        <w:pStyle w:val="MainText"/>
        <w:rPr/>
      </w:pPr>
      <w:r>
        <w:rPr/>
        <w:t>По строке 2 Отчета не отражаются организации, которые не контролируются кредитными организациями (их филиалами) по вопросам соблюдения порядка ведения кассовых операций и работы с наличными деньгами, организации, по счетам которых осуществлялись операции в безналичном порядке, а также организации, по счетам которых не осуществлялись операции по внесению, получению наличных денег со своих банковских счетов в течение года, определяемого с даты проведения последней операции по внесению, получению наличных денег.</w:t>
      </w:r>
    </w:p>
    <w:p>
      <w:pPr>
        <w:pStyle w:val="MainText"/>
        <w:rPr/>
      </w:pPr>
      <w:r>
        <w:rPr/>
        <w:t>Если организации в одной кредитной организации открыто несколько счетов, по строкам 1, 2 и 2.1 Отчета эта организация показывается как одна единица.</w:t>
      </w:r>
    </w:p>
    <w:p>
      <w:pPr>
        <w:pStyle w:val="MainText"/>
        <w:rPr/>
      </w:pPr>
      <w:r>
        <w:rPr/>
        <w:t>По строкам 3 и 4 Отчета отражаются данные о количестве организаций из числа контролируемых (включая организации, которым установлен нулевой лимит остатка наличных денег) и сумме установленных лимитов остатков наличных денег организациям без учета уведомлений организаций об установленных им лимитах остатков наличных денег другими кредитными организациями (их филиалами).</w:t>
      </w:r>
    </w:p>
    <w:p>
      <w:pPr>
        <w:pStyle w:val="MainText"/>
        <w:rPr/>
      </w:pPr>
      <w:r>
        <w:rPr/>
        <w:t>По строке 5 Отчета отражается количество фактически проверенных организаций, включая контролируемые организации, закрывшие соответствующие счета.</w:t>
      </w:r>
    </w:p>
    <w:p>
      <w:pPr>
        <w:pStyle w:val="MainText"/>
        <w:rPr/>
      </w:pPr>
      <w:r>
        <w:rPr/>
        <w:t>По строке 6 Отчета отражаются данные о количестве организаций, допустивших нарушения, указанные в строках 7.1, 7.2, 7.3 Отчета, за совершение которых статьей 15.1 Кодекса Российской Федерации об административных правонарушениях (Собрание законодательства Российской Федерации, 2002, № 1, ст. 1) предусмотрены меры административной ответственности.</w:t>
      </w:r>
    </w:p>
    <w:p>
      <w:pPr>
        <w:pStyle w:val="MainText"/>
        <w:rPr/>
      </w:pPr>
      <w:r>
        <w:rPr/>
        <w:t>По строкам 7.1, 7.2, 7.3 Отчета проставляется сумма нарушений на основании сведений соответствующих разделов Справки о результатах проверки соблюдения предприятием порядка работы с денежной наличностью по форме 0408026, предусмотренной Общероссийским классификатором управленческой документации (ОКУД).</w:t>
      </w:r>
    </w:p>
    <w:p>
      <w:pPr>
        <w:pStyle w:val="MainText"/>
        <w:rPr/>
      </w:pPr>
      <w:r>
        <w:rPr/>
        <w:t>По строке 7.2 Отчета отражается сумма превышения предельного размера расчетов наличными деньгами.</w:t>
      </w:r>
    </w:p>
    <w:p>
      <w:pPr>
        <w:pStyle w:val="MainText"/>
        <w:rPr/>
      </w:pPr>
      <w:r>
        <w:rPr/>
        <w:t>По строке 7.3 Отчета отражается сумма неоприходованных (не полностью оприходованных) в кассовой книге наличных денег, полученных в кредитных организациях (их филиалах) и из других источников (за исключением наличных денег, полученных за проданные товары, выполненные работы и оказанные услуги).</w:t>
      </w:r>
    </w:p>
    <w:p>
      <w:pPr>
        <w:pStyle w:val="MainText"/>
        <w:rPr/>
      </w:pPr>
      <w:r>
        <w:rPr/>
        <w:t>По строке 8.3 Отчета отражаются данные о количестве организаций, которые нарушают требования, установленные абзацем вторым пункта 2 Указания Банка России от 20 июня 2007 года № 1843-У “О предельном размере расчетов наличными деньгами и расходовании наличных денег, поступивших в кассу юридического лица или кассу индивидуального предпринимателя”, зарегистрированного Министерством юстиции Российской Федерации 5 июля 2007 года № 9757, 19 мая 2008 года № 11707 (“Вестник Банка России” от 11 июля 2007 года № 39, от 28 мая 2008 года № 25).</w:t>
      </w:r>
    </w:p>
    <w:p>
      <w:pPr>
        <w:pStyle w:val="MainText"/>
        <w:rPr/>
      </w:pPr>
      <w:r>
        <w:rPr/>
        <w:t>По строке 9 Отчета отражается количество организаций, сведения о результатах проверок которых (включая повторные проверки) направлены налоговым органам.</w:t>
      </w:r>
    </w:p>
    <w:p>
      <w:pPr>
        <w:pStyle w:val="MainText"/>
        <w:rPr/>
      </w:pPr>
      <w:r>
        <w:rPr/>
        <w:t>По строкам 5, 6, 8.1—8.4, 9 Отчета организации, проверенные в отчетном периоде неоднократно, указываются как одна единица.</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ОБ ОПЕРАЦИЯХ С ИСПОЛЬЗОВАНИЕМ ПЛАТЕЖНЫХ КАРТ И ИНФРАСТРУКТУРЕ, </w:t>
        <w:br/>
        <w:t xml:space="preserve">ПРЕДНАЗНАЧЕННОЙ ДЛЯ СОВЕРШЕНИЯ С ИСПОЛЬЗОВАНИЕМ И БЕЗ ИСПОЛЬЗОВАНИЯ ПЛАТЕЖНЫХ КАРТ </w:t>
        <w:br/>
        <w:t xml:space="preserve">ОПЕРАЦИЙ ВЫДАЧИ (ПРИЕМА) НАЛИЧНЫХ ДЕНЕЖНЫХ СРЕДСТВ И ПЛАТЕЖЕЙ ЗА ТОВАРЫ (РАБОТЫ, УСЛУГИ) </w:t>
        <w:br/>
        <w:t>по состоянию на “</w:t>
      </w:r>
      <w:r>
        <w:rPr/>
        <w:t>___” 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jc w:val="end"/>
        <w:rPr/>
      </w:pPr>
      <w:r>
        <w:rPr/>
        <w:t>Код формы по ОКУД 0409250</w:t>
        <w:br/>
        <w:t>Квартальная</w:t>
      </w:r>
    </w:p>
    <w:p>
      <w:pPr>
        <w:pStyle w:val="MainTextBezOtstupa"/>
        <w:tabs>
          <w:tab w:val="clear" w:pos="720"/>
          <w:tab w:val="left" w:pos="907" w:leader="none"/>
        </w:tabs>
        <w:spacing w:before="0" w:after="120"/>
        <w:ind w:hanging="907" w:start="907" w:end="0"/>
        <w:jc w:val="start"/>
        <w:rPr/>
      </w:pPr>
      <w:r>
        <w:rPr/>
        <w:t>Раздел I.</w:t>
        <w:tab/>
        <w:t>Сведения о платежах за товары (работы, услуги) и получении наличных денег с использованием банковских карт, эмитированных кредитной организацией (ее филиалом)</w:t>
      </w:r>
    </w:p>
    <w:tbl>
      <w:tblPr>
        <w:tblW w:w="16247" w:type="dxa"/>
        <w:jc w:val="center"/>
        <w:tblInd w:w="0" w:type="dxa"/>
        <w:tblLayout w:type="fixed"/>
        <w:tblCellMar>
          <w:top w:w="0" w:type="dxa"/>
          <w:start w:w="28" w:type="dxa"/>
          <w:bottom w:w="0" w:type="dxa"/>
          <w:end w:w="28" w:type="dxa"/>
        </w:tblCellMar>
      </w:tblPr>
      <w:tblGrid>
        <w:gridCol w:w="515"/>
        <w:gridCol w:w="988"/>
        <w:gridCol w:w="1703"/>
        <w:gridCol w:w="849"/>
        <w:gridCol w:w="760"/>
        <w:gridCol w:w="1085"/>
        <w:gridCol w:w="711"/>
        <w:gridCol w:w="1134"/>
        <w:gridCol w:w="737"/>
        <w:gridCol w:w="680"/>
        <w:gridCol w:w="737"/>
        <w:gridCol w:w="680"/>
        <w:gridCol w:w="737"/>
        <w:gridCol w:w="680"/>
        <w:gridCol w:w="737"/>
        <w:gridCol w:w="680"/>
        <w:gridCol w:w="737"/>
        <w:gridCol w:w="680"/>
        <w:gridCol w:w="737"/>
        <w:gridCol w:w="680"/>
      </w:tblGrid>
      <w:tr>
        <w:trPr>
          <w:tblHeader w:val="true"/>
          <w:cantSplit/>
        </w:trPr>
        <w:tc>
          <w:tcPr>
            <w:tcW w:w="515"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Номер строки</w:t>
            </w:r>
          </w:p>
        </w:tc>
        <w:tc>
          <w:tcPr>
            <w:tcW w:w="988"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Код территории, где клиенту выдана</w:t>
            </w:r>
          </w:p>
        </w:tc>
        <w:tc>
          <w:tcPr>
            <w:tcW w:w="1703"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Наименование и код платежной системы с использованием</w:t>
            </w:r>
          </w:p>
        </w:tc>
        <w:tc>
          <w:tcPr>
            <w:tcW w:w="849"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Количество клиентов, ед.</w:t>
            </w:r>
          </w:p>
        </w:tc>
        <w:tc>
          <w:tcPr>
            <w:tcW w:w="1845"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Количество банковских карт, шт.</w:t>
            </w:r>
          </w:p>
        </w:tc>
        <w:tc>
          <w:tcPr>
            <w:tcW w:w="1845"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Сумма операций, совершенных держателями банковских карт, тыс. руб.</w:t>
            </w:r>
          </w:p>
        </w:tc>
        <w:tc>
          <w:tcPr>
            <w:tcW w:w="2834"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Получение наличных денег</w:t>
            </w:r>
          </w:p>
        </w:tc>
        <w:tc>
          <w:tcPr>
            <w:tcW w:w="2834"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Платежи за товары (работы, услуги)</w:t>
            </w:r>
          </w:p>
        </w:tc>
        <w:tc>
          <w:tcPr>
            <w:tcW w:w="1417"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Таможенные платежи</w:t>
            </w:r>
          </w:p>
        </w:tc>
        <w:tc>
          <w:tcPr>
            <w:tcW w:w="1417"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Прочие операции</w:t>
            </w:r>
          </w:p>
        </w:tc>
      </w:tr>
      <w:tr>
        <w:trPr>
          <w:tblHeader w:val="true"/>
          <w:cantSplit/>
        </w:trPr>
        <w:tc>
          <w:tcPr>
            <w:tcW w:w="515" w:type="dxa"/>
            <w:tcBorders>
              <w:start w:val="single" w:sz="6" w:space="0" w:color="000000"/>
              <w:end w:val="single" w:sz="6" w:space="0" w:color="000000"/>
            </w:tcBorders>
          </w:tcPr>
          <w:p>
            <w:pPr>
              <w:pStyle w:val="MainText"/>
              <w:keepNext w:val="true"/>
              <w:snapToGrid w:val="false"/>
              <w:ind w:hanging="0" w:end="0"/>
              <w:jc w:val="center"/>
              <w:rPr>
                <w:sz w:val="12"/>
              </w:rPr>
            </w:pPr>
            <w:r>
              <w:rPr>
                <w:rFonts w:cs="Arial"/>
                <w:sz w:val="12"/>
              </w:rPr>
            </w:r>
          </w:p>
        </w:tc>
        <w:tc>
          <w:tcPr>
            <w:tcW w:w="988" w:type="dxa"/>
            <w:tcBorders>
              <w:start w:val="single" w:sz="6" w:space="0" w:color="000000"/>
              <w:end w:val="single" w:sz="6" w:space="0" w:color="000000"/>
            </w:tcBorders>
          </w:tcPr>
          <w:p>
            <w:pPr>
              <w:pStyle w:val="MainText"/>
              <w:keepNext w:val="true"/>
              <w:ind w:hanging="0" w:end="0"/>
              <w:jc w:val="center"/>
              <w:rPr>
                <w:sz w:val="12"/>
              </w:rPr>
            </w:pPr>
            <w:r>
              <w:rPr>
                <w:sz w:val="12"/>
              </w:rPr>
              <w:t>банковская карта</w:t>
            </w:r>
          </w:p>
        </w:tc>
        <w:tc>
          <w:tcPr>
            <w:tcW w:w="1703" w:type="dxa"/>
            <w:tcBorders>
              <w:start w:val="single" w:sz="6" w:space="0" w:color="000000"/>
              <w:end w:val="single" w:sz="6" w:space="0" w:color="000000"/>
            </w:tcBorders>
          </w:tcPr>
          <w:p>
            <w:pPr>
              <w:pStyle w:val="MainText"/>
              <w:keepNext w:val="true"/>
              <w:ind w:hanging="0" w:end="0"/>
              <w:jc w:val="center"/>
              <w:rPr>
                <w:sz w:val="12"/>
              </w:rPr>
            </w:pPr>
            <w:r>
              <w:rPr>
                <w:sz w:val="12"/>
              </w:rPr>
              <w:t>платежных карт</w:t>
            </w:r>
          </w:p>
        </w:tc>
        <w:tc>
          <w:tcPr>
            <w:tcW w:w="849" w:type="dxa"/>
            <w:tcBorders>
              <w:start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60"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по состоянию</w:t>
            </w:r>
          </w:p>
        </w:tc>
        <w:tc>
          <w:tcPr>
            <w:tcW w:w="1085"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с использованием которых</w:t>
            </w:r>
          </w:p>
        </w:tc>
        <w:tc>
          <w:tcPr>
            <w:tcW w:w="711"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за счет их денежных</w:t>
            </w:r>
          </w:p>
        </w:tc>
        <w:tc>
          <w:tcPr>
            <w:tcW w:w="1134"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за счет предоставленного</w:t>
            </w:r>
          </w:p>
        </w:tc>
        <w:tc>
          <w:tcPr>
            <w:tcW w:w="1417"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в Российской Федерации</w:t>
            </w:r>
          </w:p>
        </w:tc>
        <w:tc>
          <w:tcPr>
            <w:tcW w:w="1417"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за рубежом</w:t>
            </w:r>
          </w:p>
        </w:tc>
        <w:tc>
          <w:tcPr>
            <w:tcW w:w="1417"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в Российской Федерации</w:t>
            </w:r>
          </w:p>
        </w:tc>
        <w:tc>
          <w:tcPr>
            <w:tcW w:w="1417"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за рубежом</w:t>
            </w:r>
          </w:p>
        </w:tc>
        <w:tc>
          <w:tcPr>
            <w:tcW w:w="737"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количество, ед.</w:t>
            </w:r>
          </w:p>
        </w:tc>
        <w:tc>
          <w:tcPr>
            <w:tcW w:w="680"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сумма, тыс. руб.</w:t>
            </w:r>
          </w:p>
        </w:tc>
        <w:tc>
          <w:tcPr>
            <w:tcW w:w="737"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количество, ед.</w:t>
            </w:r>
          </w:p>
        </w:tc>
        <w:tc>
          <w:tcPr>
            <w:tcW w:w="680" w:type="dxa"/>
            <w:tcBorders>
              <w:top w:val="single" w:sz="6" w:space="0" w:color="000000"/>
              <w:start w:val="single" w:sz="6" w:space="0" w:color="000000"/>
              <w:end w:val="single" w:sz="6" w:space="0" w:color="000000"/>
            </w:tcBorders>
          </w:tcPr>
          <w:p>
            <w:pPr>
              <w:pStyle w:val="MainText"/>
              <w:keepNext w:val="true"/>
              <w:ind w:hanging="0" w:end="0"/>
              <w:jc w:val="center"/>
              <w:rPr>
                <w:sz w:val="12"/>
              </w:rPr>
            </w:pPr>
            <w:r>
              <w:rPr>
                <w:sz w:val="12"/>
              </w:rPr>
              <w:t>сумма, тыс. руб.</w:t>
            </w:r>
          </w:p>
        </w:tc>
      </w:tr>
      <w:tr>
        <w:trPr>
          <w:tblHeader w:val="true"/>
          <w:cantSplit/>
        </w:trPr>
        <w:tc>
          <w:tcPr>
            <w:tcW w:w="51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rFonts w:cs="Arial"/>
                <w:sz w:val="12"/>
              </w:rPr>
            </w:r>
          </w:p>
        </w:tc>
        <w:tc>
          <w:tcPr>
            <w:tcW w:w="98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170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84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60" w:type="dxa"/>
            <w:tcBorders>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на конец отчетного периода</w:t>
            </w:r>
          </w:p>
        </w:tc>
        <w:tc>
          <w:tcPr>
            <w:tcW w:w="1085" w:type="dxa"/>
            <w:tcBorders>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в течение отчетного периода совершались операции</w:t>
            </w:r>
          </w:p>
        </w:tc>
        <w:tc>
          <w:tcPr>
            <w:tcW w:w="711" w:type="dxa"/>
            <w:tcBorders>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средств</w:t>
            </w:r>
          </w:p>
        </w:tc>
        <w:tc>
          <w:tcPr>
            <w:tcW w:w="1134" w:type="dxa"/>
            <w:tcBorders>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им кредита</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количество, ед.</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сумма, тыс. руб.</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количество, ед.</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сумма, тыс. руб.</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количество, ед.</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сумма, тыс. руб.</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количество, ед.</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2"/>
              </w:rPr>
            </w:pPr>
            <w:r>
              <w:rPr>
                <w:sz w:val="12"/>
              </w:rPr>
              <w:t>сумма, тыс. руб.</w:t>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r>
      <w:tr>
        <w:trPr>
          <w:tblHeader w:val="true"/>
          <w:cantSplit/>
        </w:trPr>
        <w:tc>
          <w:tcPr>
            <w:tcW w:w="51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9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70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8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7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71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16</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17</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18</w:t>
            </w:r>
          </w:p>
        </w:tc>
        <w:tc>
          <w:tcPr>
            <w:tcW w:w="7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19</w:t>
            </w:r>
          </w:p>
        </w:tc>
        <w:tc>
          <w:tcPr>
            <w:tcW w:w="6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20</w:t>
            </w:r>
          </w:p>
        </w:tc>
      </w:tr>
      <w:tr>
        <w:trPr>
          <w:cantSplit/>
        </w:trPr>
        <w:tc>
          <w:tcPr>
            <w:tcW w:w="51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98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4744" w:type="dxa"/>
            <w:gridSpan w:val="1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1. Физические лица</w:t>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Всего по __________</w:t>
            </w:r>
          </w:p>
        </w:tc>
        <w:tc>
          <w:tcPr>
            <w:tcW w:w="84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2"/>
              </w:rPr>
            </w:pPr>
            <w:r>
              <w:rPr>
                <w:rFonts w:cs="Arial"/>
                <w:sz w:val="12"/>
              </w:rPr>
            </w:r>
          </w:p>
        </w:tc>
        <w:tc>
          <w:tcPr>
            <w:tcW w:w="988"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1703" w:type="dxa"/>
            <w:tcBorders>
              <w:start w:val="single" w:sz="6" w:space="0" w:color="000000"/>
              <w:end w:val="single" w:sz="6" w:space="0" w:color="000000"/>
            </w:tcBorders>
          </w:tcPr>
          <w:p>
            <w:pPr>
              <w:pStyle w:val="MainText"/>
              <w:ind w:hanging="0" w:end="0"/>
              <w:jc w:val="end"/>
              <w:rPr>
                <w:sz w:val="12"/>
              </w:rPr>
            </w:pPr>
            <w:r>
              <w:rPr>
                <w:sz w:val="12"/>
              </w:rPr>
              <w:t>(наименование и код платежной системы)</w:t>
            </w:r>
          </w:p>
        </w:tc>
        <w:tc>
          <w:tcPr>
            <w:tcW w:w="849"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6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1085"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11"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1134"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из них:</w:t>
            </w:r>
          </w:p>
        </w:tc>
        <w:tc>
          <w:tcPr>
            <w:tcW w:w="84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расчетные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из них: расчетные карты с “овердрафтом”</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кредитные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предоплаченные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физическим лицам</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4744" w:type="dxa"/>
            <w:gridSpan w:val="1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2. Юридические лица</w:t>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Всего по __________</w:t>
            </w:r>
          </w:p>
        </w:tc>
        <w:tc>
          <w:tcPr>
            <w:tcW w:w="84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2"/>
              </w:rPr>
            </w:pPr>
            <w:r>
              <w:rPr>
                <w:rFonts w:cs="Arial"/>
                <w:sz w:val="12"/>
              </w:rPr>
            </w:r>
          </w:p>
        </w:tc>
        <w:tc>
          <w:tcPr>
            <w:tcW w:w="988"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1703" w:type="dxa"/>
            <w:tcBorders>
              <w:start w:val="single" w:sz="6" w:space="0" w:color="000000"/>
              <w:end w:val="single" w:sz="6" w:space="0" w:color="000000"/>
            </w:tcBorders>
          </w:tcPr>
          <w:p>
            <w:pPr>
              <w:pStyle w:val="MainText"/>
              <w:ind w:hanging="0" w:end="0"/>
              <w:jc w:val="end"/>
              <w:rPr>
                <w:sz w:val="12"/>
              </w:rPr>
            </w:pPr>
            <w:r>
              <w:rPr>
                <w:sz w:val="12"/>
              </w:rPr>
              <w:t>(наименование и код платежной системы)</w:t>
            </w:r>
          </w:p>
        </w:tc>
        <w:tc>
          <w:tcPr>
            <w:tcW w:w="849"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6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1085"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11"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1134"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737" w:type="dxa"/>
            <w:tcBorders>
              <w:start w:val="single" w:sz="6" w:space="0" w:color="000000"/>
              <w:end w:val="single" w:sz="6" w:space="0" w:color="000000"/>
            </w:tcBorders>
          </w:tcPr>
          <w:p>
            <w:pPr>
              <w:pStyle w:val="MainText"/>
              <w:snapToGrid w:val="false"/>
              <w:ind w:hanging="0" w:end="0"/>
              <w:jc w:val="center"/>
              <w:rPr>
                <w:sz w:val="12"/>
              </w:rPr>
            </w:pPr>
            <w:r>
              <w:rPr>
                <w:sz w:val="12"/>
              </w:rPr>
            </w:r>
          </w:p>
        </w:tc>
        <w:tc>
          <w:tcPr>
            <w:tcW w:w="680" w:type="dxa"/>
            <w:tcBorders>
              <w:start w:val="single" w:sz="6" w:space="0" w:color="000000"/>
              <w:end w:val="single" w:sz="6" w:space="0" w:color="000000"/>
            </w:tcBorders>
          </w:tcPr>
          <w:p>
            <w:pPr>
              <w:pStyle w:val="MainText"/>
              <w:snapToGrid w:val="false"/>
              <w:ind w:hanging="0" w:end="0"/>
              <w:jc w:val="center"/>
              <w:rPr>
                <w:sz w:val="12"/>
              </w:rPr>
            </w:pPr>
            <w:r>
              <w:rPr>
                <w:sz w:val="12"/>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из них:</w:t>
            </w:r>
          </w:p>
        </w:tc>
        <w:tc>
          <w:tcPr>
            <w:tcW w:w="84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расчетные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из них: расчетные карты с “овердрафтом”</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кредитные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юридическим лицам</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691" w:type="dxa"/>
            <w:gridSpan w:val="2"/>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Итого по _____________________</w:t>
            </w:r>
          </w:p>
        </w:tc>
        <w:tc>
          <w:tcPr>
            <w:tcW w:w="849"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60"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5"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11"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34"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3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680"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keepNext w:val="true"/>
              <w:snapToGrid w:val="false"/>
              <w:ind w:hanging="0" w:end="0"/>
              <w:jc w:val="center"/>
              <w:rPr>
                <w:sz w:val="12"/>
              </w:rPr>
            </w:pPr>
            <w:r>
              <w:rPr>
                <w:rFonts w:cs="Arial"/>
                <w:sz w:val="12"/>
              </w:rPr>
            </w:r>
          </w:p>
        </w:tc>
        <w:tc>
          <w:tcPr>
            <w:tcW w:w="2691" w:type="dxa"/>
            <w:gridSpan w:val="2"/>
            <w:tcBorders>
              <w:start w:val="single" w:sz="6" w:space="0" w:color="000000"/>
              <w:bottom w:val="single" w:sz="6" w:space="0" w:color="000000"/>
              <w:end w:val="single" w:sz="6" w:space="0" w:color="000000"/>
            </w:tcBorders>
          </w:tcPr>
          <w:p>
            <w:pPr>
              <w:pStyle w:val="MainText"/>
              <w:keepNext w:val="true"/>
              <w:ind w:hanging="0" w:end="0"/>
              <w:jc w:val="end"/>
              <w:rPr>
                <w:sz w:val="12"/>
              </w:rPr>
            </w:pPr>
            <w:r>
              <w:rPr>
                <w:sz w:val="12"/>
              </w:rPr>
              <w:t>(наименование территории)</w:t>
            </w:r>
          </w:p>
        </w:tc>
        <w:tc>
          <w:tcPr>
            <w:tcW w:w="84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6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108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1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113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73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c>
          <w:tcPr>
            <w:tcW w:w="6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2"/>
              </w:rPr>
            </w:pPr>
            <w:r>
              <w:rPr>
                <w:sz w:val="12"/>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691" w:type="dxa"/>
            <w:gridSpan w:val="2"/>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расчетные карты</w:t>
            </w:r>
          </w:p>
        </w:tc>
        <w:tc>
          <w:tcPr>
            <w:tcW w:w="84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691" w:type="dxa"/>
            <w:gridSpan w:val="2"/>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из них: расчетные карты с “овердрафтом”</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691" w:type="dxa"/>
            <w:gridSpan w:val="2"/>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кредитные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691" w:type="dxa"/>
            <w:gridSpan w:val="2"/>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предоплаченные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1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98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0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0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кредитной организации (ее филиалу)</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06" w:type="dxa"/>
            <w:gridSpan w:val="3"/>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расчетные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06" w:type="dxa"/>
            <w:gridSpan w:val="3"/>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из них: расчетные карты с “овердрафтом”</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06" w:type="dxa"/>
            <w:gridSpan w:val="3"/>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кредитные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06" w:type="dxa"/>
            <w:gridSpan w:val="3"/>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предоплаченные карты</w:t>
            </w:r>
          </w:p>
        </w:tc>
        <w:tc>
          <w:tcPr>
            <w:tcW w:w="8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3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964" w:leader="none"/>
        </w:tabs>
        <w:spacing w:before="240" w:after="120"/>
        <w:ind w:hanging="964" w:start="964" w:end="0"/>
        <w:jc w:val="start"/>
        <w:rPr/>
      </w:pPr>
      <w:r>
        <w:rPr/>
        <w:t>Раздел II.</w:t>
        <w:tab/>
        <w:t>Сведения об инфраструктуре, предназначенной для совершения операций выдачи (приема) наличных денежных средств и платежей за товары (работы, услуги) с использованием и без использования платежных карт</w:t>
      </w:r>
    </w:p>
    <w:tbl>
      <w:tblPr>
        <w:tblW w:w="16269" w:type="dxa"/>
        <w:jc w:val="center"/>
        <w:tblInd w:w="0" w:type="dxa"/>
        <w:tblLayout w:type="fixed"/>
        <w:tblCellMar>
          <w:top w:w="0" w:type="dxa"/>
          <w:start w:w="28" w:type="dxa"/>
          <w:bottom w:w="0" w:type="dxa"/>
          <w:end w:w="28" w:type="dxa"/>
        </w:tblCellMar>
      </w:tblPr>
      <w:tblGrid>
        <w:gridCol w:w="540"/>
        <w:gridCol w:w="2555"/>
        <w:gridCol w:w="1412"/>
        <w:gridCol w:w="558"/>
        <w:gridCol w:w="578"/>
        <w:gridCol w:w="1181"/>
        <w:gridCol w:w="522"/>
        <w:gridCol w:w="1417"/>
        <w:gridCol w:w="1251"/>
        <w:gridCol w:w="1251"/>
        <w:gridCol w:w="1251"/>
        <w:gridCol w:w="1251"/>
        <w:gridCol w:w="1251"/>
        <w:gridCol w:w="1251"/>
      </w:tblGrid>
      <w:tr>
        <w:trPr>
          <w:cantSplit/>
        </w:trPr>
        <w:tc>
          <w:tcPr>
            <w:tcW w:w="54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w:t>
            </w:r>
          </w:p>
        </w:tc>
        <w:tc>
          <w:tcPr>
            <w:tcW w:w="255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территории,</w:t>
            </w:r>
          </w:p>
        </w:tc>
        <w:tc>
          <w:tcPr>
            <w:tcW w:w="1412"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Наименование и код</w:t>
            </w:r>
          </w:p>
        </w:tc>
        <w:tc>
          <w:tcPr>
            <w:tcW w:w="5507" w:type="dxa"/>
            <w:gridSpan w:val="6"/>
            <w:tcBorders>
              <w:top w:val="single" w:sz="6" w:space="0" w:color="000000"/>
              <w:start w:val="single" w:sz="6" w:space="0" w:color="000000"/>
              <w:end w:val="single" w:sz="6" w:space="0" w:color="000000"/>
            </w:tcBorders>
          </w:tcPr>
          <w:p>
            <w:pPr>
              <w:pStyle w:val="MainText"/>
              <w:ind w:hanging="0" w:end="0"/>
              <w:jc w:val="center"/>
              <w:rPr>
                <w:sz w:val="14"/>
              </w:rPr>
            </w:pPr>
            <w:r>
              <w:rPr>
                <w:sz w:val="14"/>
              </w:rPr>
              <w:t>Количество банкоматов</w:t>
            </w:r>
          </w:p>
        </w:tc>
        <w:tc>
          <w:tcPr>
            <w:tcW w:w="3753" w:type="dxa"/>
            <w:gridSpan w:val="3"/>
            <w:tcBorders>
              <w:top w:val="single" w:sz="6" w:space="0" w:color="000000"/>
              <w:start w:val="single" w:sz="6" w:space="0" w:color="000000"/>
              <w:end w:val="single" w:sz="6" w:space="0" w:color="000000"/>
            </w:tcBorders>
          </w:tcPr>
          <w:p>
            <w:pPr>
              <w:pStyle w:val="MainText"/>
              <w:ind w:hanging="0" w:end="0"/>
              <w:jc w:val="center"/>
              <w:rPr>
                <w:sz w:val="14"/>
              </w:rPr>
            </w:pPr>
            <w:r>
              <w:rPr>
                <w:sz w:val="14"/>
              </w:rPr>
              <w:t>Количество электронных терминалов</w:t>
            </w:r>
          </w:p>
        </w:tc>
        <w:tc>
          <w:tcPr>
            <w:tcW w:w="2502" w:type="dxa"/>
            <w:gridSpan w:val="2"/>
            <w:tcBorders>
              <w:top w:val="single" w:sz="6" w:space="0" w:color="000000"/>
              <w:start w:val="single" w:sz="6" w:space="0" w:color="000000"/>
              <w:end w:val="single" w:sz="6" w:space="0" w:color="000000"/>
            </w:tcBorders>
          </w:tcPr>
          <w:p>
            <w:pPr>
              <w:pStyle w:val="MainText"/>
              <w:ind w:hanging="0" w:end="0"/>
              <w:jc w:val="center"/>
              <w:rPr>
                <w:sz w:val="14"/>
              </w:rPr>
            </w:pPr>
            <w:r>
              <w:rPr>
                <w:sz w:val="14"/>
              </w:rPr>
              <w:t>Количество импринтеров</w:t>
            </w:r>
          </w:p>
        </w:tc>
      </w:tr>
      <w:tr>
        <w:trPr>
          <w:cantSplit/>
        </w:trPr>
        <w:tc>
          <w:tcPr>
            <w:tcW w:w="540" w:type="dxa"/>
            <w:tcBorders>
              <w:start w:val="single" w:sz="6" w:space="0" w:color="000000"/>
              <w:end w:val="single" w:sz="6" w:space="0" w:color="000000"/>
            </w:tcBorders>
          </w:tcPr>
          <w:p>
            <w:pPr>
              <w:pStyle w:val="MainText"/>
              <w:ind w:hanging="0" w:end="0"/>
              <w:jc w:val="center"/>
              <w:rPr>
                <w:sz w:val="14"/>
              </w:rPr>
            </w:pPr>
            <w:r>
              <w:rPr>
                <w:sz w:val="14"/>
              </w:rPr>
              <w:t>строки</w:t>
            </w:r>
          </w:p>
        </w:tc>
        <w:tc>
          <w:tcPr>
            <w:tcW w:w="2555" w:type="dxa"/>
            <w:tcBorders>
              <w:start w:val="single" w:sz="6" w:space="0" w:color="000000"/>
              <w:end w:val="single" w:sz="6" w:space="0" w:color="000000"/>
            </w:tcBorders>
          </w:tcPr>
          <w:p>
            <w:pPr>
              <w:pStyle w:val="MainText"/>
              <w:ind w:hanging="0" w:end="0"/>
              <w:jc w:val="center"/>
              <w:rPr>
                <w:sz w:val="14"/>
              </w:rPr>
            </w:pPr>
            <w:r>
              <w:rPr>
                <w:sz w:val="14"/>
              </w:rPr>
              <w:t>где установлено устройство</w:t>
            </w:r>
          </w:p>
        </w:tc>
        <w:tc>
          <w:tcPr>
            <w:tcW w:w="1412" w:type="dxa"/>
            <w:tcBorders>
              <w:start w:val="single" w:sz="6" w:space="0" w:color="000000"/>
              <w:end w:val="single" w:sz="6" w:space="0" w:color="000000"/>
            </w:tcBorders>
          </w:tcPr>
          <w:p>
            <w:pPr>
              <w:pStyle w:val="MainText"/>
              <w:ind w:hanging="0" w:end="0"/>
              <w:jc w:val="center"/>
              <w:rPr>
                <w:sz w:val="14"/>
              </w:rPr>
            </w:pPr>
            <w:r>
              <w:rPr>
                <w:sz w:val="14"/>
              </w:rPr>
              <w:t>платежной системы с использованием</w:t>
            </w:r>
          </w:p>
        </w:tc>
        <w:tc>
          <w:tcPr>
            <w:tcW w:w="558"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Итого</w:t>
            </w:r>
          </w:p>
        </w:tc>
        <w:tc>
          <w:tcPr>
            <w:tcW w:w="1759" w:type="dxa"/>
            <w:gridSpan w:val="2"/>
            <w:tcBorders>
              <w:top w:val="single" w:sz="6" w:space="0" w:color="000000"/>
              <w:start w:val="single" w:sz="6" w:space="0" w:color="000000"/>
              <w:end w:val="single" w:sz="6" w:space="0" w:color="000000"/>
            </w:tcBorders>
          </w:tcPr>
          <w:p>
            <w:pPr>
              <w:pStyle w:val="MainText"/>
              <w:ind w:hanging="0" w:end="0"/>
              <w:jc w:val="center"/>
              <w:rPr>
                <w:sz w:val="14"/>
              </w:rPr>
            </w:pPr>
            <w:r>
              <w:rPr>
                <w:sz w:val="14"/>
              </w:rPr>
              <w:t>с функцией выдачи наличных денег</w:t>
            </w:r>
          </w:p>
        </w:tc>
        <w:tc>
          <w:tcPr>
            <w:tcW w:w="3190" w:type="dxa"/>
            <w:gridSpan w:val="3"/>
            <w:tcBorders>
              <w:top w:val="single" w:sz="6" w:space="0" w:color="000000"/>
              <w:start w:val="single" w:sz="6" w:space="0" w:color="000000"/>
              <w:end w:val="single" w:sz="6" w:space="0" w:color="000000"/>
            </w:tcBorders>
          </w:tcPr>
          <w:p>
            <w:pPr>
              <w:pStyle w:val="MainText"/>
              <w:ind w:hanging="0" w:end="0"/>
              <w:jc w:val="center"/>
              <w:rPr>
                <w:sz w:val="14"/>
              </w:rPr>
            </w:pPr>
            <w:r>
              <w:rPr>
                <w:sz w:val="14"/>
              </w:rPr>
              <w:t>с функцией приема наличных денег</w:t>
            </w:r>
          </w:p>
        </w:tc>
        <w:tc>
          <w:tcPr>
            <w:tcW w:w="125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установленных в организациях</w:t>
            </w:r>
          </w:p>
        </w:tc>
        <w:tc>
          <w:tcPr>
            <w:tcW w:w="125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электронных терминалов</w:t>
            </w:r>
          </w:p>
        </w:tc>
        <w:tc>
          <w:tcPr>
            <w:tcW w:w="125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в пунктах выдачи наличных</w:t>
            </w:r>
          </w:p>
        </w:tc>
        <w:tc>
          <w:tcPr>
            <w:tcW w:w="125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установленных в организациях</w:t>
            </w:r>
          </w:p>
        </w:tc>
        <w:tc>
          <w:tcPr>
            <w:tcW w:w="125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в пунктах выдачи наличных</w:t>
            </w:r>
          </w:p>
        </w:tc>
      </w:tr>
      <w:tr>
        <w:trPr>
          <w:cantSplit/>
        </w:trPr>
        <w:tc>
          <w:tcPr>
            <w:tcW w:w="540" w:type="dxa"/>
            <w:tcBorders>
              <w:start w:val="single" w:sz="6" w:space="0" w:color="000000"/>
              <w:end w:val="single" w:sz="6" w:space="0" w:color="000000"/>
            </w:tcBorders>
          </w:tcPr>
          <w:p>
            <w:pPr>
              <w:pStyle w:val="MainText"/>
              <w:snapToGrid w:val="false"/>
              <w:ind w:hanging="0" w:end="0"/>
              <w:jc w:val="center"/>
              <w:rPr>
                <w:sz w:val="14"/>
              </w:rPr>
            </w:pPr>
            <w:r>
              <w:rPr>
                <w:rFonts w:cs="Arial"/>
                <w:sz w:val="14"/>
              </w:rPr>
            </w:r>
          </w:p>
        </w:tc>
        <w:tc>
          <w:tcPr>
            <w:tcW w:w="2555"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1412" w:type="dxa"/>
            <w:tcBorders>
              <w:start w:val="single" w:sz="6" w:space="0" w:color="000000"/>
              <w:end w:val="single" w:sz="6" w:space="0" w:color="000000"/>
            </w:tcBorders>
          </w:tcPr>
          <w:p>
            <w:pPr>
              <w:pStyle w:val="MainText"/>
              <w:ind w:hanging="0" w:end="0"/>
              <w:jc w:val="center"/>
              <w:rPr>
                <w:sz w:val="14"/>
              </w:rPr>
            </w:pPr>
            <w:r>
              <w:rPr>
                <w:sz w:val="14"/>
              </w:rPr>
              <w:t>платежных карт</w:t>
            </w:r>
          </w:p>
        </w:tc>
        <w:tc>
          <w:tcPr>
            <w:tcW w:w="558"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578"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всего</w:t>
            </w:r>
          </w:p>
        </w:tc>
        <w:tc>
          <w:tcPr>
            <w:tcW w:w="11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 них</w:t>
            </w:r>
          </w:p>
        </w:tc>
        <w:tc>
          <w:tcPr>
            <w:tcW w:w="522"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всего</w:t>
            </w:r>
          </w:p>
        </w:tc>
        <w:tc>
          <w:tcPr>
            <w:tcW w:w="2668"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 них</w:t>
            </w:r>
          </w:p>
        </w:tc>
        <w:tc>
          <w:tcPr>
            <w:tcW w:w="1251" w:type="dxa"/>
            <w:tcBorders>
              <w:start w:val="single" w:sz="6" w:space="0" w:color="000000"/>
              <w:end w:val="single" w:sz="6" w:space="0" w:color="000000"/>
            </w:tcBorders>
          </w:tcPr>
          <w:p>
            <w:pPr>
              <w:pStyle w:val="MainText"/>
              <w:ind w:hanging="0" w:end="0"/>
              <w:jc w:val="center"/>
              <w:rPr>
                <w:sz w:val="14"/>
              </w:rPr>
            </w:pPr>
            <w:r>
              <w:rPr>
                <w:sz w:val="14"/>
              </w:rPr>
              <w:t>торговли (услуг)</w:t>
            </w:r>
          </w:p>
        </w:tc>
        <w:tc>
          <w:tcPr>
            <w:tcW w:w="1251" w:type="dxa"/>
            <w:tcBorders>
              <w:start w:val="single" w:sz="6" w:space="0" w:color="000000"/>
              <w:end w:val="single" w:sz="6" w:space="0" w:color="000000"/>
            </w:tcBorders>
          </w:tcPr>
          <w:p>
            <w:pPr>
              <w:pStyle w:val="MainText"/>
              <w:ind w:hanging="0" w:end="0"/>
              <w:jc w:val="center"/>
              <w:rPr>
                <w:sz w:val="14"/>
              </w:rPr>
            </w:pPr>
            <w:r>
              <w:rPr>
                <w:sz w:val="14"/>
              </w:rPr>
              <w:t>удаленного</w:t>
            </w:r>
          </w:p>
        </w:tc>
        <w:tc>
          <w:tcPr>
            <w:tcW w:w="1251" w:type="dxa"/>
            <w:tcBorders>
              <w:start w:val="single" w:sz="6" w:space="0" w:color="000000"/>
              <w:end w:val="single" w:sz="6" w:space="0" w:color="000000"/>
            </w:tcBorders>
          </w:tcPr>
          <w:p>
            <w:pPr>
              <w:pStyle w:val="MainText"/>
              <w:ind w:hanging="0" w:end="0"/>
              <w:jc w:val="center"/>
              <w:rPr>
                <w:sz w:val="14"/>
              </w:rPr>
            </w:pPr>
            <w:r>
              <w:rPr>
                <w:sz w:val="14"/>
              </w:rPr>
              <w:t>денежных</w:t>
            </w:r>
          </w:p>
        </w:tc>
        <w:tc>
          <w:tcPr>
            <w:tcW w:w="1251" w:type="dxa"/>
            <w:tcBorders>
              <w:start w:val="single" w:sz="6" w:space="0" w:color="000000"/>
              <w:end w:val="single" w:sz="6" w:space="0" w:color="000000"/>
            </w:tcBorders>
          </w:tcPr>
          <w:p>
            <w:pPr>
              <w:pStyle w:val="MainText"/>
              <w:ind w:hanging="0" w:end="0"/>
              <w:jc w:val="center"/>
              <w:rPr>
                <w:sz w:val="14"/>
              </w:rPr>
            </w:pPr>
            <w:r>
              <w:rPr>
                <w:sz w:val="14"/>
              </w:rPr>
              <w:t>торговли (услуг)</w:t>
            </w:r>
          </w:p>
        </w:tc>
        <w:tc>
          <w:tcPr>
            <w:tcW w:w="1251" w:type="dxa"/>
            <w:tcBorders>
              <w:start w:val="single" w:sz="6" w:space="0" w:color="000000"/>
              <w:end w:val="single" w:sz="6" w:space="0" w:color="000000"/>
            </w:tcBorders>
          </w:tcPr>
          <w:p>
            <w:pPr>
              <w:pStyle w:val="MainText"/>
              <w:ind w:hanging="0" w:end="0"/>
              <w:jc w:val="center"/>
              <w:rPr>
                <w:sz w:val="14"/>
              </w:rPr>
            </w:pPr>
            <w:r>
              <w:rPr>
                <w:sz w:val="14"/>
              </w:rPr>
              <w:t>денежных</w:t>
            </w:r>
          </w:p>
        </w:tc>
      </w:tr>
      <w:tr>
        <w:trPr>
          <w:cantSplit/>
        </w:trPr>
        <w:tc>
          <w:tcPr>
            <w:tcW w:w="540"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2555"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12"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58"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78"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 функцией оплаты товаров и услуг</w:t>
            </w:r>
          </w:p>
        </w:tc>
        <w:tc>
          <w:tcPr>
            <w:tcW w:w="522"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без использования платежных карт (их реквизитов)</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 использованием платежных карт (их реквизитов)</w:t>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51"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доступа</w:t>
            </w:r>
          </w:p>
        </w:tc>
        <w:tc>
          <w:tcPr>
            <w:tcW w:w="1251"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средств</w:t>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51"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средств</w:t>
            </w:r>
          </w:p>
        </w:tc>
      </w:tr>
      <w:tr>
        <w:trPr>
          <w:cantSplit/>
        </w:trPr>
        <w:tc>
          <w:tcPr>
            <w:tcW w:w="540"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25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41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5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57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1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52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4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r>
      <w:tr>
        <w:trPr>
          <w:cantSplit/>
        </w:trPr>
        <w:tc>
          <w:tcPr>
            <w:tcW w:w="540"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25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5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40"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55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41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55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57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1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52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40"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55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Итого по ____________________</w:t>
            </w:r>
          </w:p>
        </w:tc>
        <w:tc>
          <w:tcPr>
            <w:tcW w:w="141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55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57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1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52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40" w:type="dxa"/>
            <w:tcBorders>
              <w:start w:val="single" w:sz="6" w:space="0" w:color="000000"/>
              <w:end w:val="single" w:sz="6" w:space="0" w:color="000000"/>
            </w:tcBorders>
          </w:tcPr>
          <w:p>
            <w:pPr>
              <w:pStyle w:val="MainText"/>
              <w:snapToGrid w:val="false"/>
              <w:ind w:hanging="0" w:end="0"/>
              <w:jc w:val="center"/>
              <w:rPr>
                <w:sz w:val="12"/>
              </w:rPr>
            </w:pPr>
            <w:r>
              <w:rPr>
                <w:rFonts w:cs="Arial"/>
                <w:sz w:val="12"/>
              </w:rPr>
            </w:r>
          </w:p>
        </w:tc>
        <w:tc>
          <w:tcPr>
            <w:tcW w:w="2555" w:type="dxa"/>
            <w:tcBorders>
              <w:start w:val="single" w:sz="6" w:space="0" w:color="000000"/>
              <w:bottom w:val="single" w:sz="6" w:space="0" w:color="000000"/>
              <w:end w:val="single" w:sz="6" w:space="0" w:color="000000"/>
            </w:tcBorders>
          </w:tcPr>
          <w:p>
            <w:pPr>
              <w:pStyle w:val="MainText"/>
              <w:ind w:hanging="0" w:end="113"/>
              <w:jc w:val="end"/>
              <w:rPr>
                <w:sz w:val="12"/>
              </w:rPr>
            </w:pPr>
            <w:r>
              <w:rPr>
                <w:sz w:val="12"/>
              </w:rPr>
              <w:t xml:space="preserve"> </w:t>
            </w:r>
            <w:r>
              <w:rPr>
                <w:sz w:val="12"/>
              </w:rPr>
              <w:t>(наименование территории)</w:t>
            </w:r>
          </w:p>
        </w:tc>
        <w:tc>
          <w:tcPr>
            <w:tcW w:w="1412"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558"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578"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18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522"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41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25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r>
      <w:tr>
        <w:trPr>
          <w:cantSplit/>
        </w:trPr>
        <w:tc>
          <w:tcPr>
            <w:tcW w:w="540"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5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5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4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5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5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69" w:type="dxa"/>
            <w:gridSpan w:val="1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кредитной организации (ее филиалу)</w:t>
            </w:r>
          </w:p>
        </w:tc>
      </w:tr>
      <w:tr>
        <w:trPr>
          <w:cantSplit/>
        </w:trPr>
        <w:tc>
          <w:tcPr>
            <w:tcW w:w="5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5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5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jc w:val="start"/>
        <w:rPr/>
      </w:pPr>
      <w:r>
        <w:br w:type="page"/>
      </w:r>
      <w:r>
        <w:rPr/>
        <w:t>Раздел III. Сведения об операциях, совершенных с использованием платежных карт через устройства, их принимающие</w:t>
      </w:r>
    </w:p>
    <w:tbl>
      <w:tblPr>
        <w:tblW w:w="16273" w:type="dxa"/>
        <w:jc w:val="center"/>
        <w:tblInd w:w="0" w:type="dxa"/>
        <w:tblLayout w:type="fixed"/>
        <w:tblCellMar>
          <w:top w:w="0" w:type="dxa"/>
          <w:start w:w="28" w:type="dxa"/>
          <w:bottom w:w="0" w:type="dxa"/>
          <w:end w:w="28" w:type="dxa"/>
        </w:tblCellMar>
      </w:tblPr>
      <w:tblGrid>
        <w:gridCol w:w="538"/>
        <w:gridCol w:w="1138"/>
        <w:gridCol w:w="1845"/>
        <w:gridCol w:w="797"/>
        <w:gridCol w:w="797"/>
        <w:gridCol w:w="797"/>
        <w:gridCol w:w="797"/>
        <w:gridCol w:w="797"/>
        <w:gridCol w:w="797"/>
        <w:gridCol w:w="797"/>
        <w:gridCol w:w="797"/>
        <w:gridCol w:w="797"/>
        <w:gridCol w:w="797"/>
        <w:gridCol w:w="797"/>
        <w:gridCol w:w="797"/>
        <w:gridCol w:w="797"/>
        <w:gridCol w:w="797"/>
        <w:gridCol w:w="797"/>
        <w:gridCol w:w="797"/>
      </w:tblGrid>
      <w:tr>
        <w:trPr>
          <w:tblHeader w:val="true"/>
          <w:cantSplit/>
        </w:trPr>
        <w:tc>
          <w:tcPr>
            <w:tcW w:w="538"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w:t>
            </w:r>
          </w:p>
        </w:tc>
        <w:tc>
          <w:tcPr>
            <w:tcW w:w="1138"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Код территории,</w:t>
            </w:r>
          </w:p>
        </w:tc>
        <w:tc>
          <w:tcPr>
            <w:tcW w:w="18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Наименование и код</w:t>
            </w:r>
          </w:p>
        </w:tc>
        <w:tc>
          <w:tcPr>
            <w:tcW w:w="12752" w:type="dxa"/>
            <w:gridSpan w:val="1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Количество и сумма</w:t>
            </w:r>
          </w:p>
        </w:tc>
      </w:tr>
      <w:tr>
        <w:trPr>
          <w:tblHeader w:val="true"/>
          <w:cantSplit/>
        </w:trPr>
        <w:tc>
          <w:tcPr>
            <w:tcW w:w="538" w:type="dxa"/>
            <w:tcBorders>
              <w:start w:val="single" w:sz="6" w:space="0" w:color="000000"/>
              <w:end w:val="single" w:sz="6" w:space="0" w:color="000000"/>
            </w:tcBorders>
          </w:tcPr>
          <w:p>
            <w:pPr>
              <w:pStyle w:val="MainText"/>
              <w:keepNext w:val="true"/>
              <w:ind w:hanging="0" w:end="0"/>
              <w:jc w:val="center"/>
              <w:rPr>
                <w:sz w:val="14"/>
              </w:rPr>
            </w:pPr>
            <w:r>
              <w:rPr>
                <w:sz w:val="14"/>
              </w:rPr>
              <w:t>строки</w:t>
            </w:r>
          </w:p>
        </w:tc>
        <w:tc>
          <w:tcPr>
            <w:tcW w:w="1138" w:type="dxa"/>
            <w:tcBorders>
              <w:start w:val="single" w:sz="6" w:space="0" w:color="000000"/>
              <w:end w:val="single" w:sz="6" w:space="0" w:color="000000"/>
            </w:tcBorders>
          </w:tcPr>
          <w:p>
            <w:pPr>
              <w:pStyle w:val="MainText"/>
              <w:keepNext w:val="true"/>
              <w:ind w:hanging="0" w:end="0"/>
              <w:jc w:val="center"/>
              <w:rPr>
                <w:sz w:val="14"/>
              </w:rPr>
            </w:pPr>
            <w:r>
              <w:rPr>
                <w:sz w:val="14"/>
              </w:rPr>
              <w:t>где совершены</w:t>
            </w:r>
          </w:p>
        </w:tc>
        <w:tc>
          <w:tcPr>
            <w:tcW w:w="1845" w:type="dxa"/>
            <w:tcBorders>
              <w:start w:val="single" w:sz="6" w:space="0" w:color="000000"/>
              <w:end w:val="single" w:sz="6" w:space="0" w:color="000000"/>
            </w:tcBorders>
          </w:tcPr>
          <w:p>
            <w:pPr>
              <w:pStyle w:val="MainText"/>
              <w:keepNext w:val="true"/>
              <w:ind w:hanging="0" w:end="0"/>
              <w:jc w:val="center"/>
              <w:rPr>
                <w:sz w:val="14"/>
              </w:rPr>
            </w:pPr>
            <w:r>
              <w:rPr>
                <w:sz w:val="14"/>
              </w:rPr>
              <w:t>платежной системы</w:t>
            </w:r>
          </w:p>
        </w:tc>
        <w:tc>
          <w:tcPr>
            <w:tcW w:w="7970" w:type="dxa"/>
            <w:gridSpan w:val="10"/>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платежей за товары (работы, услуги)</w:t>
            </w:r>
          </w:p>
        </w:tc>
        <w:tc>
          <w:tcPr>
            <w:tcW w:w="4782" w:type="dxa"/>
            <w:gridSpan w:val="6"/>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операций по получению наличных денежных средств</w:t>
            </w:r>
          </w:p>
        </w:tc>
      </w:tr>
      <w:tr>
        <w:trPr>
          <w:tblHeader w:val="true"/>
          <w:cantSplit/>
        </w:trPr>
        <w:tc>
          <w:tcPr>
            <w:tcW w:w="538" w:type="dxa"/>
            <w:tcBorders>
              <w:start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138" w:type="dxa"/>
            <w:tcBorders>
              <w:start w:val="single" w:sz="6" w:space="0" w:color="000000"/>
              <w:end w:val="single" w:sz="6" w:space="0" w:color="000000"/>
            </w:tcBorders>
          </w:tcPr>
          <w:p>
            <w:pPr>
              <w:pStyle w:val="MainText"/>
              <w:keepNext w:val="true"/>
              <w:ind w:hanging="0" w:end="0"/>
              <w:jc w:val="center"/>
              <w:rPr>
                <w:sz w:val="14"/>
              </w:rPr>
            </w:pPr>
            <w:r>
              <w:rPr>
                <w:sz w:val="14"/>
              </w:rPr>
              <w:t>операции</w:t>
            </w:r>
          </w:p>
        </w:tc>
        <w:tc>
          <w:tcPr>
            <w:tcW w:w="1845" w:type="dxa"/>
            <w:tcBorders>
              <w:start w:val="single" w:sz="6" w:space="0" w:color="000000"/>
              <w:end w:val="single" w:sz="6" w:space="0" w:color="000000"/>
            </w:tcBorders>
          </w:tcPr>
          <w:p>
            <w:pPr>
              <w:pStyle w:val="MainText"/>
              <w:keepNext w:val="true"/>
              <w:ind w:hanging="0" w:end="0"/>
              <w:jc w:val="center"/>
              <w:rPr>
                <w:sz w:val="14"/>
              </w:rPr>
            </w:pPr>
            <w:r>
              <w:rPr>
                <w:sz w:val="14"/>
              </w:rPr>
              <w:t>с использованием</w:t>
            </w:r>
          </w:p>
        </w:tc>
        <w:tc>
          <w:tcPr>
            <w:tcW w:w="1594"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Всего</w:t>
            </w:r>
          </w:p>
        </w:tc>
        <w:tc>
          <w:tcPr>
            <w:tcW w:w="6376"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из них</w:t>
            </w:r>
          </w:p>
        </w:tc>
        <w:tc>
          <w:tcPr>
            <w:tcW w:w="1594"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посредством</w:t>
            </w:r>
          </w:p>
        </w:tc>
        <w:tc>
          <w:tcPr>
            <w:tcW w:w="1594"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Всего</w:t>
            </w:r>
          </w:p>
        </w:tc>
        <w:tc>
          <w:tcPr>
            <w:tcW w:w="159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из них</w:t>
            </w:r>
          </w:p>
        </w:tc>
      </w:tr>
      <w:tr>
        <w:trPr>
          <w:tblHeader w:val="true"/>
          <w:cantSplit/>
        </w:trPr>
        <w:tc>
          <w:tcPr>
            <w:tcW w:w="538" w:type="dxa"/>
            <w:tcBorders>
              <w:start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138"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845" w:type="dxa"/>
            <w:tcBorders>
              <w:start w:val="single" w:sz="6" w:space="0" w:color="000000"/>
              <w:end w:val="single" w:sz="6" w:space="0" w:color="000000"/>
            </w:tcBorders>
          </w:tcPr>
          <w:p>
            <w:pPr>
              <w:pStyle w:val="MainText"/>
              <w:keepNext w:val="true"/>
              <w:ind w:hanging="0" w:end="0"/>
              <w:jc w:val="center"/>
              <w:rPr>
                <w:sz w:val="14"/>
              </w:rPr>
            </w:pPr>
            <w:r>
              <w:rPr>
                <w:sz w:val="14"/>
              </w:rPr>
              <w:t>платежных карт</w:t>
            </w:r>
          </w:p>
        </w:tc>
        <w:tc>
          <w:tcPr>
            <w:tcW w:w="1594" w:type="dxa"/>
            <w:gridSpan w:val="2"/>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59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через электронные терминалы</w:t>
            </w:r>
          </w:p>
        </w:tc>
        <w:tc>
          <w:tcPr>
            <w:tcW w:w="159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через импринтеры</w:t>
            </w:r>
          </w:p>
        </w:tc>
        <w:tc>
          <w:tcPr>
            <w:tcW w:w="159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посредством банкоматов</w:t>
            </w:r>
          </w:p>
        </w:tc>
        <w:tc>
          <w:tcPr>
            <w:tcW w:w="159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прочие</w:t>
            </w:r>
          </w:p>
        </w:tc>
        <w:tc>
          <w:tcPr>
            <w:tcW w:w="1594" w:type="dxa"/>
            <w:gridSpan w:val="2"/>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банкоматов</w:t>
            </w:r>
          </w:p>
        </w:tc>
        <w:tc>
          <w:tcPr>
            <w:tcW w:w="1594" w:type="dxa"/>
            <w:gridSpan w:val="2"/>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594"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 иностранной валюте</w:t>
            </w:r>
          </w:p>
        </w:tc>
      </w:tr>
      <w:tr>
        <w:trPr>
          <w:tblHeader w:val="true"/>
          <w:cantSplit/>
        </w:trPr>
        <w:tc>
          <w:tcPr>
            <w:tcW w:w="53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3"/>
              </w:rPr>
            </w:pPr>
            <w:r>
              <w:rPr>
                <w:rFonts w:cs="Arial"/>
                <w:sz w:val="13"/>
              </w:rPr>
            </w:r>
          </w:p>
        </w:tc>
        <w:tc>
          <w:tcPr>
            <w:tcW w:w="113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3"/>
              </w:rPr>
            </w:pPr>
            <w:r>
              <w:rPr>
                <w:sz w:val="13"/>
              </w:rPr>
            </w:r>
          </w:p>
        </w:tc>
        <w:tc>
          <w:tcPr>
            <w:tcW w:w="184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3"/>
              </w:rPr>
            </w:pPr>
            <w:r>
              <w:rPr>
                <w:sz w:val="13"/>
              </w:rPr>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ед.</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сумма, тыс. руб.</w:t>
            </w:r>
          </w:p>
        </w:tc>
      </w:tr>
      <w:tr>
        <w:trPr>
          <w:tblHeader w:val="true"/>
          <w:cantSplit/>
        </w:trPr>
        <w:tc>
          <w:tcPr>
            <w:tcW w:w="53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3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8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16</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17</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18</w:t>
            </w:r>
          </w:p>
        </w:tc>
        <w:tc>
          <w:tcPr>
            <w:tcW w:w="7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19</w:t>
            </w:r>
          </w:p>
        </w:tc>
      </w:tr>
      <w:tr>
        <w:trPr>
          <w:cantSplit/>
        </w:trPr>
        <w:tc>
          <w:tcPr>
            <w:tcW w:w="538"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113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4597" w:type="dxa"/>
            <w:gridSpan w:val="1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1. Операции, совершенные через устройства, расположенные на территории Российской Федерации, с использованием платежных карт, эмитированных данной кредитной организацией и (или) ее филиалами</w:t>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подразделу 1</w:t>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4597" w:type="dxa"/>
            <w:gridSpan w:val="1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2. Операции, совершенные через устройства, расположенные на территории Российской Федерации, с использованием платежных карт, эмитированных в Российской Федерации другими кредитными организациями (их филиалами)</w:t>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подразделу 2</w:t>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4597" w:type="dxa"/>
            <w:gridSpan w:val="1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3. Операции, совершенные через устройства, расположенные на территории Российской Федерации, с использованием платежных карт, эмитированных за пределами территории Российской Федерации</w:t>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подразделу 3</w:t>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2983" w:type="dxa"/>
            <w:gridSpan w:val="2"/>
            <w:tcBorders>
              <w:top w:val="single" w:sz="6" w:space="0" w:color="000000"/>
              <w:start w:val="single" w:sz="6" w:space="0" w:color="000000"/>
              <w:end w:val="single" w:sz="6" w:space="0" w:color="000000"/>
            </w:tcBorders>
          </w:tcPr>
          <w:p>
            <w:pPr>
              <w:pStyle w:val="MainText"/>
              <w:ind w:hanging="0" w:end="0"/>
              <w:jc w:val="center"/>
              <w:rPr>
                <w:sz w:val="16"/>
              </w:rPr>
            </w:pPr>
            <w:r>
              <w:rPr>
                <w:sz w:val="16"/>
              </w:rPr>
              <w:t>Итого по ________________________</w:t>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rFonts w:cs="Arial"/>
                <w:sz w:val="12"/>
              </w:rPr>
            </w:r>
          </w:p>
        </w:tc>
        <w:tc>
          <w:tcPr>
            <w:tcW w:w="2983" w:type="dxa"/>
            <w:gridSpan w:val="2"/>
            <w:tcBorders>
              <w:start w:val="single" w:sz="6" w:space="0" w:color="000000"/>
              <w:bottom w:val="single" w:sz="6" w:space="0" w:color="000000"/>
              <w:end w:val="single" w:sz="6" w:space="0" w:color="000000"/>
            </w:tcBorders>
          </w:tcPr>
          <w:p>
            <w:pPr>
              <w:pStyle w:val="MainText"/>
              <w:ind w:hanging="0" w:end="340"/>
              <w:jc w:val="end"/>
              <w:rPr>
                <w:sz w:val="12"/>
              </w:rPr>
            </w:pPr>
            <w:r>
              <w:rPr>
                <w:sz w:val="12"/>
              </w:rPr>
              <w:t>(наименование территории)</w:t>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7"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r>
      <w:tr>
        <w:trPr>
          <w:cantSplit/>
        </w:trPr>
        <w:tc>
          <w:tcPr>
            <w:tcW w:w="53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97" w:type="dxa"/>
            <w:gridSpan w:val="1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4. Операции, совершенные через устройства кредитной организации, расположенные за пределами территории Российской Федерации</w:t>
            </w:r>
          </w:p>
        </w:tc>
      </w:tr>
      <w:tr>
        <w:trPr>
          <w:cantSplit/>
        </w:trPr>
        <w:tc>
          <w:tcPr>
            <w:tcW w:w="5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8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8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подразделу 4</w:t>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73" w:type="dxa"/>
            <w:gridSpan w:val="1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кредитной организации (ее филиалу)</w:t>
            </w:r>
          </w:p>
        </w:tc>
      </w:tr>
      <w:tr>
        <w:trPr>
          <w:cantSplit/>
        </w:trPr>
        <w:tc>
          <w:tcPr>
            <w:tcW w:w="5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13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4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9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0409250 “Сведения об операциях с использованием платежных карт и инфраструктуре, предназначенной для совершения c использованием и без использования платежных карт операций выдачи (приема) наличных денежных средств и платежей за товары (работы, услуги)”</w:t>
      </w:r>
    </w:p>
    <w:p>
      <w:pPr>
        <w:pStyle w:val="MainText"/>
        <w:rPr/>
      </w:pPr>
      <w:r>
        <w:rPr/>
        <w:t>1. Целью сбора отчетности по форме 0409250 “Сведения об операциях с использованием платежных карт и инфраструктуре, предназначенной для совершения с использованием и без использования платежных карт операций выдачи (приема) наличных денежных средств и платежей за товары (работы, услуги)” (далее — Отчет) является получение Банком России сведений о функционирующих на территории Российской Федерации платежных системах с использованием платежных карт, о количестве и объеме операций, совершенных с использованием платежных карт в разрезе платежных систем, и о количестве устройств, предназначенных для совершения операций выдачи (приема) наличных денежных средств и платежей за товары (работы, услуги), в том числе без использования платежных карт. Собираемые сведения используются для совершенствования нормативно-правовой базы, обеспечивающей развитие платежных услуг, а также для формирования статистических данных в соответствии с международными стандартами.</w:t>
      </w:r>
    </w:p>
    <w:p>
      <w:pPr>
        <w:pStyle w:val="MainText"/>
        <w:rPr/>
      </w:pPr>
      <w:r>
        <w:rPr/>
        <w:t>2. Отчеты представляются кредитными организациями (их филиалами), включая расчетные небанковские кредитные организации (их филиалы), в территориальные учреждения Банка России не позднее 7-го рабочего дня месяца, следующего за отчетным кварталом.</w:t>
      </w:r>
    </w:p>
    <w:p>
      <w:pPr>
        <w:pStyle w:val="MainText"/>
        <w:rPr/>
      </w:pPr>
      <w:r>
        <w:rPr/>
        <w:t>Кредитные организации (их филиалы), которые в отчетном периоде не осуществляли эмиссию и (или) эквайринг платежных карт и по состоянию на 1-е число месяца, следующего за отчетным периодом, не имеют банкоматов, оснащенных функцией приема наличных денежных средств, посредством которых можно осуществлять операции с использованием и без использования платежных карт, направляют в территориальные учреждения Банка России сообщение “Кредитная организация не является эмитентом и эквайрером и не имеет банкоматов по приему наличных денежных средств с использованием и без использования платежных карт” (разделы I—III Отчета при этом не представляются).</w:t>
      </w:r>
    </w:p>
    <w:p>
      <w:pPr>
        <w:pStyle w:val="MainText"/>
        <w:rPr/>
      </w:pPr>
      <w:r>
        <w:rPr/>
        <w:t>Кредитные организации (их филиалы), которые в отчетном периоде не осуществляли эмиссию и (или) эквайринг платежных карт, но по состоянию на 1-е число месяца, следующего за отчетным периодом, имеют банкоматы, оснащенные функцией приема наличных денежных средств, посредством которых можно осуществлять операции с использованием и без использования платежных карт, заполняют только раздел II Отчета.</w:t>
      </w:r>
    </w:p>
    <w:p>
      <w:pPr>
        <w:pStyle w:val="MainText"/>
        <w:rPr/>
      </w:pPr>
      <w:r>
        <w:rPr/>
        <w:t>2.1. Головной офис кредитной организации представляет в территориальное учреждение Банка России, осуществляющее надзор за его деятельностью:</w:t>
      </w:r>
    </w:p>
    <w:p>
      <w:pPr>
        <w:pStyle w:val="MainText"/>
        <w:rPr/>
      </w:pPr>
      <w:r>
        <w:rPr/>
        <w:t>сводный Отчет по головному офису кредитной организации и филиалам, надзор за деятельностью которых осуществляет одно территориальное учреждение Банка России;</w:t>
      </w:r>
    </w:p>
    <w:p>
      <w:pPr>
        <w:pStyle w:val="MainText"/>
        <w:rPr/>
      </w:pPr>
      <w:r>
        <w:rPr/>
        <w:t>отчеты зарубежных филиалов кредитной организации.</w:t>
      </w:r>
    </w:p>
    <w:p>
      <w:pPr>
        <w:pStyle w:val="MainText"/>
        <w:rPr/>
      </w:pPr>
      <w:r>
        <w:rPr/>
        <w:t>2.2. В случае если надзор за деятельностью головного офиса и филиала кредитной организации осуществляют разные территориальные учреждения Банка России, то филиал кредитной организации представляет Отчет непосредственно в территориальное учреждение Банка России, осуществляющее надзор за его деятельностью.</w:t>
      </w:r>
    </w:p>
    <w:p>
      <w:pPr>
        <w:pStyle w:val="MainText"/>
        <w:rPr/>
      </w:pPr>
      <w:r>
        <w:rPr/>
        <w:t>2.3. Подразделения крупной кредитной организации с широкой сетью подразделений представляют Отчет с учетом следующих особенностей.</w:t>
      </w:r>
    </w:p>
    <w:p>
      <w:pPr>
        <w:pStyle w:val="MainText"/>
        <w:rPr/>
      </w:pPr>
      <w:r>
        <w:rPr/>
        <w:t>Головной офис крупной кредитной организации с широкой сетью подразделений представляет сводный Отчет по головному офису и отделениям, расположенным на территории одного субъекта Российской Федерации, в территориальное учреждение Банка России, осуществляющее надзор за его деятельностью.</w:t>
      </w:r>
    </w:p>
    <w:p>
      <w:pPr>
        <w:pStyle w:val="MainText"/>
        <w:rPr/>
      </w:pPr>
      <w:r>
        <w:rPr/>
        <w:t>Территориальный банк крупной кредитной организации с широкой сетью подразделений представляет сводный Отчет по территориальному банку и отделениям, расположенным на территории одного субъекта Российской Федерации, в территориальное учреждение Банка России, осуществляющее надзор за его деятельностью.</w:t>
      </w:r>
    </w:p>
    <w:p>
      <w:pPr>
        <w:pStyle w:val="MainText"/>
        <w:rPr/>
      </w:pPr>
      <w:r>
        <w:rPr/>
        <w:t>На территории субъекта Российской Федерации, где отсутствует территориальный банк крупной кредитной организации с широкой сетью подразделений, сводный Отчет по отделениям, расположенным на этой территории, представляется тем отделением, на которое крупной кредитной организацией с широкой сетью подразделений возложены функции по сбору и представлению сводного Отчета в территориальное учреждение Банка России, осуществляющее надзор за его деятельностью.</w:t>
      </w:r>
    </w:p>
    <w:p>
      <w:pPr>
        <w:pStyle w:val="MainText"/>
        <w:rPr/>
      </w:pPr>
      <w:r>
        <w:rPr/>
        <w:t>3. В разделе I (графы 6—20) и разделе III Отчета данные указываются за отчетный период.</w:t>
      </w:r>
    </w:p>
    <w:p>
      <w:pPr>
        <w:pStyle w:val="MainText"/>
        <w:rPr/>
      </w:pPr>
      <w:r>
        <w:rPr/>
        <w:t>В разделе I (графы 4, 5) и разделе II Отчета данные указываются по состоянию на отчетную дату.</w:t>
      </w:r>
    </w:p>
    <w:p>
      <w:pPr>
        <w:pStyle w:val="MainText"/>
        <w:rPr/>
      </w:pPr>
      <w:r>
        <w:rPr/>
        <w:t>4. Справочная информация о кодах и наименованиях платежных систем с использованием платежных карт направляется в кредитные организации (их филиалы) территориальными учреждениями Банка России в 1-й рабочий день месяца, следующего за отчетным кварталом, а также по мере ее изменения.</w:t>
      </w:r>
    </w:p>
    <w:p>
      <w:pPr>
        <w:pStyle w:val="MainText"/>
        <w:rPr/>
      </w:pPr>
      <w:r>
        <w:rPr/>
        <w:t>5. При составлении Отчета необходимо соблюдать следующие требования.</w:t>
      </w:r>
    </w:p>
    <w:p>
      <w:pPr>
        <w:pStyle w:val="MainText"/>
        <w:rPr/>
      </w:pPr>
      <w:r>
        <w:rPr/>
        <w:t>5.1. Данные, отражаемые в Отчете в тысячах рублей, указываются с двумя знаками после запятой или точки.</w:t>
      </w:r>
    </w:p>
    <w:p>
      <w:pPr>
        <w:pStyle w:val="MainText"/>
        <w:rPr/>
      </w:pPr>
      <w:r>
        <w:rPr/>
        <w:t>5.2. Пересчет в рубли сумм операций, совершенных в иностранной валюте, осуществляется по официальному курсу иностранной валюты по отношению к рублю, установленному Банком России, на дату представления в кредитную организацию подтверждающих документов (реестра платежей или электронного журнала).</w:t>
      </w:r>
    </w:p>
    <w:p>
      <w:pPr>
        <w:pStyle w:val="MainText"/>
        <w:rPr/>
      </w:pPr>
      <w:r>
        <w:rPr/>
        <w:t>5.3. Если операции были совершены в течение отчетного периода, а документы, их подтверждающие (реестр платежей или электронный журнал), были представлены в кредитную организацию в период, следующий за отчетным периодом, то сведения о таких операциях включаются в тот отчетный период, в который были представлены подтверждающие документы.</w:t>
      </w:r>
    </w:p>
    <w:p>
      <w:pPr>
        <w:pStyle w:val="MainText"/>
        <w:rPr/>
      </w:pPr>
      <w:r>
        <w:rPr/>
        <w:t>5.4. Операции, по которым в отчетном периоде был осуществлен возврат денежных средств на всю сумму операции, в Отчет не включаются. В Отчете отражаются фактические количество и сумма операций, по которым в отчетном периоде был осуществлен частичный возврат денежных средств. В случае если в отчетном периоде был осуществлен возврат денежных средств по операциям, совершенным в предыдущем отчетном периоде, сведения об операциях за отчетный период корректируются в части количества и суммы указанных операций.</w:t>
      </w:r>
    </w:p>
    <w:p>
      <w:pPr>
        <w:pStyle w:val="MainText"/>
        <w:rPr/>
      </w:pPr>
      <w:r>
        <w:rPr/>
        <w:t>5.5. При заполнении разделов I и III в Отчет не включаются:</w:t>
      </w:r>
    </w:p>
    <w:p>
      <w:pPr>
        <w:pStyle w:val="MainText"/>
        <w:rPr/>
      </w:pPr>
      <w:r>
        <w:rPr/>
        <w:t>сумма комиссии;</w:t>
      </w:r>
    </w:p>
    <w:p>
      <w:pPr>
        <w:pStyle w:val="MainText"/>
        <w:rPr/>
      </w:pPr>
      <w:r>
        <w:rPr/>
        <w:t>операции с использованием платежных карт, связанные с приемом наличных денежных средств в целях пополнения банковских счетов, погашения кредитов и тому подобное.</w:t>
      </w:r>
    </w:p>
    <w:p>
      <w:pPr>
        <w:pStyle w:val="MainText"/>
        <w:rPr/>
      </w:pPr>
      <w:r>
        <w:rPr/>
        <w:t>Также в раздел III не включаются операции с использованием платежных карт по перечислению денежных средств, не связанному с оплатой товаров (работ, услуг), например: таможенные платежи, взносы на благотворительные цели, перечисления денежных средств на другие банковские счета и тому подобное.</w:t>
      </w:r>
    </w:p>
    <w:p>
      <w:pPr>
        <w:pStyle w:val="MainText"/>
        <w:rPr/>
      </w:pPr>
      <w:r>
        <w:rPr/>
        <w:t>5.6. При заполнении графы 2 разделов I, II и III Отчета указывается код территории, соответствующий первым двум разрядам кода по Общероссийскому классификатору объектов административно-территориального деления (ОКАТО).</w:t>
      </w:r>
    </w:p>
    <w:p>
      <w:pPr>
        <w:pStyle w:val="MainText"/>
        <w:rPr/>
      </w:pPr>
      <w:r>
        <w:rPr/>
        <w:t>6. В разделе I Отчета сведения указываются в разрезе платежных систем с использованием платежных карт и группируются по коду территории субъекта Российской Федерации, где были выданы банковские карты.</w:t>
      </w:r>
    </w:p>
    <w:p>
      <w:pPr>
        <w:pStyle w:val="MainText"/>
        <w:rPr/>
      </w:pPr>
      <w:r>
        <w:rPr/>
        <w:t>6.1. Головной офис (филиал) кредитной организации, осуществляющий обслуживание своих клиентов — держателей расчетных, кредитных карт в соответствии с договорами банковского счета (кредитного договора) и (или) исполнение своих обязательств по операциям с использованием предоплаченных карт, включает в раздел I сведения обо всех операциях, совершенных клиентами головного офиса (филиала) кредитной организации (кроме перечисленных в подпункте 5.5 пункта 5 настоящего Порядка), а именно:</w:t>
      </w:r>
    </w:p>
    <w:p>
      <w:pPr>
        <w:pStyle w:val="MainText"/>
        <w:rPr/>
      </w:pPr>
      <w:r>
        <w:rPr/>
        <w:t>операции по получению клиентами наличных денежных средств на территории Российской Федерации и за ее пределами;</w:t>
      </w:r>
    </w:p>
    <w:p>
      <w:pPr>
        <w:pStyle w:val="MainText"/>
        <w:rPr/>
      </w:pPr>
      <w:r>
        <w:rPr/>
        <w:t>платежи за товары (работы, услуги), включая оплату коммунальных услуг, в валюте Российской Федерации и иностранной валюте, совершенные на территории Российской Федерации и за ее пределами;</w:t>
      </w:r>
    </w:p>
    <w:p>
      <w:pPr>
        <w:pStyle w:val="MainText"/>
        <w:rPr/>
      </w:pPr>
      <w:r>
        <w:rPr/>
        <w:t>таможенные платежи;</w:t>
      </w:r>
    </w:p>
    <w:p>
      <w:pPr>
        <w:pStyle w:val="MainText"/>
        <w:rPr/>
      </w:pPr>
      <w:r>
        <w:rPr/>
        <w:t>прочие операции, не указанные в абзацах втором—четвертом настоящего подпункта, например: взносы на благотворительные цели, перечисления денежных средств на другие банковские счета и тому подобное.</w:t>
      </w:r>
    </w:p>
    <w:p>
      <w:pPr>
        <w:pStyle w:val="MainText"/>
        <w:rPr/>
      </w:pPr>
      <w:r>
        <w:rPr/>
        <w:t>6.2. В графе 4 раздела I Отчета указывается количество клиентов, заключивших договоры с кредитной организацией (ее филиалом), предусматривающие осуществление операций с использованием расчетных или кредитных карт, и (или) количество физических лиц, которым головной офис (филиал) кредитной организации выдал предоплаченные карты. В указанную графу не включаются сведения о клиенте, если по состоянию на 1-е число месяца, следующего за отчетным периодом, у клиента головного офиса (филиала) кредитной организации, составляющего Отчет, срок действия выданной этим головным офисом (филиалом) кредитной организации банковской карты истек и ее перевыпуск не планируется или в течение года не был произведен.</w:t>
      </w:r>
    </w:p>
    <w:p>
      <w:pPr>
        <w:pStyle w:val="MainText"/>
        <w:rPr/>
      </w:pPr>
      <w:r>
        <w:rPr/>
        <w:t>6.3. В графе 5 раздела I Отчета указывается фактическое количество действующих по состоянию на 1-е число месяца, следующего за отчетным периодом, банковских карт, выданных головным офисом (филиалом) кредитной организации, составляющим Отчет. Сведения о банковских картах с истекшим сроком действия в указанную графу не включаются.</w:t>
      </w:r>
    </w:p>
    <w:p>
      <w:pPr>
        <w:pStyle w:val="MainText"/>
        <w:rPr/>
      </w:pPr>
      <w:r>
        <w:rPr/>
        <w:t>6.4. В графе 6 раздела I Отчета указывается количество банковских карт, с использованием которых в течение отчетного периода совершались операции, указанные в подпункте 6.1 настоящего пункта, в том числе учитывается количество банковских карт, у которых по состоянию на 1-е число месяца, следующего за отчетным периодом, срок действия истек, а в течение отчетного периода совершались операции с их использованием.</w:t>
      </w:r>
    </w:p>
    <w:p>
      <w:pPr>
        <w:pStyle w:val="MainText"/>
        <w:rPr/>
      </w:pPr>
      <w:r>
        <w:rPr/>
        <w:t>6.5. Количество банковских карт, указанное в графах 5 и 6 строк “Итого по ________________________________”,</w:t>
      </w:r>
    </w:p>
    <w:p>
      <w:pPr>
        <w:pStyle w:val="MainTextBezOtstupa"/>
        <w:ind w:end="850"/>
        <w:jc w:val="end"/>
        <w:rPr>
          <w:sz w:val="16"/>
        </w:rPr>
      </w:pPr>
      <w:r>
        <w:rPr>
          <w:sz w:val="16"/>
        </w:rPr>
        <w:t>(наименование территории)</w:t>
      </w:r>
    </w:p>
    <w:p>
      <w:pPr>
        <w:pStyle w:val="MainTextBezOtstupa"/>
        <w:rPr/>
      </w:pPr>
      <w:r>
        <w:rPr/>
        <w:t>“</w:t>
      </w:r>
      <w:r>
        <w:rPr/>
        <w:t>Итого по кредитной организации (ее филиалу)” Отчета, может быть меньше суммарного количества банковских карт по всем указанным в Отчете платежным системам только в том случае, если головной офис (филиал) кредитной организации эмитирует совмещенные карты, то есть карты, позволяющие их держателям совершать операции в двух и более платежных системах, участником которых является данная кредитная организация.</w:t>
      </w:r>
    </w:p>
    <w:p>
      <w:pPr>
        <w:pStyle w:val="MainText"/>
        <w:rPr/>
      </w:pPr>
      <w:r>
        <w:rPr/>
        <w:t>6.6. В графе 7 раздела I Отчета указываются сведения о всех операциях, совершенных клиентами головного офиса (филиала) кредитной организации — держателями расчетных карт в пределах наличия денежных средств на счете держателей этих карт, а также сведения об операциях, совершенных с использованием предоплаченных карт.</w:t>
      </w:r>
    </w:p>
    <w:p>
      <w:pPr>
        <w:pStyle w:val="MainText"/>
        <w:rPr/>
      </w:pPr>
      <w:r>
        <w:rPr/>
        <w:t>В графе 8 раздела I Отчета отражаются сведения о всех операциях, совершенных клиентами головного офиса (филиала) кредитной организации — держателями кредитных карт, а также держателями расчетных карт за счет предоставления кредита “овердрафт”.</w:t>
      </w:r>
    </w:p>
    <w:p>
      <w:pPr>
        <w:pStyle w:val="MainText"/>
        <w:rPr/>
      </w:pPr>
      <w:r>
        <w:rPr/>
        <w:t>В разделе I сумма граф 7 и 8 Отчета должна быть равна сумме граф 10, 12, 14, 16, 18, 20.</w:t>
      </w:r>
    </w:p>
    <w:p>
      <w:pPr>
        <w:pStyle w:val="MainText"/>
        <w:rPr/>
      </w:pPr>
      <w:r>
        <w:rPr/>
        <w:t>6.7. При заполнении строк “Всего по ________________________________________” подразделов 1 и 2 раздела I</w:t>
      </w:r>
    </w:p>
    <w:p>
      <w:pPr>
        <w:pStyle w:val="MainTextBezOtstupa"/>
        <w:ind w:start="4253" w:end="0"/>
        <w:rPr>
          <w:sz w:val="16"/>
        </w:rPr>
      </w:pPr>
      <w:r>
        <w:rPr>
          <w:sz w:val="16"/>
        </w:rPr>
        <w:t>(наименование и код платежной системы)</w:t>
      </w:r>
    </w:p>
    <w:p>
      <w:pPr>
        <w:pStyle w:val="MainTextBezOtstupa"/>
        <w:rPr/>
      </w:pPr>
      <w:r>
        <w:rPr/>
        <w:t>Отчета головной офис (филиал) кредитной организации отражает общее количество выданных им банковских карт (расчетных, кредитных и предоплаченных карт) указанной платежной системы физическим лицам (подраздел 1) и юридическим лицам (подраздел 2), а также сведения об операциях, указанных в подпункте 6.1 настоящего пункта.</w:t>
      </w:r>
    </w:p>
    <w:p>
      <w:pPr>
        <w:pStyle w:val="MainText"/>
        <w:rPr/>
      </w:pPr>
      <w:r>
        <w:rPr/>
        <w:t>6.8. В разделе I Отчета в строках “расчетные карты” и “из них расчетные карты с “овердрафтом” учитываются сведения о количестве и сумме операций, совершенных с использованием расчетных карт, позволяющих их держателю распоряжаться денежными средствами на его счете в пределах остатка денежных средств, а также получать кредит “овердрафт”.</w:t>
      </w:r>
    </w:p>
    <w:p>
      <w:pPr>
        <w:pStyle w:val="MainText"/>
        <w:rPr/>
      </w:pPr>
      <w:r>
        <w:rPr/>
        <w:t>6.9. В графах 17 и 18 раздела I Отчета указываются сведения о количестве и сумме таможенных платежей в валюте Российской Федерации и иностранной валюте, совершенных с использованием банковских карт клиентами головного офиса (филиала) кредитной организации, составляющего Отчет.</w:t>
      </w:r>
    </w:p>
    <w:p>
      <w:pPr>
        <w:pStyle w:val="MainText"/>
        <w:rPr/>
      </w:pPr>
      <w:r>
        <w:rPr/>
        <w:t>6.10. В графах 19 и 20 раздела I Отчета указываются сведения о количестве и сумме операций, перечисленных в абзаце пятом подпункта 6.1 настоящего пункта.</w:t>
      </w:r>
    </w:p>
    <w:p>
      <w:pPr>
        <w:pStyle w:val="MainText"/>
        <w:rPr/>
      </w:pPr>
      <w:r>
        <w:rPr/>
        <w:t>7. В раздел II включаются сведения о количестве устройств, посредством которых по состоянию на 1-е число месяца, следующего за отчетным периодом, можно осуществлять операции выдачи (приема) наличных денежных средств и платежи за товары (работы, услуги), в том числе без использования платежных карт, а именно:</w:t>
      </w:r>
    </w:p>
    <w:p>
      <w:pPr>
        <w:pStyle w:val="MainText"/>
        <w:rPr/>
      </w:pPr>
      <w:r>
        <w:rPr/>
        <w:t>количество банкоматов</w:t>
      </w:r>
      <w:r>
        <w:rPr>
          <w:vertAlign w:val="superscript"/>
        </w:rPr>
        <w:t>1</w:t>
      </w:r>
      <w:r>
        <w:rPr/>
        <w:t>;</w:t>
      </w:r>
    </w:p>
    <w:p>
      <w:pPr>
        <w:pStyle w:val="MainText"/>
        <w:rPr/>
      </w:pPr>
      <w:r>
        <w:rPr/>
        <w:t>количество электронных устройств, предназначенных для совершения операций с использованием платежных карт и конструкция которых не предусматривает прием (выдачу) наличных денежных средств (далее — электронные терминалы);</w:t>
      </w:r>
    </w:p>
    <w:p>
      <w:pPr>
        <w:pStyle w:val="MainText"/>
        <w:rPr/>
      </w:pPr>
      <w:r>
        <w:rPr/>
        <w:t>количество механических устройств, предназначенных для переноса оттиска рельефных реквизитов банковской карты на документ, составленный на бумажном носителе (далее — импринтеры).</w:t>
      </w:r>
    </w:p>
    <w:p>
      <w:pPr>
        <w:pStyle w:val="MainText"/>
        <w:rPr/>
      </w:pPr>
      <w:r>
        <w:rPr/>
        <w:t>7.1. Устройства (кроме банкоматов с функцией приема наличных денег без использования платежных карт), принимающие платежные карты разных платежных систем с использованием платежных карт, учитываются в графах 4—7, 9—14 раздела II в разрезе каждой платежной системы с использованием платежных карт. При этом в графах 4—7, 9—14 строк “Итого по ______________________________”, “Итого по кредитной организации (ее филиалу)”</w:t>
      </w:r>
    </w:p>
    <w:p>
      <w:pPr>
        <w:pStyle w:val="MainTextBezOtstupa"/>
        <w:ind w:start="3686" w:end="0"/>
        <w:jc w:val="start"/>
        <w:rPr>
          <w:sz w:val="16"/>
        </w:rPr>
      </w:pPr>
      <w:r>
        <w:rPr>
          <w:sz w:val="16"/>
        </w:rPr>
        <w:t>(наименование территории)</w:t>
      </w:r>
    </w:p>
    <w:p>
      <w:pPr>
        <w:pStyle w:val="MainTextBezOtstupa"/>
        <w:rPr/>
      </w:pPr>
      <w:r>
        <w:rPr/>
        <w:t>Отчета указывается фактическое количество устройств, а не сумма значений соответствующей графы по всем указанным платежным системам с использованием платежных карт.</w:t>
      </w:r>
    </w:p>
    <w:p>
      <w:pPr>
        <w:pStyle w:val="MainText"/>
        <w:rPr/>
      </w:pPr>
      <w:r>
        <w:rPr/>
        <w:t>7.2. В графах 4—9 раздела II Отчета филиал (головной офис) кредитной организации указывает сведения о количестве банкоматов, находящихся в собственности или лизинге, или безвозмездном пользовании этого филиала (головного офиса), либо арендованных им, и посредством которых по состоянию на 1-е число месяца, следующего за отчетным периодом, можно осуществлять:</w:t>
      </w:r>
    </w:p>
    <w:p>
      <w:pPr>
        <w:pStyle w:val="MainText"/>
        <w:rPr/>
      </w:pPr>
      <w:r>
        <w:rPr/>
        <w:t>операции выдачи наличных денег;</w:t>
      </w:r>
    </w:p>
    <w:p>
      <w:pPr>
        <w:pStyle w:val="MainText"/>
        <w:rPr/>
      </w:pPr>
      <w:r>
        <w:rPr/>
        <w:t>операции приема наличных денег;</w:t>
      </w:r>
    </w:p>
    <w:p>
      <w:pPr>
        <w:pStyle w:val="MainText"/>
        <w:rPr/>
      </w:pPr>
      <w:r>
        <w:rPr/>
        <w:t>платежи за товары (работы, услуги) независимо от того, осуществляет или не осуществляет этот филиал (головной офис) расчеты по указанным операциям с организациями торговли (услуг) на основании заключенных договоров.</w:t>
      </w:r>
    </w:p>
    <w:p>
      <w:pPr>
        <w:pStyle w:val="MainText"/>
        <w:rPr/>
      </w:pPr>
      <w:r>
        <w:rPr/>
        <w:t>7.2.1. В графе 4 раздела II Отчета указываются сведения о фактическом количестве банкоматов, а не сумма значений в графах 5 и 7 раздела II.</w:t>
      </w:r>
    </w:p>
    <w:p>
      <w:pPr>
        <w:pStyle w:val="MainText"/>
        <w:rPr/>
      </w:pPr>
      <w:r>
        <w:rPr/>
        <w:t>7.2.2. В графе 5 раздела II Отчета указываются сведения о количестве банкоматов, посредством которых можно осуществлять как операции выдачи наличных денег, так и операции выдачи наличных денег и платежи за товары (работы, услуги).</w:t>
      </w:r>
    </w:p>
    <w:p>
      <w:pPr>
        <w:pStyle w:val="MainText"/>
        <w:rPr/>
      </w:pPr>
      <w:r>
        <w:rPr/>
        <w:t>7.2.3. В графе 6 раздела II Отчета указываются сведения о количестве банкоматов, посредством которых можно осуществлять операции выдачи наличных денег и платежи за товары (работы, услуги) с использованием платежных карт.</w:t>
      </w:r>
    </w:p>
    <w:p>
      <w:pPr>
        <w:pStyle w:val="MainText"/>
        <w:rPr/>
      </w:pPr>
      <w:r>
        <w:rPr/>
        <w:t>7.2.4. В графе 7 раздела II Отчета указываются сведения о фактическом количестве банкоматов с функцией приема наличных денег. При этом значение в этой графе может быть меньше суммы значений в графах 8 и 9 раздела II только в случае наличия у кредитной организации банкоматов, посредством которых можно осуществлять операции по приему наличных денежных средств как с использованием платежных карт (их реквизитов), так и без использования платежных карт (их реквизитов).</w:t>
      </w:r>
    </w:p>
    <w:p>
      <w:pPr>
        <w:pStyle w:val="MainText"/>
        <w:rPr/>
      </w:pPr>
      <w:r>
        <w:rPr/>
        <w:t>7.2.5. В графе 8 раздела II Отчета указываются сведения о количестве банкоматов, посредством которых можно осуществлять операции по приему наличных денежных средств без использования платежных карт (их реквизитов) в целях оплаты услуг, погашения кредитов, зачисления на счета физических лиц, обмена валюты одного государства на валюту другого государства и тому подобное.</w:t>
      </w:r>
    </w:p>
    <w:p>
      <w:pPr>
        <w:pStyle w:val="MainText"/>
        <w:rPr/>
      </w:pPr>
      <w:r>
        <w:rPr/>
        <w:t>7.2.6. В графе 9 раздела II Отчета указываются сведения о количестве банкоматов, посредством которых можно осуществлять операции по приему наличных денежных средств с использованием платежных карт (их реквизитов) в целях оплаты услуг, погашения кредитов, зачисления на счета физических лиц, обмена валюты одного государства на валюту другого государства и тому подобное.</w:t>
      </w:r>
    </w:p>
    <w:p>
      <w:pPr>
        <w:pStyle w:val="MainText"/>
        <w:rPr/>
      </w:pPr>
      <w:r>
        <w:rPr/>
        <w:t>7.3. В графах 10—12 раздела II Отчета филиал (головной офис) кредитной организации указывает сведения о количестве электронных терминалов, в том числе электронных терминалов, предназначенных для осуществления платежей за товары (работы, услуги) с использованием платежных карт без участия уполномоченного работника кредитной организации или организации торговли (услуг) (далее — электронные терминалы удаленного доступа), посредством которых по состоянию на 1-е число месяца, следующего за отчетным периодом, можно осуществлять с использованием платежных карт:</w:t>
      </w:r>
    </w:p>
    <w:p>
      <w:pPr>
        <w:pStyle w:val="MainText"/>
        <w:rPr/>
      </w:pPr>
      <w:r>
        <w:rPr/>
        <w:t>платежи за товары (работы, услуги), осуществленные посредством электронных терминалов, находящихся в собственности или лизинге, или безвозмездном пользовании этого филиала (головного офиса), либо арендованных им, независимо от того, осуществляет или не осуществляет этот филиал (головной офис) расчеты по указанным платежам с организациями торговли (услуг), в том числе с магазинами беспошлинной торговли, на основании заключенных договоров;</w:t>
      </w:r>
    </w:p>
    <w:p>
      <w:pPr>
        <w:pStyle w:val="MainText"/>
        <w:rPr/>
      </w:pPr>
      <w:r>
        <w:rPr/>
        <w:t>платежи за товары (работы, услуги), осуществленные посредством электронных терминалов, находящихся в собственности или лизинге, или безвозмездном пользовании организаций, не являющихся кредитными, либо арендованных ими, расчеты по которым с организациями торговли (услуг), в том числе с магазинами беспошлинной торговли, на основании заключенных договоров осуществляет отчитывающийся филиал (головной офис);</w:t>
      </w:r>
    </w:p>
    <w:p>
      <w:pPr>
        <w:pStyle w:val="MainText"/>
        <w:rPr/>
      </w:pPr>
      <w:r>
        <w:rPr/>
        <w:t>операции по получению наличных денежных средств, осуществленные посредством электронных терминалов, установленных в пунктах выдачи наличных денежных средств отчитывающегося филиала (головного офиса), включая организации, которым в соответствии с законодательством Российской Федерации предоставлено право совершать указанные операции (например, организации почтовой связи) (далее — ПВН).</w:t>
      </w:r>
    </w:p>
    <w:p>
      <w:pPr>
        <w:pStyle w:val="MainText"/>
        <w:rPr/>
      </w:pPr>
      <w:r>
        <w:rPr/>
        <w:t>7.3.1. В графе 10 раздела II Отчета указываются сведения о количестве электронных терминалов, установленных в организациях торговли (услуг) для осуществления операций, перечисленных в абзацах втором и третьем подпункта 7.3 настоящего Порядка.</w:t>
      </w:r>
    </w:p>
    <w:p>
      <w:pPr>
        <w:pStyle w:val="MainText"/>
        <w:rPr/>
      </w:pPr>
      <w:r>
        <w:rPr/>
        <w:t>7.3.2. В графе 11 раздела II Отчета указываются сведения о количестве электронных терминалов удаленного доступа, посредством которых можно совершать операции, перечисленные в абзацах втором и третьем подпункта 7.3 настоящего Порядка.</w:t>
      </w:r>
    </w:p>
    <w:p>
      <w:pPr>
        <w:pStyle w:val="MainText"/>
        <w:rPr/>
      </w:pPr>
      <w:r>
        <w:rPr/>
        <w:t>7.3.3. В графе 12 раздела II Отчета указываются сведения о количестве электронных терминалов, установленных в ПВН для осуществления операций, указанных в абзаце четвертом подпункта 7.3 настоящего Порядка.</w:t>
      </w:r>
    </w:p>
    <w:p>
      <w:pPr>
        <w:pStyle w:val="MainText"/>
        <w:rPr/>
      </w:pPr>
      <w:r>
        <w:rPr/>
        <w:t>7.4. В графах 13 и 14 раздела II Отчета филиал (головной офис) кредитной организации указывает сведения о количестве импринтеров, посредством которых по состоянию на 1-е число месяца, следующего за отчетным периодом, можно осуществлять операции с использованием платежных карт, перечисленные в подпункте 7.3 настоящего пункта. Сведения о количестве импринтеров, которые используются только в случае, когда невозможно применение электронного терминала, в графы 13 и 14 раздела II не включаются.</w:t>
      </w:r>
    </w:p>
    <w:p>
      <w:pPr>
        <w:pStyle w:val="MainText"/>
        <w:rPr/>
      </w:pPr>
      <w:r>
        <w:rPr/>
        <w:t>7.4.1. В графе 13 раздела II Отчета указываются сведения о количестве импринтеров, посредством которых можно совершать операции, перечисленные в абзацах втором и третьем пункта 7.3 настоящего Порядка.</w:t>
      </w:r>
    </w:p>
    <w:p>
      <w:pPr>
        <w:pStyle w:val="MainText"/>
        <w:rPr/>
      </w:pPr>
      <w:r>
        <w:rPr/>
        <w:t>7.4.2. В графе 14 раздела II указываются сведения о количестве импринтеров, посредством которых можно совершать операции, указанные в абзаце четвертом пункта 7.3 настоящего Порядка.</w:t>
      </w:r>
    </w:p>
    <w:p>
      <w:pPr>
        <w:pStyle w:val="MainText"/>
        <w:rPr/>
      </w:pPr>
      <w:r>
        <w:rPr/>
        <w:t>8. В разделе III сведения об операциях, совершенных с использованием платежных карт (кроме перечисленных в подпункте 5.5 пункта 5 настоящего Порядка), указываются в разрезе платежных систем с использованием платежных карт и группируются по коду территории субъекта Российской Федерации, где совершены указанные операции (кроме подраздела 4 раздела III). Сведения об указанных операциях, совершенных в организациях торговли (услуг), реализующих товары (работы, услуги) через сеть Интернет, посредством мобильных телефонов, телефонов и тому подобное, группируются по коду территории субъекта Российской Федерации, где расположен составляющий Отчет филиал (головной офис) кредитной организации.</w:t>
      </w:r>
    </w:p>
    <w:p>
      <w:pPr>
        <w:pStyle w:val="MainText"/>
        <w:rPr/>
      </w:pPr>
      <w:r>
        <w:rPr/>
        <w:t>8.1. При заполнении подразделов 1, 2 и 3 раздела III Отчета филиал (головной офис) кредитной организации отражает сведения о всех операциях, совершенных с использованием платежных карт на территории Российской Федерации (кроме перечисленных в подпункте 5.5 пункта 5 настоящего Порядка), а именно:</w:t>
      </w:r>
    </w:p>
    <w:p>
      <w:pPr>
        <w:pStyle w:val="MainText"/>
        <w:rPr/>
      </w:pPr>
      <w:r>
        <w:rPr/>
        <w:t>об операциях по получению наличных денежных средств в ПВН и банкоматах филиала (головного офиса) кредитной организации, совершенных как держателями платежных карт — клиентами данного филиала и (или) головного офиса и других филиалов данной кредитной организации (подраздел 1), так и держателями платежных карт других эмитентов-резидентов (подраздел 2) и нерезидентов (подраздел 3);</w:t>
      </w:r>
    </w:p>
    <w:p>
      <w:pPr>
        <w:pStyle w:val="MainText"/>
        <w:rPr/>
      </w:pPr>
      <w:r>
        <w:rPr/>
        <w:t>об операциях по оплате товаров (работ, услуг), совершенных как держателями платежных карт — клиентами филиала и (или) головного офиса и других филиалов данной кредитной организации (подраздел 1), так и держателями платежных карт других эмитентов-резидентов (подраздел 2) и нерезидентов (подраздел 3).</w:t>
      </w:r>
    </w:p>
    <w:p>
      <w:pPr>
        <w:pStyle w:val="MainText"/>
        <w:rPr/>
      </w:pPr>
      <w:r>
        <w:rPr/>
        <w:t>8.2. При заполнении подраздела 4 раздела III Отчета филиал (головной офис) кредитной организации отражает сведения о всех операциях, совершенных через его устройства, предназначенные для приема платежных карт и размещенные за пределами территории Российской Федерации (кроме операций, перечисленных в подпункте 5.5 пункта 5 настоящего Порядка).</w:t>
      </w:r>
    </w:p>
    <w:p>
      <w:pPr>
        <w:pStyle w:val="MainText"/>
        <w:rPr/>
      </w:pPr>
      <w:r>
        <w:rPr/>
        <w:t>8.3. В разделе III Отчета филиал (головной офис) кредитной организации отражает сведения о совершенных посредством устройств (банкоматов, электронных терминалов, импринтеров), принимающих платежные карты, операциях с использованием платежных карт:</w:t>
      </w:r>
    </w:p>
    <w:p>
      <w:pPr>
        <w:pStyle w:val="MainText"/>
        <w:rPr/>
      </w:pPr>
      <w:r>
        <w:rPr/>
        <w:t>по оплате за товары (работы, услуги), расчеты по которым с организациями торговли (услуг) осуществляет на основании заключенных с ними договоров отчитывающийся филиал (головной офис), независимо от основания возникновения права использования устройств;</w:t>
      </w:r>
    </w:p>
    <w:p>
      <w:pPr>
        <w:pStyle w:val="MainText"/>
        <w:rPr/>
      </w:pPr>
      <w:r>
        <w:rPr/>
        <w:t>по выдаче наличных денежных средств, которые филиал (головной офис) отражает по балансовым счетам №№ 20202, 20206, 20207 (операции, совершенные через электронные терминалы и (или) импринтеры в ПВН филиала (головного офиса) и по счету № 20208 (операции, совершенные посредством банкоматов), независимо от основания возникновения права использования устройств.</w:t>
      </w:r>
    </w:p>
    <w:p>
      <w:pPr>
        <w:pStyle w:val="MainText"/>
        <w:rPr/>
      </w:pPr>
      <w:r>
        <w:rPr/>
        <w:t>8.4. В графах 4 и 5 раздела III Отчета указываются сведения о всех платежах за товары (работы, услуги), совершенных с использованием платежных карт (их реквизитов) в организациях торговли (услуг), реализующих товары (работы, услуги) через сеть Интернет, а также посредством банкоматов, электронных терминалов, импринтеров, телефонов, мобильных телефонов и тому подобное. При этом сведения об операциях, совершенных посредством телефонов, мобильных телефонов и тому подобное, учитываются только в графах 4 и 5 раздела III Отчета.</w:t>
      </w:r>
    </w:p>
    <w:p>
      <w:pPr>
        <w:pStyle w:val="MainText"/>
        <w:rPr/>
      </w:pPr>
      <w:r>
        <w:rPr/>
        <w:t>В графах 6 и 7 раздела III Отчета указываются сведения о всех платежах за товары (работы, услуги), совершенных через электронные терминалы (в том числе через электронные терминалы удаленного доступа) как с использованием самих платежных карт, так и с использованием их реквизитов.</w:t>
      </w:r>
    </w:p>
    <w:p>
      <w:pPr>
        <w:pStyle w:val="MainText"/>
        <w:rPr/>
      </w:pPr>
      <w:r>
        <w:rPr/>
        <w:t>В графах 8 и 9 раздела III Отчета указываются сведения о всех платежах за товары (работы, услуги), совершенных через импринтеры.</w:t>
      </w:r>
    </w:p>
    <w:p>
      <w:pPr>
        <w:pStyle w:val="MainText"/>
        <w:rPr/>
      </w:pPr>
      <w:r>
        <w:rPr/>
        <w:t>В графах 10 и 11 раздела III Отчета указываются сведения о платежах за товары (работы, услуги), совершенных посредством банкоматов.</w:t>
      </w:r>
    </w:p>
    <w:p>
      <w:pPr>
        <w:pStyle w:val="MainText"/>
        <w:rPr/>
      </w:pPr>
      <w:r>
        <w:rPr/>
        <w:t>В графах 12 и 13 раздела III Отчета указываются сведения о платежах за товары (работы, услуги), совершенных с использованием платежных карт (их реквизитов) в организациях торговли (услуг), реализующих товары (работы, услуги) через сеть Интернет.</w:t>
      </w:r>
    </w:p>
    <w:p>
      <w:pPr>
        <w:pStyle w:val="MainText"/>
        <w:rPr/>
      </w:pPr>
      <w:r>
        <w:rPr/>
        <w:t>8.5. В графах 14—19 раздела III Отчета указываются сведения о количестве и сумме операций по получению наличных денежных средств, совершенных с использованием платежных карт.</w:t>
      </w:r>
    </w:p>
    <w:p>
      <w:pPr>
        <w:pStyle w:val="MainText"/>
        <w:rPr/>
      </w:pPr>
      <w:r>
        <w:rPr/>
        <w:t>В графах 14 и 15 раздела III Отчета указываются количество и сумма операций по получению наличных денежных средств в банкоматах, совершенных в валюте Российской Федерации и иностранной валюте.</w:t>
      </w:r>
    </w:p>
    <w:p>
      <w:pPr>
        <w:pStyle w:val="MainText"/>
        <w:rPr/>
      </w:pPr>
      <w:r>
        <w:rPr/>
        <w:t>В графах 16 и 17 раздела III Отчета указываются общие количество и сумма операций по получению наличных денежных средств в ПВН и банкоматах, совершенных в валюте Российской Федерации и иностранной валюте.</w:t>
      </w:r>
    </w:p>
    <w:p>
      <w:pPr>
        <w:pStyle w:val="MainText"/>
        <w:spacing w:before="0" w:after="120"/>
        <w:rPr/>
      </w:pPr>
      <w:r>
        <w:rPr/>
        <w:t>В графах 18 и 19 раздела III Отчета указываются количество и сумма операций по получению наличных денежных средств в ПВН и банкоматах, совершенных в иностранной валюте.</w:t>
      </w:r>
    </w:p>
    <w:p>
      <w:pPr>
        <w:pStyle w:val="SnoskaLineTab"/>
        <w:keepLines w:val="false"/>
        <w:pBdr>
          <w:top w:val="single" w:sz="6" w:space="1" w:color="000000"/>
        </w:pBdr>
        <w:rPr/>
      </w:pPr>
      <w:r>
        <w:rPr>
          <w:vertAlign w:val="superscript"/>
        </w:rPr>
        <w:t>1</w:t>
      </w:r>
      <w:r>
        <w:rPr/>
        <w:t> Термин “банкомат” приведен в пункте 1.3 Положения Банка России от 24 декабря 2004 года № 266-П “Об эмиссии банковских карт и об операциях, совершаемых с использованием платежных карт”, зарегистрированного Министерством юстиции Российской Федерации 25 марта 2005 года № 6431, 30 октября 2006 года № 8416, 8 октября 2008 года № 12430 (“Вестник Банка России” от 30 марта 2005 года № 17, от 9 ноября 2006 года № 60, от 17 октября 2008 года № 58).</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b w:val="false"/>
        </w:rPr>
      </w:pPr>
      <w:r>
        <w:rPr>
          <w:color w:val="000000"/>
        </w:rPr>
        <w:t xml:space="preserve">СВЕДЕНИЯ О СЧЕТАХ КЛИЕНТОВ И ПЛАТЕЖАХ, </w:t>
        <w:br/>
        <w:t xml:space="preserve">ПРОВЕДЕННЫХ ЧЕРЕЗ КРЕДИТНУЮ ОРГАНИЗАЦИЮ (ЕЕ ФИЛИАЛ) </w:t>
        <w:br/>
        <w:t xml:space="preserve">за </w:t>
      </w:r>
      <w:r>
        <w:rPr/>
        <w:t>___________ квартал ______ г</w:t>
      </w:r>
      <w:r>
        <w:rPr>
          <w:b w:val="false"/>
        </w:rPr>
        <w:t>.</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0" w:after="60"/>
        <w:jc w:val="end"/>
        <w:rPr/>
      </w:pPr>
      <w:r>
        <w:rPr/>
        <w:t>Код формы по ОКУД 0409251</w:t>
        <w:br/>
        <w:t>Квартальная</w:t>
      </w:r>
    </w:p>
    <w:tbl>
      <w:tblPr>
        <w:tblW w:w="16267" w:type="dxa"/>
        <w:jc w:val="center"/>
        <w:tblInd w:w="0" w:type="dxa"/>
        <w:tblLayout w:type="fixed"/>
        <w:tblCellMar>
          <w:top w:w="0" w:type="dxa"/>
          <w:start w:w="107" w:type="dxa"/>
          <w:bottom w:w="0" w:type="dxa"/>
          <w:end w:w="107" w:type="dxa"/>
        </w:tblCellMar>
      </w:tblPr>
      <w:tblGrid>
        <w:gridCol w:w="959"/>
        <w:gridCol w:w="10206"/>
        <w:gridCol w:w="1247"/>
        <w:gridCol w:w="1304"/>
        <w:gridCol w:w="1247"/>
        <w:gridCol w:w="1304"/>
      </w:tblGrid>
      <w:tr>
        <w:trPr>
          <w:tblHeader w:val="true"/>
          <w:cantSplit/>
        </w:trPr>
        <w:tc>
          <w:tcPr>
            <w:tcW w:w="95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1020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2551"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Количество, единиц</w:t>
            </w:r>
          </w:p>
        </w:tc>
        <w:tc>
          <w:tcPr>
            <w:tcW w:w="2551"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Сумма, тыс. руб.</w:t>
            </w:r>
          </w:p>
        </w:tc>
      </w:tr>
      <w:tr>
        <w:trPr>
          <w:tblHeader w:val="true"/>
          <w:cantSplit/>
        </w:trPr>
        <w:tc>
          <w:tcPr>
            <w:tcW w:w="959"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w:t>
            </w:r>
          </w:p>
        </w:tc>
        <w:tc>
          <w:tcPr>
            <w:tcW w:w="10206"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валюте Российской Федерации</w:t>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иностранной валюте</w:t>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валюте Российской Федерации</w:t>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иностранной валюте</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20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1. Сведения о количестве счетов клиентов кредитной организации (ее филиала)</w:t>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1.1</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Счета, открытые клиентам — юридическим лицам, не являющимся кредитными организациями, и индивидуальным предпринимателям, которые могут использоваться для проведения платежей, всего,</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1.1.1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счета, по которым с начала отчетного года проводились операции по списанию денежных средств,</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end w:val="single" w:sz="6" w:space="0" w:color="000000"/>
            </w:tcBorders>
          </w:tcPr>
          <w:p>
            <w:pPr>
              <w:pStyle w:val="MainText"/>
              <w:ind w:hanging="0" w:start="113" w:end="0"/>
              <w:jc w:val="start"/>
              <w:rPr>
                <w:sz w:val="16"/>
              </w:rPr>
            </w:pPr>
            <w:r>
              <w:rPr>
                <w:sz w:val="16"/>
              </w:rPr>
              <w:t>из них:</w:t>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1.1.1.1</w:t>
            </w:r>
          </w:p>
        </w:tc>
        <w:tc>
          <w:tcPr>
            <w:tcW w:w="10206" w:type="dxa"/>
            <w:tcBorders>
              <w:top w:val="single" w:sz="6" w:space="0" w:color="000000"/>
              <w:start w:val="single" w:sz="6" w:space="0" w:color="000000"/>
              <w:end w:val="single" w:sz="6" w:space="0" w:color="000000"/>
            </w:tcBorders>
          </w:tcPr>
          <w:p>
            <w:pPr>
              <w:pStyle w:val="MainText"/>
              <w:ind w:hanging="0" w:start="113" w:end="0"/>
              <w:jc w:val="start"/>
              <w:rPr>
                <w:sz w:val="16"/>
              </w:rPr>
            </w:pPr>
            <w:r>
              <w:rPr>
                <w:sz w:val="16"/>
              </w:rPr>
              <w:t>доступ к которым предоставлен дистанционным способом,</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c>
          <w:tcPr>
            <w:tcW w:w="130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170"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1.1.1.1.1</w:t>
            </w:r>
          </w:p>
        </w:tc>
        <w:tc>
          <w:tcPr>
            <w:tcW w:w="10206" w:type="dxa"/>
            <w:tcBorders>
              <w:top w:val="single" w:sz="6" w:space="0" w:color="000000"/>
              <w:start w:val="single" w:sz="6" w:space="0" w:color="000000"/>
              <w:end w:val="single" w:sz="6" w:space="0" w:color="000000"/>
            </w:tcBorders>
          </w:tcPr>
          <w:p>
            <w:pPr>
              <w:pStyle w:val="MainText"/>
              <w:ind w:hanging="0" w:start="170" w:end="0"/>
              <w:jc w:val="start"/>
              <w:rPr>
                <w:sz w:val="16"/>
              </w:rPr>
            </w:pPr>
            <w:r>
              <w:rPr>
                <w:sz w:val="16"/>
              </w:rPr>
              <w:t>доступ к которым предоставлен через сеть Интернет</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c>
          <w:tcPr>
            <w:tcW w:w="130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1.2</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Счета, открытые клиентам — физическим лицам на основании договора банковского счета и договора банковского вклада, которые могут использоваться для проведения платежей, всего,</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1.2.1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счета, открытые на основании договора банковского счета</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c>
          <w:tcPr>
            <w:tcW w:w="130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1.2.2</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счета, по которым с начала отчетного года проводились операции по списанию денежных средств,</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end w:val="single" w:sz="6" w:space="0" w:color="000000"/>
            </w:tcBorders>
          </w:tcPr>
          <w:p>
            <w:pPr>
              <w:pStyle w:val="MainText"/>
              <w:ind w:hanging="0" w:start="113" w:end="0"/>
              <w:jc w:val="start"/>
              <w:rPr>
                <w:sz w:val="16"/>
              </w:rPr>
            </w:pPr>
            <w:r>
              <w:rPr>
                <w:sz w:val="16"/>
              </w:rPr>
              <w:t>из них:</w:t>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1.2.2.1</w:t>
            </w:r>
          </w:p>
        </w:tc>
        <w:tc>
          <w:tcPr>
            <w:tcW w:w="10206" w:type="dxa"/>
            <w:tcBorders>
              <w:top w:val="single" w:sz="6" w:space="0" w:color="000000"/>
              <w:start w:val="single" w:sz="6" w:space="0" w:color="000000"/>
              <w:end w:val="single" w:sz="6" w:space="0" w:color="000000"/>
            </w:tcBorders>
          </w:tcPr>
          <w:p>
            <w:pPr>
              <w:pStyle w:val="MainText"/>
              <w:ind w:hanging="0" w:start="113" w:end="0"/>
              <w:jc w:val="start"/>
              <w:rPr>
                <w:sz w:val="16"/>
              </w:rPr>
            </w:pPr>
            <w:r>
              <w:rPr>
                <w:sz w:val="16"/>
              </w:rPr>
              <w:t>доступ к которым предоставлен дистанционным способом,</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c>
          <w:tcPr>
            <w:tcW w:w="130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Х</w:t>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170"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1.2.2.1.1</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start="170" w:end="0"/>
              <w:jc w:val="start"/>
              <w:rPr>
                <w:sz w:val="16"/>
              </w:rPr>
            </w:pPr>
            <w:r>
              <w:rPr>
                <w:sz w:val="16"/>
              </w:rPr>
              <w:t>доступ к которым предоставлен через сеть Интернет</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0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1.2.2.1.2</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start="170" w:end="0"/>
              <w:jc w:val="start"/>
              <w:rPr>
                <w:sz w:val="16"/>
              </w:rPr>
            </w:pPr>
            <w:r>
              <w:rPr>
                <w:sz w:val="16"/>
              </w:rPr>
              <w:t>доступ к которым предоставлен с использованием мобильных телефонов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0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Корреспондентские счета, счета участников расчетов, открытые кредитным организациям (их филиалам)</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2. Сведения о платежах в разрезе используемых расчетных документов, документов физических лиц и мемориальных ордеров</w:t>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 Сведения о платежах клиентов — юридических лиц, не являющихся кредитными организациями, с использованием:</w:t>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2.1.1</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платежных поручений,</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2.1.1.1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представленных в кредитную организацию электронным способом,</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113"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2.1.1.1.1</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через сеть Интернет</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аккредитивов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2.1.3</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платежных требований</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2.1.4</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инкассовых поручений</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2.1.5</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чеков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2.2. Сведения о платежах клиентов — физических лиц с использованием:</w:t>
            </w:r>
          </w:p>
        </w:tc>
      </w:tr>
      <w:tr>
        <w:trPr>
          <w:cantSplit/>
        </w:trPr>
        <w:tc>
          <w:tcPr>
            <w:tcW w:w="95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2.2.1</w:t>
            </w:r>
          </w:p>
        </w:tc>
        <w:tc>
          <w:tcPr>
            <w:tcW w:w="10206"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платежных поручений,</w:t>
            </w:r>
          </w:p>
        </w:tc>
        <w:tc>
          <w:tcPr>
            <w:tcW w:w="124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959"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0206" w:type="dxa"/>
            <w:tcBorders>
              <w:start w:val="single" w:sz="6" w:space="0" w:color="000000"/>
              <w:end w:val="single" w:sz="6" w:space="0" w:color="000000"/>
            </w:tcBorders>
          </w:tcPr>
          <w:p>
            <w:pPr>
              <w:pStyle w:val="MainText"/>
              <w:keepNext w:val="true"/>
              <w:ind w:hanging="0" w:end="0"/>
              <w:jc w:val="start"/>
              <w:rPr>
                <w:sz w:val="16"/>
              </w:rPr>
            </w:pPr>
            <w:r>
              <w:rPr>
                <w:sz w:val="16"/>
              </w:rPr>
              <w:t>из них:</w:t>
            </w:r>
          </w:p>
        </w:tc>
        <w:tc>
          <w:tcPr>
            <w:tcW w:w="124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2.2.1.1</w:t>
            </w:r>
          </w:p>
        </w:tc>
        <w:tc>
          <w:tcPr>
            <w:tcW w:w="10206"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представленных в кредитную организацию электронным способом,</w:t>
            </w:r>
          </w:p>
        </w:tc>
        <w:tc>
          <w:tcPr>
            <w:tcW w:w="124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2.2.1.1.1</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через сеть Интернет</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2.2.1.1.2</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с использованием мобильных телефонов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2.2.2</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аккредитивов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2.2.3</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платежных требований</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2.2.4</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инкассовых поручений</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2.2.5</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чеков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2.3. Сведения о платежах самой кредитной организации (ее филиала) с использованием:</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2.3.1</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платежных поручений</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2.3.2</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аккредитивов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2.3.3</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платежных требований</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2.3.4</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инкассовых поручений</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2.3.5</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чеков</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Сведения о переводах физических лиц без открытия банковского счета, всего,</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end w:val="single" w:sz="6" w:space="0" w:color="000000"/>
            </w:tcBorders>
          </w:tcPr>
          <w:p>
            <w:pPr>
              <w:pStyle w:val="MainText"/>
              <w:ind w:hanging="0" w:end="0"/>
              <w:jc w:val="start"/>
              <w:rPr>
                <w:sz w:val="16"/>
              </w:rPr>
            </w:pPr>
            <w:r>
              <w:rPr>
                <w:sz w:val="16"/>
              </w:rPr>
              <w:t>в том числе проведенных:</w:t>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2.4.1</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через системы денежных переводов,</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2.4.1.1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осуществленные в пределах Российской Федерации</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2.4.1.2</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в пользу юридических лиц,</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113"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2.4.1.2.1</w:t>
            </w:r>
          </w:p>
        </w:tc>
        <w:tc>
          <w:tcPr>
            <w:tcW w:w="10206" w:type="dxa"/>
            <w:tcBorders>
              <w:top w:val="single" w:sz="6" w:space="0" w:color="000000"/>
              <w:start w:val="single" w:sz="6" w:space="0" w:color="000000"/>
              <w:end w:val="single" w:sz="6" w:space="0" w:color="000000"/>
            </w:tcBorders>
          </w:tcPr>
          <w:p>
            <w:pPr>
              <w:pStyle w:val="MainText"/>
              <w:ind w:hanging="0" w:start="113" w:end="0"/>
              <w:jc w:val="start"/>
              <w:rPr>
                <w:sz w:val="16"/>
              </w:rPr>
            </w:pPr>
            <w:r>
              <w:rPr>
                <w:sz w:val="16"/>
              </w:rPr>
              <w:t>в погашение кредитов</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2.4.2</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без использования систем денежных переводов,</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2.4.2.1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осуществленные в пределах Российской Федерации</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2.4.2.2</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в пользу юридических лиц,</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113"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2.4.2.2.1</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start="113" w:end="0"/>
              <w:jc w:val="start"/>
              <w:rPr>
                <w:sz w:val="16"/>
              </w:rPr>
            </w:pPr>
            <w:r>
              <w:rPr>
                <w:sz w:val="16"/>
              </w:rPr>
              <w:t>в погашение кредитов</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Расчетные операции с использованием мемориальных ордеров, относящиеся к платежам</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3. Сведения о платежах в разрезе способов их осуществления</w:t>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3.1</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Через корреспондентские счета кредитных организаций (их филиалов), кроме открытых в Банке России, и счета участников расчетов в расчетных небанковских кредитных организациях, всего,</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3.1.1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электронным способом</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3.2</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Через счета межфилиальных расчетов, всего,</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3.2.1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электронным способом</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3.3</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пределах одного подразделения кредитной организации, всего,</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3.3.1</w:t>
            </w:r>
          </w:p>
        </w:tc>
        <w:tc>
          <w:tcPr>
            <w:tcW w:w="10206" w:type="dxa"/>
            <w:tcBorders>
              <w:top w:val="single" w:sz="6" w:space="0" w:color="000000"/>
              <w:start w:val="single" w:sz="6" w:space="0" w:color="000000"/>
              <w:end w:val="single" w:sz="6" w:space="0" w:color="000000"/>
            </w:tcBorders>
          </w:tcPr>
          <w:p>
            <w:pPr>
              <w:pStyle w:val="MainText"/>
              <w:ind w:hanging="0" w:start="57" w:end="0"/>
              <w:jc w:val="start"/>
              <w:rPr>
                <w:sz w:val="16"/>
              </w:rPr>
            </w:pPr>
            <w:r>
              <w:rPr>
                <w:sz w:val="16"/>
              </w:rPr>
              <w:t>электронным способом</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3.4</w:t>
            </w:r>
          </w:p>
        </w:tc>
        <w:tc>
          <w:tcPr>
            <w:tcW w:w="10206"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Через платежную систему Банка России,</w:t>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ind w:hanging="0" w:start="57"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3.4.1</w:t>
            </w:r>
          </w:p>
        </w:tc>
        <w:tc>
          <w:tcPr>
            <w:tcW w:w="10206" w:type="dxa"/>
            <w:tcBorders>
              <w:top w:val="single" w:sz="6" w:space="0" w:color="000000"/>
              <w:start w:val="single" w:sz="6" w:space="0" w:color="000000"/>
              <w:bottom w:val="single" w:sz="6" w:space="0" w:color="000000"/>
              <w:end w:val="single" w:sz="6" w:space="0" w:color="000000"/>
            </w:tcBorders>
          </w:tcPr>
          <w:p>
            <w:pPr>
              <w:pStyle w:val="MainText"/>
              <w:ind w:hanging="0" w:start="57" w:end="0"/>
              <w:jc w:val="start"/>
              <w:rPr>
                <w:sz w:val="16"/>
              </w:rPr>
            </w:pPr>
            <w:r>
              <w:rPr>
                <w:sz w:val="16"/>
              </w:rPr>
              <w:t>электронным способом</w:t>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Раздел 4. Сведения о межбанковских переводах денежных средств в разрезе способов их осуществления</w:t>
            </w:r>
          </w:p>
        </w:tc>
      </w:tr>
      <w:tr>
        <w:trPr>
          <w:cantSplit/>
        </w:trPr>
        <w:tc>
          <w:tcPr>
            <w:tcW w:w="95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4.1</w:t>
            </w:r>
          </w:p>
        </w:tc>
        <w:tc>
          <w:tcPr>
            <w:tcW w:w="10206"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Межбанковские переводы, проведенные кредитной организацией (ее филиалом) со счетов клиентов — кредитных организаций (филиалов), всего,</w:t>
            </w:r>
          </w:p>
        </w:tc>
        <w:tc>
          <w:tcPr>
            <w:tcW w:w="124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95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0206" w:type="dxa"/>
            <w:tcBorders>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из них:</w:t>
            </w:r>
          </w:p>
        </w:tc>
        <w:tc>
          <w:tcPr>
            <w:tcW w:w="124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4.1.1</w:t>
            </w:r>
          </w:p>
        </w:tc>
        <w:tc>
          <w:tcPr>
            <w:tcW w:w="1020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на корреспондентские счета других кредитных организаций (филиалов), открытые в одном подразделении кредитной организации</w:t>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4.1.2</w:t>
            </w:r>
          </w:p>
        </w:tc>
        <w:tc>
          <w:tcPr>
            <w:tcW w:w="1020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на корреспондентские счета, открытые другим кредитным организациям (филиалам), через счета межфилиальных расчетов</w:t>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47"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04"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cantSplit/>
        </w:trPr>
        <w:tc>
          <w:tcPr>
            <w:tcW w:w="16267"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Раздел 5. Информация о деятельности в качестве расчетного банка</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5.1</w:t>
            </w:r>
          </w:p>
        </w:tc>
        <w:tc>
          <w:tcPr>
            <w:tcW w:w="15308" w:type="dxa"/>
            <w:gridSpan w:val="5"/>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СИСТЕМЫ]</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5308"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0409251 “Сведения о счетах клиентов и платежах, проведенных через кредитную организацию (ее филиал)”</w:t>
      </w:r>
    </w:p>
    <w:p>
      <w:pPr>
        <w:pStyle w:val="MainText"/>
        <w:rPr/>
      </w:pPr>
      <w:r>
        <w:rPr/>
        <w:t>1. Целью введения отчетности по форме 0409251 “Сведения о счетах клиентов и платежах, проведенных через кредитную организацию (ее филиал)” (далее — Отчет) является получение Банком России информации, необходимой для формирования статистических данных в соответствии с международной практикой, установленной Банком международных расчетов, и проведения анализа состояния платежной системы.</w:t>
      </w:r>
    </w:p>
    <w:p>
      <w:pPr>
        <w:pStyle w:val="MainText"/>
        <w:rPr/>
      </w:pPr>
      <w:r>
        <w:rPr/>
        <w:t>2. Отчеты представляются кредитными организациями (их филиалами) (включая небанковские кредитные организации (их филиалы) в территориальные учреждения Банка России не позднее 10-го рабочего дня месяца, следующего за отчетным кварталом.</w:t>
      </w:r>
    </w:p>
    <w:p>
      <w:pPr>
        <w:pStyle w:val="MainText"/>
        <w:rPr/>
      </w:pPr>
      <w:r>
        <w:rPr/>
        <w:t>В разделах 1 и 5 Отчета указываются сведения по состоянию на 1-е число месяца, следующего за отчетным кварталом, в разделах 2, 3, 4 — сведения за отчетный период.</w:t>
      </w:r>
    </w:p>
    <w:p>
      <w:pPr>
        <w:pStyle w:val="MainText"/>
        <w:rPr/>
      </w:pPr>
      <w:r>
        <w:rPr/>
        <w:t>Показатели суммы платежей указываются в тысячах рублей, без десятичных знаков после запятой.</w:t>
      </w:r>
    </w:p>
    <w:p>
      <w:pPr>
        <w:pStyle w:val="MainText"/>
        <w:rPr/>
      </w:pPr>
      <w:r>
        <w:rPr/>
        <w:t>2.1. Головной офис кредитной организации представляет в территориальное учреждение Банка России, осуществляющее надзор за его деятельностью:</w:t>
      </w:r>
    </w:p>
    <w:p>
      <w:pPr>
        <w:pStyle w:val="MainText"/>
        <w:rPr/>
      </w:pPr>
      <w:r>
        <w:rPr/>
        <w:t>сводный Отчет по головному офису кредитной организации и филиалам, надзор за деятельностью которых осуществляет одно и то же территориальное учреждение Банка России;</w:t>
      </w:r>
    </w:p>
    <w:p>
      <w:pPr>
        <w:pStyle w:val="MainText"/>
        <w:rPr/>
      </w:pPr>
      <w:r>
        <w:rPr/>
        <w:t>отчеты зарубежных филиалов кредитной организации.</w:t>
      </w:r>
    </w:p>
    <w:p>
      <w:pPr>
        <w:pStyle w:val="MainText"/>
        <w:rPr/>
      </w:pPr>
      <w:r>
        <w:rPr/>
        <w:t>2.2. В случае если надзор за деятельностью головного офиса и филиала кредитной организации осуществляют разные территориальные учреждения Банка России, то филиал кредитной организации представляет Отчет непосредственно в территориальное учреждение Банка России, осуществляющее надзор за его деятельностью.</w:t>
      </w:r>
    </w:p>
    <w:p>
      <w:pPr>
        <w:pStyle w:val="MainText"/>
        <w:rPr/>
      </w:pPr>
      <w:r>
        <w:rPr/>
        <w:t>2.3. Подразделения крупной кредитной организации с широкой сетью подразделений представляют Отчет с учетом следующих особенностей.</w:t>
      </w:r>
    </w:p>
    <w:p>
      <w:pPr>
        <w:pStyle w:val="MainText"/>
        <w:rPr/>
      </w:pPr>
      <w:r>
        <w:rPr/>
        <w:t>2.3.1. Головной офис крупной кредитной организации с широкой сетью подразделений представляет в Московское главное территориальное управление Банка России сводный Отчет по головному офису кредитной организации и отделениям, расположенным в г. Москве и Московской области.</w:t>
      </w:r>
    </w:p>
    <w:p>
      <w:pPr>
        <w:pStyle w:val="MainText"/>
        <w:rPr/>
      </w:pPr>
      <w:r>
        <w:rPr/>
        <w:t>2.3.2. Территориальный банк крупной кредитной организации с широкой сетью подразделений представляет сводный Отчет по территориальному банку и отделениям, расположенным на территории одного субъекта Российской Федерации, в территориальное учреждение Банка России, осуществляющее надзор за его деятельностью.</w:t>
      </w:r>
    </w:p>
    <w:p>
      <w:pPr>
        <w:pStyle w:val="MainText"/>
        <w:rPr/>
      </w:pPr>
      <w:r>
        <w:rPr/>
        <w:t>2.3.3. На территории субъекта Российской Федерации, где отсутствует территориальный банк крупной кредитной организации с широкой сетью подразделений, сводный Отчет по отделениям, расположенным на этой территории, представляется тем отделением, на которое крупной кредитной организацией с широкой сетью подразделений возложены функции по сбору и представлению сводного Отчета в территориальное учреждение Банка России, осуществляющее надзор за его деятельностью.</w:t>
      </w:r>
    </w:p>
    <w:p>
      <w:pPr>
        <w:pStyle w:val="MainText"/>
        <w:rPr/>
      </w:pPr>
      <w:r>
        <w:rPr/>
        <w:t>3. В разделе 1 Отчета указываются данные о счетах, открытых клиентам — резидентам и нерезидентам в валюте Российской Федерации и в иностранной валюте, которые могут использоваться для проведения платежей.</w:t>
      </w:r>
    </w:p>
    <w:p>
      <w:pPr>
        <w:pStyle w:val="MainText"/>
        <w:rPr/>
      </w:pPr>
      <w:r>
        <w:rPr/>
        <w:t>По строке 1.1 в графах 3 и 4 Отчета указывается количество лицевых счетов, открытых юридическим лицам, не являющимся кредитными организациями, и индивидуальным предпринимателям на основании договора банковского счета на балансовых счетах №№ 401—408, которые могут использоваться для проведения платежей, в том числе для проведения платежей с использованием расчетных карт и кредитных карт. Кроме того, расчетными небанковскими кредитными организациями (их филиалами) указывается количество лицевых счетов, открытых клиентам на балансовых счетах №№ 30214 и 30401, в части юридических лиц, не являющихся кредитными организациями. В графах 5, 6 Отчета указываются остатки денежных средств на указанных счетах на конец отчетного периода (по состоянию на отчетную дату).</w:t>
      </w:r>
    </w:p>
    <w:p>
      <w:pPr>
        <w:pStyle w:val="MainText"/>
        <w:rPr/>
      </w:pPr>
      <w:r>
        <w:rPr/>
        <w:t>По строке 1.2 в графах 3 и 4 Отчета указывается количество лицевых счетов, открытых клиентам — физическим лицам на балансовых счетах №№ 408, 42301—42307, 42309—42315, 42601—42607, 42609—42615, 47603, 47605, 47608, 47609, которые могут использоваться для проведения платежей, в том числе с использованием расчетных карт и кредитных карт. В графах 5, 6 Отчета указываются остатки денежных средств на указанных счетах на конец отчетного периода (по состоянию на отчетную дату).</w:t>
      </w:r>
    </w:p>
    <w:p>
      <w:pPr>
        <w:pStyle w:val="MainText"/>
        <w:rPr/>
      </w:pPr>
      <w:r>
        <w:rPr/>
        <w:t>В строках 1.1 и 1.2 Отчета указывается количество лицевых счетов, открытых клиентам на отчетную дату на балансовых счетах, указанных в абзацах втором и третьем настоящего пункта, независимо от того, осуществлялись ли с них платежи в отчетном периоде.</w:t>
      </w:r>
    </w:p>
    <w:p>
      <w:pPr>
        <w:pStyle w:val="MainText"/>
        <w:rPr/>
      </w:pPr>
      <w:r>
        <w:rPr/>
        <w:t>По строке 1.2.1 Отчета указывается количество лицевых счетов, открытых клиентам — физическим лицам на балансовых счетах №№ 40817, 40820.</w:t>
      </w:r>
    </w:p>
    <w:p>
      <w:pPr>
        <w:pStyle w:val="MainText"/>
        <w:rPr/>
      </w:pPr>
      <w:r>
        <w:rPr/>
        <w:t>По строкам 1.1.1, 1.2.2 Отчета указывается количество счетов из строк 1.1 и 1.2 Отчета соответственно, по которым с начала отчетного года (в отчетности на 1 апреля — в течение 3 месяцев, в отчетности на 1 июля, 1 октября, 1 января — соответственно в течение 6, 9, 12 месяцев) проводились операции по списанию денежных средств, включая платежи, совершенные с использованием расчетных и кредитных карт, а также операции по выдаче наличных денег в случае невозможности выделения таких операций. В графе “Сумма” указываются остатки денежных средств на счетах (на отчетную дату), по которым проводились операции. В строку 1.2.2 Отчета не включаются счета, по которым проводились операции по возврату (частичному возврату) вклада наличными денежными средствами.</w:t>
      </w:r>
    </w:p>
    <w:p>
      <w:pPr>
        <w:pStyle w:val="MainText"/>
        <w:rPr/>
      </w:pPr>
      <w:r>
        <w:rPr/>
        <w:t>По строкам 1.1.1.1, 1.2.2.1 Отчета указывается количество счетов из строк 1.1.1 и 1.2.2 Отчета соответственно, по которым клиенты могут направлять поручения или распоряжения дистанционным способом: по телекоммуникационным каналам связи, через сеть Интернет, с использованием мобильных телефонов и других способов дистанционного доступа к банковским счетам, в том числе количество счетов, открытых на основании договора банковского счета, предусматривающего совершение операций с использованием расчетных карт и кредитных карт.</w:t>
      </w:r>
    </w:p>
    <w:p>
      <w:pPr>
        <w:pStyle w:val="MainText"/>
        <w:rPr/>
      </w:pPr>
      <w:r>
        <w:rPr/>
        <w:t>В строки 1.1.1.1, 1.2.2.1 Отчета не включаются сведения о счетах, к которым обеспечен дистанционный доступ с применением сети Интернет или мобильного телефона для получения информации только о состоянии счета клиента.</w:t>
      </w:r>
    </w:p>
    <w:p>
      <w:pPr>
        <w:pStyle w:val="MainText"/>
        <w:rPr/>
      </w:pPr>
      <w:r>
        <w:rPr/>
        <w:t>По строкам 1.1.1.1.1, 1.2.2.1.1 Отчета указывается количество счетов из строк 1.1.1.1 и 1.2.2.1 Отчета соответственно, по которым клиенты могут направлять поручения или распоряжения о списании денежных средств с их счетов через сеть Интернет.</w:t>
      </w:r>
    </w:p>
    <w:p>
      <w:pPr>
        <w:pStyle w:val="MainText"/>
        <w:rPr/>
      </w:pPr>
      <w:r>
        <w:rPr/>
        <w:t>Сведения о таких счетах представляют кредитные организации (их филиалы), оказывающие услуги интернет-банкинга, клиенты которых в соответствии с договором о дистанционном банковском обслуживании счета могут управлять своими счетами.</w:t>
      </w:r>
    </w:p>
    <w:p>
      <w:pPr>
        <w:pStyle w:val="MainText"/>
        <w:rPr/>
      </w:pPr>
      <w:r>
        <w:rPr/>
        <w:t>По строке 1.2.2.1.2 Отчета указывается количество счетов из строки 1.2.2.1 Отчета, по которым клиенты могут направлять поручения или распоряжения о списании денежных средств с их счетов с использованием мобильных телефонов.</w:t>
      </w:r>
    </w:p>
    <w:p>
      <w:pPr>
        <w:pStyle w:val="MainText"/>
        <w:rPr/>
      </w:pPr>
      <w:r>
        <w:rPr/>
        <w:t>Сведения о счетах, по которым клиенты могут направлять поручения или распоряжения кредитной организации (ее филиалу) о списании денежных средств дистанционным способом с применением интернет-банкинга или мобильного телефона, указываются по строкам 1.2.2.1.1 и 1.2.2.1.2 Отчета, независимо от способа проведения платежа, выбранного клиентом в отчетном периоде.</w:t>
      </w:r>
    </w:p>
    <w:p>
      <w:pPr>
        <w:pStyle w:val="MainText"/>
        <w:rPr/>
      </w:pPr>
      <w:r>
        <w:rPr/>
        <w:t>По строке 1.3 в графах 3 и 4 Отчета указывается количество корреспондентских счетов, открытых кредитной организацией (ее филиалом) другим кредитным организациям (их филиалам) и банкам-нерезидентам. Расчетными небанковскими кредитными организациями (их филиалами) указывается количество счетов участников расчетов, открытых кредитным организациям (их филиалам), в том числе другим расчетным небанковским кредитным организациям (их филиалам). В графах 5, 6 указываются остатки денежных средств на указанных счетах на конец отчетного периода (по состоянию на отчетную дату).</w:t>
      </w:r>
    </w:p>
    <w:p>
      <w:pPr>
        <w:pStyle w:val="MainText"/>
        <w:rPr/>
      </w:pPr>
      <w:r>
        <w:rPr/>
        <w:t>4. В разделах 2, 3 Отчета указываются данные о безналичных платежах, проведенных через кредитную организацию (ее филиал) в валюте Российской Федерации и иностранной валюте. При этом в разделе 2 Отчета данные платежи указываются в разрезе расчетных документов, документов физических лиц и мемориальных ордеров, а в разделе 3 Отчета — в разрезе способов осуществления платежей: через корреспондентские счета кредитных организаций (их филиалов), счета участников расчетов; через счета межфилиальных расчетов; в пределах одного подразделения кредитной организации на счета клиентов, не являющихся кредитными организациями, счета по учету финансово-хозяйственной деятельности кредитной организации (ее филиала); через корреспондентские счета (субсчета), открытые в подразделениях расчетной сети Банка России.</w:t>
      </w:r>
    </w:p>
    <w:p>
      <w:pPr>
        <w:pStyle w:val="MainText"/>
        <w:rPr/>
      </w:pPr>
      <w:r>
        <w:rPr/>
        <w:t>Сведения о платежах включаются в Отчет в том периоде, когда они были проведены:</w:t>
      </w:r>
    </w:p>
    <w:p>
      <w:pPr>
        <w:pStyle w:val="MainText"/>
        <w:rPr/>
      </w:pPr>
      <w:r>
        <w:rPr/>
        <w:t>через корреспондентские счета (субсчета), открытые в подразделениях расчетной сети Банка России;</w:t>
      </w:r>
    </w:p>
    <w:p>
      <w:pPr>
        <w:pStyle w:val="MainText"/>
        <w:rPr/>
      </w:pPr>
      <w:r>
        <w:rPr/>
        <w:t>через корреспондентские счета, открытые в других кредитных организациях (их филиалах), в том числе расчетных небанковских кредитных организациях;</w:t>
      </w:r>
    </w:p>
    <w:p>
      <w:pPr>
        <w:pStyle w:val="MainText"/>
        <w:rPr/>
      </w:pPr>
      <w:r>
        <w:rPr/>
        <w:t>через корреспондентские счета, открытые другим кредитным организациям (их филиалам), в том числе участникам расчетов в расчетных небанковских кредитных организациях;</w:t>
      </w:r>
    </w:p>
    <w:p>
      <w:pPr>
        <w:pStyle w:val="MainText"/>
        <w:rPr/>
      </w:pPr>
      <w:r>
        <w:rPr/>
        <w:t>через счета участников расчетов в расчетных небанковских кредитных организациях;</w:t>
      </w:r>
    </w:p>
    <w:p>
      <w:pPr>
        <w:pStyle w:val="MainText"/>
        <w:rPr/>
      </w:pPr>
      <w:r>
        <w:rPr/>
        <w:t>через корреспондентские счета, открытые в банках-нерезидентах (банкам-нерезидентам);</w:t>
      </w:r>
    </w:p>
    <w:p>
      <w:pPr>
        <w:pStyle w:val="MainText"/>
        <w:rPr/>
      </w:pPr>
      <w:r>
        <w:rPr/>
        <w:t>через счета межфилиальных расчетов;</w:t>
      </w:r>
    </w:p>
    <w:p>
      <w:pPr>
        <w:pStyle w:val="MainText"/>
        <w:rPr/>
      </w:pPr>
      <w:r>
        <w:rPr/>
        <w:t>в пределах одного подразделения кредитной организации на счета клиентов кредитной организации (ее филиала), счета по учету финансово-хозяйственной деятельности кредитной организации (ее филиала).</w:t>
      </w:r>
    </w:p>
    <w:p>
      <w:pPr>
        <w:pStyle w:val="MainText"/>
        <w:rPr/>
      </w:pPr>
      <w:r>
        <w:rPr/>
        <w:t>Платежи, которые отражаются в бухгалтерском учете несколькими операциями (например, расчеты аккредитивами, расчеты чеками, начисление и уплата процентов по привлеченным и размещенным денежным средствам, начисление и уплата в бюджет налогов и сборов и тому подобное), включаются в Отчет в том периоде, в котором завершены расчеты.</w:t>
      </w:r>
    </w:p>
    <w:p>
      <w:pPr>
        <w:pStyle w:val="MainText"/>
        <w:rPr/>
      </w:pPr>
      <w:r>
        <w:rPr/>
        <w:t>При частичной оплате расчетного документа каждый платеж, проведенный в адрес получателя платежа в отчетном периоде платежным ордером, указывается в строке, соответствующей расчетному документу, на основании которого составлен платежный ордер.</w:t>
      </w:r>
    </w:p>
    <w:p>
      <w:pPr>
        <w:pStyle w:val="MainText"/>
        <w:rPr/>
      </w:pPr>
      <w:r>
        <w:rPr/>
        <w:t>В разделы 2 и 3 Отчета не включаются:</w:t>
      </w:r>
    </w:p>
    <w:p>
      <w:pPr>
        <w:pStyle w:val="MainText"/>
        <w:rPr/>
      </w:pPr>
      <w:r>
        <w:rPr/>
        <w:t>платежи клиентов, проведенные с использованием платежных карт;</w:t>
      </w:r>
    </w:p>
    <w:p>
      <w:pPr>
        <w:pStyle w:val="MainText"/>
        <w:rPr/>
      </w:pPr>
      <w:r>
        <w:rPr/>
        <w:t>операции по списанию денежных средств со счетов клиентов кредитной организации (ее филиала) для выдачи наличных денежных средств, включая депонирование средств на эти цели;</w:t>
      </w:r>
    </w:p>
    <w:p>
      <w:pPr>
        <w:pStyle w:val="MainText"/>
        <w:rPr/>
      </w:pPr>
      <w:r>
        <w:rPr/>
        <w:t>переводы денежных средств с одного счета клиента на другой его счет, открытые в одном подразделении кредитной организации (операции по переводу денежных средств с расчетного счета клиента на его депозитные, транзитные счета), операции по подкреплению денежной наличностью, по кассовому обслуживанию филиалов, по перечислению денежных средств между корреспондентскими счетами, открытыми в других кредитных организациях (их филиалах), по учету полученных и переданных средств, перераспределяемых между подразделениями кредитной организации, по выведению единого результата по совершенным за день расчетам между подразделениями кредитной организации, операции по конвертации одной валюты в другую и тому подобное;</w:t>
      </w:r>
    </w:p>
    <w:p>
      <w:pPr>
        <w:pStyle w:val="MainText"/>
        <w:rPr/>
      </w:pPr>
      <w:r>
        <w:rPr/>
        <w:t>операции по перечислению обязательных резервов в Банк России;</w:t>
      </w:r>
    </w:p>
    <w:p>
      <w:pPr>
        <w:pStyle w:val="MainText"/>
        <w:rPr/>
      </w:pPr>
      <w:r>
        <w:rPr/>
        <w:t>операции по погашению (кроме строк 2.4, 2.4.1, 2.4.1.1, 2.4.1.2, 2.4.1.2.1, 2.4.2, 2.4.2.1, 2.4.2.2, 2.4.2.2.1) и выдаче кредитов, включая межбанковские кредиты;</w:t>
      </w:r>
    </w:p>
    <w:p>
      <w:pPr>
        <w:pStyle w:val="MainText"/>
        <w:rPr/>
      </w:pPr>
      <w:r>
        <w:rPr/>
        <w:t>операции по покупке кредитными организациями и их клиентами иностранной валюты, ценных бумаг и других финансовых активов, в том числе на бирже, в других кредитных организациях (их филиалах), у банков-нерезидентов, у клиентов кредитных организаций — продавцов ценных бумаг.</w:t>
      </w:r>
    </w:p>
    <w:p>
      <w:pPr>
        <w:pStyle w:val="MainText"/>
        <w:rPr/>
      </w:pPr>
      <w:r>
        <w:rPr/>
        <w:t>5. В разделе 2 Отчета кредитная организация (ее филиал) указывает: совершенные в отчетном периоде платежи со счетов своих клиентов, не являющихся кредитными организациями (в том числе физических лиц), со счетов по учету финансово-хозяйственной деятельности кредитной организации (ее филиала) по ее собственным операциям в разрезе расчетных документов, представленных в кредитную организацию (ее филиал), составляющую Отчет, а также составленных самой кредитной организацией (ее филиалом) по ее собственной деятельности; поручения физических лиц на осуществление перевода без открытия банковского счета, на основании которых кредитная организация составила расчетные или иные документы и перечислила денежные средства в отчетном периоде.</w:t>
      </w:r>
    </w:p>
    <w:p>
      <w:pPr>
        <w:pStyle w:val="MainText"/>
        <w:rPr/>
      </w:pPr>
      <w:r>
        <w:rPr/>
        <w:t>В раздел 2 включаются все операции по уплате (списанию) в безналичной форме процентов по привлеченным и размещенным денежным средствам и комиссии (включая вознаграждения за расчетное и кассовое обслуживание клиентов (в том числе кредитных организаций), вознаграждения за открытие и ведение банковского счета, в том числе корреспондентского счета, обслуживание платежных карт и тому подобное).</w:t>
      </w:r>
    </w:p>
    <w:p>
      <w:pPr>
        <w:pStyle w:val="MainText"/>
        <w:rPr/>
      </w:pPr>
      <w:r>
        <w:rPr/>
        <w:t>Во всех строках раздела 2, кроме строк подраздела 2.3, данные о платежах в Отчете указывает кредитная организация (ее филиал), в которой (в котором) обслуживался плательщик (включая операции по списанию комиссий и процентов кредитной организацией (ее филиалом) со счетов клиентов — кредитных организаций с использованием мемориальных ордеров).</w:t>
      </w:r>
    </w:p>
    <w:p>
      <w:pPr>
        <w:pStyle w:val="MainText"/>
        <w:rPr/>
      </w:pPr>
      <w:r>
        <w:rPr/>
        <w:t>Сведения о платежах, совершенных индивидуальными предпринимателями, указываются в строках подраздела 2.1 Отчета.</w:t>
      </w:r>
    </w:p>
    <w:p>
      <w:pPr>
        <w:pStyle w:val="MainText"/>
        <w:rPr/>
      </w:pPr>
      <w:r>
        <w:rPr/>
        <w:t>В строках подраздела 2.3 Отчета кредитная организация (ее филиал) указывает все совершенные в отчетном периоде платежи по финансово-хозяйственной деятельности, осуществляемые от своего имени и за свой счет (включая операции по оплате за коммунальные и другие услуги) в пользу своих клиентов или клиентов других кредитных организаций (их филиалов), проведенные на основании расчетных документов, составленных самой кредитной организацией (ее филиалом), и расчетных документов, предъявленных кредитной организации (ее филиалу) для расчетов по инкассо.</w:t>
      </w:r>
    </w:p>
    <w:p>
      <w:pPr>
        <w:pStyle w:val="MainText"/>
        <w:rPr/>
      </w:pPr>
      <w:r>
        <w:rPr/>
        <w:t>5.1. В строках 2.1.1, 2.2.1, 2.3.1 в графах 3—6 Отчета указываются общее количество и сумма платежей, проведенных в отчетном периоде на основании платежных поручений, распоряжений и поручений клиентов о проведении безналичных платежей, заявлений на перевод иностранной валюты, представленных клиентами в кредитную организацию (ее филиал), составляющую Отчет, а также составленных самой кредитной организацией (ее филиалом) по собственной деятельности.</w:t>
      </w:r>
    </w:p>
    <w:p>
      <w:pPr>
        <w:pStyle w:val="MainText"/>
        <w:rPr/>
      </w:pPr>
      <w:r>
        <w:rPr/>
        <w:t>В строку 2.3.1 Отчета не включаются платежные поручения, составленные кредитной организацией (ее филиалом) на основании документов, представленных физическими лицами в целях осуществления переводов денежных средств по поручению физических лиц без открытия банковского счета.</w:t>
      </w:r>
    </w:p>
    <w:p>
      <w:pPr>
        <w:pStyle w:val="MainText"/>
        <w:rPr/>
      </w:pPr>
      <w:r>
        <w:rPr/>
        <w:t>5.2. В строках 2.1.2, 2.2.2, 2.3.2 в графах 3—6 Отчета указываются количество и сумма платежей, проведенных кредитной организацией (ее филиалом) — банком-эмитентом в отчетном периоде на основании аккредитивов, составленных на основании заявлений на открытие аккредитива, представленных клиентами-плательщиками в кредитную организацию (ее филиал), а также составленных самой кредитной организацией (ее филиалом), в случае если кредитная организация (ее филиал) является плательщиком по аккредитиву. Расчеты, совершенные банком-эмитентом по аккредитивам, указываются в Отчете как платежи клиентов или самих банков в том периоде, в котором завершены операции по исполненным аккредитивам.</w:t>
      </w:r>
    </w:p>
    <w:p>
      <w:pPr>
        <w:pStyle w:val="MainText"/>
        <w:rPr/>
      </w:pPr>
      <w:r>
        <w:rPr/>
        <w:t>5.3. В строках 2.1.3, 2.2.3, 2.3.3 в графах 3—6 Отчета указываются количество и сумма платежей, проведенных исполняющей кредитной организацией (ее филиалом) со счетов плательщиков, а также со счетов по учету ее финансово-хозяйственной деятельности в отчетном периоде на основании платежных требований, поступивших в кредитную организацию плательщика (ее филиал).</w:t>
      </w:r>
    </w:p>
    <w:p>
      <w:pPr>
        <w:pStyle w:val="MainText"/>
        <w:rPr/>
      </w:pPr>
      <w:r>
        <w:rPr/>
        <w:t>5.4. В строках 2.1.4, 2.2.4, 2.3.4 в графах 3—6 Отчета указываются количество и сумма платежей, проведенных исполняющей кредитной организацией (ее филиалом) в отчетном периоде со счетов плательщиков, а также со счетов по учету ее финансово-хозяйственной деятельности на основании поступивших в кредитную организацию плательщика (ее филиал) инкассовых поручений.</w:t>
      </w:r>
    </w:p>
    <w:p>
      <w:pPr>
        <w:pStyle w:val="MainText"/>
        <w:rPr/>
      </w:pPr>
      <w:r>
        <w:rPr/>
        <w:t>5.5. В строках 2.1.5, 2.2.5, 2.3.5 в графах 3—6 Отчета указываются количество и сумма безналичных платежей, проведенных кредитной организацией (ее филиалом) — плательщиком в адрес получателей платежа (чекодержателей) в отчетном периоде на основании чеков, поступивших в кредитную организацию (ее филиал).</w:t>
      </w:r>
    </w:p>
    <w:p>
      <w:pPr>
        <w:pStyle w:val="MainText"/>
        <w:rPr/>
      </w:pPr>
      <w:r>
        <w:rPr/>
        <w:t>Операции выдачи наличных денег с использованием чеков в Отчете не указываются.</w:t>
      </w:r>
    </w:p>
    <w:p>
      <w:pPr>
        <w:pStyle w:val="MainText"/>
        <w:rPr/>
      </w:pPr>
      <w:r>
        <w:rPr/>
        <w:t>5.6. В строках 2.1.1.1 и 2.2.1.1 в графах 3—6 Отчета указываются количество и сумма платежей, проведенных кредитной организацией (ее филиалом) в отчетном периоде на основании платежных поручений и распоряжений клиентов о проведении безналичных платежей, представленных в соответствии с договорами о дистанционном банковском обслуживании счета клиентами в кредитную организацию (ее филиал) электронным способом: по телекоммуникационным каналам связи, через сеть Интернет, с использованием мобильных телефонов, с использованием других систем дистанционного банковского обслуживания.</w:t>
      </w:r>
    </w:p>
    <w:p>
      <w:pPr>
        <w:pStyle w:val="MainText"/>
        <w:rPr/>
      </w:pPr>
      <w:r>
        <w:rPr/>
        <w:t>5.7. В строках 2.1.1.1.1, 2.2.1.1.1 в графах 3—6 Отчета указываются количество и сумма платежей, проведенных кредитной организацией (ее филиалом) в отчетном периоде на основании платежных поручений и распоряжений клиентов о проведении безналичных платежей, представленных клиентами в кредитную организацию (ее филиал) через сеть Интернет.</w:t>
      </w:r>
    </w:p>
    <w:p>
      <w:pPr>
        <w:pStyle w:val="MainText"/>
        <w:rPr/>
      </w:pPr>
      <w:r>
        <w:rPr/>
        <w:t>5.8. В строке 2.2.1.1.2 в графах 3—6 Отчета указываются количество и сумма платежей, проведенных кредитной организацией (ее филиалом) в отчетном периоде на основании поручений и распоряжений, представленных клиентами — физическими лицами в кредитную организацию (ее филиал) с использованием мобильных телефонов.</w:t>
      </w:r>
    </w:p>
    <w:p>
      <w:pPr>
        <w:pStyle w:val="MainText"/>
        <w:rPr/>
      </w:pPr>
      <w:r>
        <w:rPr/>
        <w:t>5.9. В строке 2.4 Отчета указываются количество и сумма документов, представленных физическими лицами в целях осуществления переводов денежных средств по поручению физических лиц без открытия банковского счета, на основании которых кредитная организация (ее филиал) составила (составил) расчетные документы, а также иные документы (если переводы осуществляются в пределах одного подразделения кредитной организации) для перечисления денежных средств и перечислила денежные средства в адрес получателя платежа в отчетном периоде. При этом в строку 2.4 Отчета включаются сведения о переводах денежных средств по поручению физических лиц без открытия банковского счета, осуществленных как в пределах Российской Федерации, так и за ее пределами:</w:t>
      </w:r>
    </w:p>
    <w:p>
      <w:pPr>
        <w:pStyle w:val="MainText"/>
        <w:rPr/>
      </w:pPr>
      <w:r>
        <w:rPr/>
        <w:t>в пользу физического лица — переводополучателя на банковский счет, открытый ему в другой кредитной организации либо в другом подразделении кредитной организации — отправителе перевода;</w:t>
      </w:r>
    </w:p>
    <w:p>
      <w:pPr>
        <w:pStyle w:val="MainText"/>
        <w:rPr/>
      </w:pPr>
      <w:r>
        <w:rPr/>
        <w:t>в пользу физического лица — переводополучателя без открытия банковского счета переводополучателю;</w:t>
      </w:r>
    </w:p>
    <w:p>
      <w:pPr>
        <w:pStyle w:val="MainText"/>
        <w:rPr/>
      </w:pPr>
      <w:r>
        <w:rPr/>
        <w:t>в пользу юридического лица, в том числе в целях оплаты услуг мобильной связи, интернет-провайдеров, телевидения, электросвязи, жилищно-коммунальных услуг, налогов и сборов, штрафов и тому подобное, а также в целях погашения выданных ему этим юридическим лицом кредитов.</w:t>
      </w:r>
    </w:p>
    <w:p>
      <w:pPr>
        <w:pStyle w:val="MainText"/>
        <w:rPr/>
      </w:pPr>
      <w:r>
        <w:rPr/>
        <w:t>В графах 3—6 в строке 2.4 Отчета сведения о переводах денежных средств по поручению физических лиц без открытия банковского счета указывает только то подразделение кредитной организации, в котором от физического лица были приняты наличные деньги в целях их дальнейшего перевода с участием кассового работника этого подразделения и (или) без его участия посредством банкоматов</w:t>
      </w:r>
      <w:r>
        <w:rPr>
          <w:vertAlign w:val="superscript"/>
        </w:rPr>
        <w:t>1</w:t>
      </w:r>
      <w:r>
        <w:rPr/>
        <w:t xml:space="preserve"> и (или) других программно-технических средств независимо от основания возникновения права их использования.</w:t>
      </w:r>
    </w:p>
    <w:p>
      <w:pPr>
        <w:pStyle w:val="MainText"/>
        <w:rPr/>
      </w:pPr>
      <w:r>
        <w:rPr/>
        <w:t>В строку 2.4 Отчета не включаются сведения о комиссии, взимаемой с физического лица при осуществлении им перевода денежных средств без открытия банковского счета.</w:t>
      </w:r>
    </w:p>
    <w:p>
      <w:pPr>
        <w:pStyle w:val="MainText"/>
        <w:rPr/>
      </w:pPr>
      <w:r>
        <w:rPr/>
        <w:t>5.9.1. В строке 2.4.1 Отчета указываются количество и сумма переводов физических лиц без открытия банковского счета, осуществленных через системы денежных переводов.</w:t>
      </w:r>
    </w:p>
    <w:p>
      <w:pPr>
        <w:pStyle w:val="MainText"/>
        <w:rPr/>
      </w:pPr>
      <w:r>
        <w:rPr/>
        <w:t>В строке 2.4.1.1 Отчета указываются количество и сумма переводов физических лиц без открытия банковского счета, отправка и получение которых осуществляются в пределах Российской Федерации.</w:t>
      </w:r>
    </w:p>
    <w:p>
      <w:pPr>
        <w:pStyle w:val="MainText"/>
        <w:rPr/>
      </w:pPr>
      <w:r>
        <w:rPr/>
        <w:t>В строке 2.4.1.2 Отчета указываются количество и сумма переводов физических лиц без открытия банковского счета в пользу юридических лиц с использованием систем денежных переводов. Из них сведения о количестве и сумме переводов в пользу юридических лиц в целях погашения кредитов, выданных физическому лицу этим юридическим лицом, указываются в строке 2.4.1.2.1 Отчета.</w:t>
      </w:r>
    </w:p>
    <w:p>
      <w:pPr>
        <w:pStyle w:val="MainText"/>
        <w:rPr/>
      </w:pPr>
      <w:r>
        <w:rPr/>
        <w:t>5.9.2. В строке 2.4.2 Отчета указываются количество и сумма переводов физических лиц без открытия банковского счета, осуществленных без использования систем денежных переводов.</w:t>
      </w:r>
    </w:p>
    <w:p>
      <w:pPr>
        <w:pStyle w:val="MainText"/>
        <w:rPr/>
      </w:pPr>
      <w:r>
        <w:rPr/>
        <w:t>В строке 2.4.2.1 Отчета указываются количество и сумма переводов физических лиц без открытия банковского счета, отправка и получение которых осуществляются в пределах Российской Федерации.</w:t>
      </w:r>
    </w:p>
    <w:p>
      <w:pPr>
        <w:pStyle w:val="MainText"/>
        <w:rPr/>
      </w:pPr>
      <w:r>
        <w:rPr/>
        <w:t>В строке 2.4.2.2 Отчета указываются количество и сумма переводов физических лиц без открытия банковского счета в пользу юридических лиц без использования систем денежных переводов. Из них сведения о количестве и сумме переводов в пользу юридических лиц в целях погашения кредитов, выданных физическому лицу этим юридическим лицом, указываются в строке 2.4.2.2.1 Отчета.</w:t>
      </w:r>
    </w:p>
    <w:p>
      <w:pPr>
        <w:pStyle w:val="MainText"/>
        <w:rPr/>
      </w:pPr>
      <w:r>
        <w:rPr/>
        <w:t>5.10. В строке 2.5 Отчета указываются количество и сумма расчетных операций, проведенных кредитной организацией (ее филиалом) с использованием мемориальных ордеров (в том числе со счетов клиентов — кредитных организаций (их филиалов):</w:t>
      </w:r>
    </w:p>
    <w:p>
      <w:pPr>
        <w:pStyle w:val="MainText"/>
        <w:rPr/>
      </w:pPr>
      <w:r>
        <w:rPr/>
        <w:t>по уплате (списанию) комиссии;</w:t>
      </w:r>
    </w:p>
    <w:p>
      <w:pPr>
        <w:pStyle w:val="MainText"/>
        <w:rPr/>
      </w:pPr>
      <w:r>
        <w:rPr/>
        <w:t>по уплате (списанию) процентов по привлеченным и размещенным денежным средствам.</w:t>
      </w:r>
    </w:p>
    <w:p>
      <w:pPr>
        <w:pStyle w:val="MainText"/>
        <w:rPr/>
      </w:pPr>
      <w:r>
        <w:rPr/>
        <w:t>Другие операции, проведенные кредитной организацией (ее филиалом) с использованием мемориальных ордеров (включая операции по списанию комиссии, взимаемой с физического лица при осуществлении перевода без открытия банковского счета), в Отчет не включаются.</w:t>
      </w:r>
    </w:p>
    <w:p>
      <w:pPr>
        <w:pStyle w:val="MainText"/>
        <w:rPr/>
      </w:pPr>
      <w:r>
        <w:rPr/>
        <w:t>Комиссионные вознаграждения, внесенные физическими лицами в кассу кредитной организации (ее филиала) наличными деньгами, в Отчет не включаются.</w:t>
      </w:r>
    </w:p>
    <w:p>
      <w:pPr>
        <w:pStyle w:val="MainText"/>
        <w:rPr/>
      </w:pPr>
      <w:r>
        <w:rPr/>
        <w:t>6. В разделе 3 Отчета кредитная организация (ее филиал) указывает включенные ею (им) в раздел 2 Отчета платежи и переводы денежных средств по поручению физических лиц без открытия банковского счета в разрезе способов их осуществления.</w:t>
      </w:r>
    </w:p>
    <w:p>
      <w:pPr>
        <w:pStyle w:val="MainText"/>
        <w:rPr/>
      </w:pPr>
      <w:r>
        <w:rPr/>
        <w:t>6.1. В строке 3.1 Отчета отражаются количество и сумма указанных в разделе 2 Отчета платежей и переводов денежных средств по поручению физических лиц без открытия банковского счета, проведенных кредитной организацией (ее филиалом) на основании расчетных документов через корреспондентские счета, открытые другим кредитным организациям (их филиалам), в других кредитных организациях (их филиалах), банкам-нерезидентам, в банках-нерезидентах и через счета участников расчетов в расчетных небанковских кредитных организациях.</w:t>
      </w:r>
    </w:p>
    <w:p>
      <w:pPr>
        <w:pStyle w:val="MainText"/>
        <w:rPr/>
      </w:pPr>
      <w:r>
        <w:rPr/>
        <w:t>6.2. В строке 3.2 Отчета отражаются количество и сумма указанных в разделе 2 Отчета платежей и переводов денежных средств по поручению физических лиц без открытия банковского счета, проведенных через счета межфилиальных расчетов на основании расчетных документов.</w:t>
      </w:r>
    </w:p>
    <w:p>
      <w:pPr>
        <w:pStyle w:val="MainText"/>
        <w:rPr/>
      </w:pPr>
      <w:r>
        <w:rPr/>
        <w:t>6.3. В строку 3.3 Отчета включаются указанные в разделе 2 Отчета переводы денежных средств по поручению физических лиц без открытия банковского счета и платежи со счетов клиентов кредитной организации (ее филиала), в том числе участников расчетов, со счетов по учету финансово-хозяйственной деятельности кредитной организации (ее филиала), проведенные в пределах одного подразделения кредитной организации (ее филиала) на счета других клиентов кредитной организации (ее филиалов), в том числе участников расчетов, счета по учету финансово-хозяйственной деятельности кредитной организации (ее филиала) на основании расчетных документов.</w:t>
      </w:r>
    </w:p>
    <w:p>
      <w:pPr>
        <w:pStyle w:val="MainText"/>
        <w:rPr/>
      </w:pPr>
      <w:r>
        <w:rPr/>
        <w:t>В разделе 3 по строке 3.3 Отчета также включаются платежи, указанные в строке 2.5 Отчета.</w:t>
      </w:r>
    </w:p>
    <w:p>
      <w:pPr>
        <w:pStyle w:val="MainText"/>
        <w:rPr/>
      </w:pPr>
      <w:r>
        <w:rPr/>
        <w:t>6.4. В строке 3.4 Отчета отражаются количество и сумма указанных в разделе 2 Отчета платежей и переводов денежных средств по поручению физических лиц без открытия банковского счета, проведенных кредитной организацией (ее филиалом) на основании расчетных документов через корреспондентские счета (субсчета), открытые в подразделениях расчетной сети Банка России.</w:t>
      </w:r>
    </w:p>
    <w:p>
      <w:pPr>
        <w:pStyle w:val="MainText"/>
        <w:rPr/>
      </w:pPr>
      <w:r>
        <w:rPr/>
        <w:t>6.5. В строках 3.1.1, 3.2.1, 3.4.1 Отчета указываются количество и сумма платежей, переданных в виде электронных платежных документов в другую кредитную организацию (ее филиал), в подразделение расчетной сети Банка России (строка 3.4.1).</w:t>
      </w:r>
    </w:p>
    <w:p>
      <w:pPr>
        <w:pStyle w:val="MainText"/>
        <w:rPr/>
      </w:pPr>
      <w:r>
        <w:rPr/>
        <w:t>6.6. В строке 3.3.1 Отчета указываются количество и сумма платежей, при которых поручение или распоряжение на перечисление денежных средств клиентом-плательщиком передается в подразделение кредитной организации электронным способом (по телекоммуникационным каналам связи, через сеть Интернет, с использованием мобильных телефонов, с использованием других систем дистанционного банковского обслуживания), либо этим подразделением кредитной организации составляется электронный платежный документ (на основании распоряжения плательщика, поступившего на бумажном носителе, или по собственным платежам, связанным с финансово-хозяйственной деятельностью) в адрес получателя платежа, который имеет дистанционный доступ к своему банковскому счету.</w:t>
      </w:r>
    </w:p>
    <w:p>
      <w:pPr>
        <w:pStyle w:val="MainText"/>
        <w:rPr/>
      </w:pPr>
      <w:r>
        <w:rPr/>
        <w:t>Платежи, проведенные подразделением кредитной организации на основании сформированных с использованием программно-технических средств мемориальных ордеров и расчетных документов, указываются в строке 3.3.1 Отчета, в случае если этим подразделением кредитной организации составляется электронный платежный документ в адрес получателя платежа, который имеет дистанционный доступ к своему банковскому счету.</w:t>
      </w:r>
    </w:p>
    <w:p>
      <w:pPr>
        <w:pStyle w:val="MainText"/>
        <w:rPr/>
      </w:pPr>
      <w:r>
        <w:rPr/>
        <w:t>7. Раздел 4 Отчета заполняется кредитными организациями (их филиалами), которые в отчетном периоде осуществляли межбанковские переводы денежных средств со счетов своих клиентов: кредитных организаций (их филиалов), банков-нерезидентов. Данные в разделе 4 указываются в разрезе способов осуществления межбанковских переводов денежных средств.</w:t>
      </w:r>
    </w:p>
    <w:p>
      <w:pPr>
        <w:pStyle w:val="MainText"/>
        <w:rPr/>
      </w:pPr>
      <w:r>
        <w:rPr/>
        <w:t>7.1. В строке 4.1 Отчета учитываются все межбанковские переводы, проведенные в отчетном периоде кредитной организацией (ее филиалом) со счетов своих клиентов: кредитных организаций (их филиалов), банков-нерезидентов.</w:t>
      </w:r>
    </w:p>
    <w:p>
      <w:pPr>
        <w:pStyle w:val="MainText"/>
        <w:rPr/>
      </w:pPr>
      <w:r>
        <w:rPr/>
        <w:t>7.1.1. В строке 4.1.1 Отчета указываются количество и сумма межбанковских переводов денежных средств, проведенных в отчетном периоде в пределах одного подразделения кредитной организации с корреспондентских счетов клиентов — кредитных организаций (их филиалов), банков-нерезидентов на корреспондентские счета других клиентов — кредитных организаций (их филиалов), банков-нерезидентов, в том числе с использованием счетов для осуществления клиринга (балансовые счета №№ 47422 (47423), 30232 (30233).</w:t>
      </w:r>
    </w:p>
    <w:p>
      <w:pPr>
        <w:pStyle w:val="MainText"/>
        <w:rPr/>
      </w:pPr>
      <w:r>
        <w:rPr/>
        <w:t>Кроме того, расчетная небанковская кредитная организация (ее филиал) указывает количество и сумму межбанковских переводов денежных средств, проведенных в отчетном периоде в пределах одного подразделения расчетной небанковской кредитной организации со счетов участников расчетов — кредитных организаций (их филиалов), счетов участников расчетных центров организованного рынка ценных бумаг и других финансовых активов (далее — РЦ ОРЦБ) — кредитных организаций (их филиалов) (Дебет балансовых счетов №№ 30214, 30401) на счета других участников расчетов — кредитных организаций (их филиалов), на счета других участников РЦ ОРЦБ — кредитных организаций (их филиалов) (Кредит балансовых счетов №№ 30214, 30401), в том числе с использованием счетов для осуществления клиринга (балансовые счета №№ 30218, 30407).</w:t>
      </w:r>
    </w:p>
    <w:p>
      <w:pPr>
        <w:pStyle w:val="MainText"/>
        <w:rPr/>
      </w:pPr>
      <w:r>
        <w:rPr/>
        <w:t>7.1.2. В строке 4.1.2 Отчета указываются количество и сумма межбанковских переводов денежных средств, проведенных в отчетном периоде с корреспондентских счетов клиентов — кредитных организаций (их филиалов), банков-нерезидентов одного подразделения кредитной организации на корреспондентские счета других клиентов — кредитных организаций (их филиалов), банков-нерезидентов другого ее подразделения через счета межфилиальных расчетов (Дебет балансовых счетов №№ 30301, 30303), в том числе с использованием счетов для осуществления клиринга (балансовые счета №№ 47422 (47423), 30232 (30233).</w:t>
      </w:r>
    </w:p>
    <w:p>
      <w:pPr>
        <w:pStyle w:val="MainText"/>
        <w:rPr/>
      </w:pPr>
      <w:r>
        <w:rPr/>
        <w:t>Кроме того, расчетная небанковская кредитная организация (ее филиал) указывает количество и сумму межбанковских переводов денежных средств, проведенных в отчетном периоде со счетов участников расчетов — кредитных организаций (их филиалов), счетов участников РЦ ОРЦБ — кредитных организаций (их филиалов) одного ее подразделения (Дебет балансовых счетов №№ 30214, 30401) на счета других участников расчетов — кредитных организаций, на счета других участников РЦ ОРЦБ — кредитных организаций (их филиалов) (Кредит балансовых счетов №№ 30214, 30401) другого ее подразделения через счета межфилиальных расчетов (Дебет балансовых счетов №№ 30301, 30303), в том числе с использованием счетов для осуществления клиринга (балансовые счета №№ 30218, 30407).</w:t>
      </w:r>
    </w:p>
    <w:p>
      <w:pPr>
        <w:pStyle w:val="MainText"/>
        <w:rPr/>
      </w:pPr>
      <w:r>
        <w:rPr/>
        <w:t>8. Раздел 5 Отчета заполняется головными офисами тех кредитных организаций, которые выполняют функции расчетных банков в какой-либо системе денежных переводов. В целях составления Отчета под расчетным банком понимается кредитная организация, осуществляющая расчеты между кредитными организациями (филиалами) — участниками систем денежных переводов, которые совершают переводы денежных средств физических лиц без открытия банковского счета. В строке 5.1 Отчета и последующих строках указываются наименования систем денежных переводов.</w:t>
      </w:r>
    </w:p>
    <w:p>
      <w:pPr>
        <w:pStyle w:val="MainText"/>
        <w:spacing w:before="0" w:after="120"/>
        <w:rPr/>
      </w:pPr>
      <w:r>
        <w:rPr/>
        <w:t>Другие кредитные организации и их филиалы раздел 5 Отчета не заполняют.</w:t>
      </w:r>
    </w:p>
    <w:p>
      <w:pPr>
        <w:pStyle w:val="SnoskaLineTab"/>
        <w:keepLines w:val="false"/>
        <w:pBdr>
          <w:top w:val="single" w:sz="6" w:space="1" w:color="000000"/>
        </w:pBdr>
        <w:rPr/>
      </w:pPr>
      <w:r>
        <w:rPr>
          <w:vertAlign w:val="superscript"/>
        </w:rPr>
        <w:t>1</w:t>
      </w:r>
      <w:r>
        <w:rPr/>
        <w:t> Термин “банкомат” приводится в пункте 1.3 Положения Банка России от 24 декабря 2004 года № 266-П “Об эмиссии банковских карт и об операциях, совершаемых с использованием платежных карт”, зарегистрированного Министерством юстиции Российской Федерации 25 марта 2005 года № 6431, 30 октября 2006 года № 8416, 8 октября 2008 года № 12430 (“Вестник Банка России” от 30 марта 2005 года № 17, от 9 ноября 2006 года № 60, от 17 октября 2008 года № 58).</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СВЕДЕНИЯ КРЕДИТНЫХ ОРГАНИЗАЦИЙ О НАЧАЛЕ (ЗАВЕРШЕНИИ) ЭМИССИИ И (ИЛИ) ЭКВАЙРИНГА ПЛАТЕЖНЫХ КАРТ</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0409255</w:t>
        <w:br/>
        <w:t>На нерегулярной основе</w:t>
      </w:r>
    </w:p>
    <w:tbl>
      <w:tblPr>
        <w:tblW w:w="16228" w:type="dxa"/>
        <w:jc w:val="center"/>
        <w:tblInd w:w="0" w:type="dxa"/>
        <w:tblLayout w:type="fixed"/>
        <w:tblCellMar>
          <w:top w:w="0" w:type="dxa"/>
          <w:start w:w="28" w:type="dxa"/>
          <w:bottom w:w="0" w:type="dxa"/>
          <w:end w:w="28" w:type="dxa"/>
        </w:tblCellMar>
      </w:tblPr>
      <w:tblGrid>
        <w:gridCol w:w="669"/>
        <w:gridCol w:w="1274"/>
        <w:gridCol w:w="1133"/>
        <w:gridCol w:w="848"/>
        <w:gridCol w:w="1277"/>
        <w:gridCol w:w="1275"/>
        <w:gridCol w:w="1135"/>
        <w:gridCol w:w="958"/>
        <w:gridCol w:w="1026"/>
        <w:gridCol w:w="707"/>
        <w:gridCol w:w="424"/>
        <w:gridCol w:w="1274"/>
        <w:gridCol w:w="852"/>
        <w:gridCol w:w="1276"/>
        <w:gridCol w:w="850"/>
        <w:gridCol w:w="1250"/>
      </w:tblGrid>
      <w:tr>
        <w:trPr>
          <w:tblHeader w:val="true"/>
          <w:cantSplit/>
        </w:trPr>
        <w:tc>
          <w:tcPr>
            <w:tcW w:w="66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27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Дата формирования</w:t>
            </w:r>
          </w:p>
        </w:tc>
        <w:tc>
          <w:tcPr>
            <w:tcW w:w="113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Вид деятельности</w:t>
            </w:r>
          </w:p>
        </w:tc>
        <w:tc>
          <w:tcPr>
            <w:tcW w:w="2125"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Платежная система с использованием карт</w:t>
            </w:r>
          </w:p>
        </w:tc>
        <w:tc>
          <w:tcPr>
            <w:tcW w:w="12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Начало деятельности</w:t>
            </w:r>
          </w:p>
        </w:tc>
        <w:tc>
          <w:tcPr>
            <w:tcW w:w="113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Завершение деятельности</w:t>
            </w:r>
          </w:p>
        </w:tc>
        <w:tc>
          <w:tcPr>
            <w:tcW w:w="95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Тип платежной</w:t>
            </w:r>
          </w:p>
        </w:tc>
        <w:tc>
          <w:tcPr>
            <w:tcW w:w="102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Статус кредитной</w:t>
            </w:r>
          </w:p>
        </w:tc>
        <w:tc>
          <w:tcPr>
            <w:tcW w:w="2405"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Расчетная организация</w:t>
            </w:r>
          </w:p>
        </w:tc>
        <w:tc>
          <w:tcPr>
            <w:tcW w:w="212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Вид карты</w:t>
            </w:r>
          </w:p>
        </w:tc>
        <w:tc>
          <w:tcPr>
            <w:tcW w:w="2100"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Совмещена с другой платежной системой</w:t>
            </w:r>
          </w:p>
        </w:tc>
      </w:tr>
      <w:tr>
        <w:trPr>
          <w:tblHeader w:val="true"/>
          <w:cantSplit/>
        </w:trPr>
        <w:tc>
          <w:tcPr>
            <w:tcW w:w="66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27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w:t>
            </w:r>
          </w:p>
        </w:tc>
        <w:tc>
          <w:tcPr>
            <w:tcW w:w="1133"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кредитной организации</w:t>
            </w:r>
          </w:p>
        </w:tc>
        <w:tc>
          <w:tcPr>
            <w:tcW w:w="8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условный код</w:t>
            </w:r>
          </w:p>
        </w:tc>
        <w:tc>
          <w:tcPr>
            <w:tcW w:w="12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w:t>
            </w:r>
          </w:p>
        </w:tc>
        <w:tc>
          <w:tcPr>
            <w:tcW w:w="127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3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5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системы</w:t>
            </w:r>
          </w:p>
        </w:tc>
        <w:tc>
          <w:tcPr>
            <w:tcW w:w="1026"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организации в платежной системе</w:t>
            </w:r>
          </w:p>
        </w:tc>
        <w:tc>
          <w:tcPr>
            <w:tcW w:w="7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статус</w:t>
            </w:r>
          </w:p>
        </w:tc>
        <w:tc>
          <w:tcPr>
            <w:tcW w:w="4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код</w:t>
            </w:r>
          </w:p>
        </w:tc>
        <w:tc>
          <w:tcPr>
            <w:tcW w:w="127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условный код</w:t>
            </w:r>
          </w:p>
        </w:tc>
        <w:tc>
          <w:tcPr>
            <w:tcW w:w="127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w:t>
            </w:r>
          </w:p>
        </w:tc>
        <w:tc>
          <w:tcPr>
            <w:tcW w:w="8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условный код</w:t>
            </w:r>
          </w:p>
        </w:tc>
        <w:tc>
          <w:tcPr>
            <w:tcW w:w="12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w:t>
            </w:r>
          </w:p>
        </w:tc>
      </w:tr>
      <w:tr>
        <w:trPr>
          <w:tblHeader w:val="true"/>
          <w:cantSplit/>
        </w:trPr>
        <w:tc>
          <w:tcPr>
            <w:tcW w:w="66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27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1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8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2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0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7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4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127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127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8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c>
          <w:tcPr>
            <w:tcW w:w="12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16</w:t>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2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spacing w:before="120" w:after="0"/>
        <w:rPr/>
      </w:pPr>
      <w:r>
        <w:rPr>
          <w:color w:val="000000"/>
        </w:rPr>
        <w:t>Порядок составления и представления отчетности по форме 0409255 “Сведения кредитных организаций о начале (завершении) эмиссии и (или) эквайринга платежных карт”</w:t>
      </w:r>
    </w:p>
    <w:p>
      <w:pPr>
        <w:pStyle w:val="MGlavaCenter"/>
        <w:rPr>
          <w:b w:val="false"/>
        </w:rPr>
      </w:pPr>
      <w:r>
        <w:rPr>
          <w:b w:val="false"/>
        </w:rPr>
        <w:t>Раздел I. Цели сбора отчетности</w:t>
      </w:r>
    </w:p>
    <w:p>
      <w:pPr>
        <w:pStyle w:val="MainText"/>
        <w:rPr/>
      </w:pPr>
      <w:r>
        <w:rPr/>
        <w:t>I.1. На основании полученной от кредитных организаций отчетности по форме 0409255 “Сведения кредитных организаций о начале (завершении) эмиссии и (или) эквайринга платежных карт” (далее — Отчет) формируются справочники (справочник платежных систем с использованием платежных карт, справочник видов банковских карт), которые используются при формировании отчетности по форме 0409250 “Сведения об операциях с использованием платежных карт и инфраструктуре, предназначенной для совершения c использованием и без использования платежных карт операций выдачи (приема) наличных денежных средств и платежей за товары (работы, услуги)” (далее — отчетность по форме 0409250).</w:t>
      </w:r>
    </w:p>
    <w:p>
      <w:pPr>
        <w:pStyle w:val="MainText"/>
        <w:rPr/>
      </w:pPr>
      <w:r>
        <w:rPr/>
        <w:t>I.2. Информация о совмещенных картах необходима для контроля за достоверностью предоставляемой кредитными организациями отчетности по форме 0409250, а также для определения направлений развития российских и международных платежных систем с использованием платежных карт.</w:t>
      </w:r>
    </w:p>
    <w:p>
      <w:pPr>
        <w:pStyle w:val="MGlavaCenter"/>
        <w:rPr>
          <w:b w:val="false"/>
        </w:rPr>
      </w:pPr>
      <w:r>
        <w:rPr>
          <w:b w:val="false"/>
        </w:rPr>
        <w:t>Раздел II. Порядок и сроки представления Отчета</w:t>
      </w:r>
    </w:p>
    <w:p>
      <w:pPr>
        <w:pStyle w:val="MainText"/>
        <w:rPr/>
      </w:pPr>
      <w:r>
        <w:rPr/>
        <w:t>II.1. Кредитная организация представляет Отчет в территориальное учреждение Банка России по месту нахождения головного офиса кредитной организации не позднее 10 рабочих дней со дня начала (завершения) эмиссии и (или) эквайринга платежных карт или изменения сведений, указанных в ранее присланных отчетах.</w:t>
      </w:r>
    </w:p>
    <w:p>
      <w:pPr>
        <w:pStyle w:val="MainText"/>
        <w:rPr/>
      </w:pPr>
      <w:r>
        <w:rPr/>
        <w:t>Настоящий пункт (в части эквайринга) действует в отношении кредитных организаций, установивших устройства, предназначенные для приема платежных карт эмитентов, не являющихся кредитными организациями, в организациях торговли (услуг), заключивших соответствующие соглашения с данными эмитентами.</w:t>
      </w:r>
    </w:p>
    <w:p>
      <w:pPr>
        <w:pStyle w:val="MainText"/>
        <w:rPr/>
      </w:pPr>
      <w:r>
        <w:rPr/>
        <w:t>II.2. В Отчет кредитной организации должны быть включены сводные сведения о деятельности головного офиса кредитной организации и ее филиалов, связанной:</w:t>
      </w:r>
    </w:p>
    <w:p>
      <w:pPr>
        <w:pStyle w:val="MainText"/>
        <w:rPr/>
      </w:pPr>
      <w:r>
        <w:rPr/>
        <w:t>с эмиссией банковских карт — предоплаченных карт (например, “Rapida”, “PayCash” и тому подобное), расчетных и кредитных карт;</w:t>
      </w:r>
    </w:p>
    <w:p>
      <w:pPr>
        <w:pStyle w:val="MainText"/>
        <w:rPr/>
      </w:pPr>
      <w:r>
        <w:rPr/>
        <w:t>с эквайрингом платежных карт — предоплаченных карт (например, “Rapida”, “PayCash”, “Travelex” (карты “Visa TravelMoney Cash Passport”) и тому подобное), расчетных карт, кредитных карт и карт, эмитированных организациями, не являющимися кредитными организациями (например, “American Express”).</w:t>
      </w:r>
    </w:p>
    <w:p>
      <w:pPr>
        <w:pStyle w:val="MainText"/>
        <w:rPr/>
      </w:pPr>
      <w:r>
        <w:rPr/>
        <w:t>II.3. В случае если в кредитной организации, осуществляющей эмиссию банковских карт, остались только клиенты, у которых срок действия выданных этой кредитной организацией расчетных или кредитных карт истек и их повторный выпуск не планируется или в течение года не был произведен, а договоры с указанными клиентами не расторгнуты, данная кредитная организация должна прислать Отчет о завершении эмиссии таких карт в этой платежной системе. При этом датой завершения эмиссии является дата окончания срока действия последней выданной этой кредитной организацией расчетной или кредитной карты.</w:t>
      </w:r>
    </w:p>
    <w:p>
      <w:pPr>
        <w:pStyle w:val="MainText"/>
        <w:rPr/>
      </w:pPr>
      <w:r>
        <w:rPr/>
        <w:t>II.4. При выявлении неправильного значения одного из показателей в ранее присланном Отчете кредитная организация обязана в течение рабочего дня, следующего за днем выявления факта недостоверности представленной отчетности, направить в территориальное учреждение Банка России Отчет, содержащий строку (строки) с исправленными значениями показателей.</w:t>
      </w:r>
    </w:p>
    <w:p>
      <w:pPr>
        <w:pStyle w:val="MainText"/>
        <w:rPr/>
      </w:pPr>
      <w:r>
        <w:rPr/>
        <w:t>II.5. Справочники, содержащие информацию о кодах и наименованиях платежных систем с использованием платежных карт, иностранных расчетных организаций, видов банковских карт, типов платежных систем, ведутся в Департаменте регулирования расчетов Банка России и передаются в кредитные организации через территориальные учреждения по мере их изменения.</w:t>
      </w:r>
    </w:p>
    <w:p>
      <w:pPr>
        <w:pStyle w:val="MainText"/>
        <w:rPr/>
      </w:pPr>
      <w:r>
        <w:rPr/>
        <w:t>II.6. При составлении Отчета необходимо учитывать следующее.</w:t>
      </w:r>
    </w:p>
    <w:p>
      <w:pPr>
        <w:pStyle w:val="MainText"/>
        <w:rPr/>
      </w:pPr>
      <w:r>
        <w:rPr/>
        <w:t>II.6.1. В графе 1 Отчета номер строки должен быть уникальным для кредитной организации, составляющей Отчет.</w:t>
      </w:r>
    </w:p>
    <w:p>
      <w:pPr>
        <w:pStyle w:val="MainText"/>
        <w:rPr/>
      </w:pPr>
      <w:r>
        <w:rPr/>
        <w:t>Например, если в первом отчете кредитной организации были сформированы две строки с номерами 1 и 2, то при формировании первой строки в следующем отчете кредитная организация в графе 1 указывает цифру 3.</w:t>
      </w:r>
    </w:p>
    <w:p>
      <w:pPr>
        <w:pStyle w:val="MainText"/>
        <w:rPr/>
      </w:pPr>
      <w:r>
        <w:rPr/>
        <w:t>II.6.2. В графе 2 Отчета указывается дата формирования строки.</w:t>
      </w:r>
    </w:p>
    <w:p>
      <w:pPr>
        <w:pStyle w:val="MainText"/>
        <w:rPr/>
      </w:pPr>
      <w:r>
        <w:rPr/>
        <w:t>II.6.3. В графе 3 Отчета указывается код вида деятельности кредитной организации: 1 — эмиссия, 2 — эквайринг. Кредитная организация, осуществляющая эмиссию и эквайринг платежных карт, формирует для каждого вида деятельности отдельную строку.</w:t>
      </w:r>
    </w:p>
    <w:p>
      <w:pPr>
        <w:pStyle w:val="MainText"/>
        <w:rPr/>
      </w:pPr>
      <w:r>
        <w:rPr/>
        <w:t>II.6.4. При заполнении граф 4 и 5 Отчета условный код и наименование платежной системы указываются в соответствии со справочником платежных систем с использованием платежных карт.</w:t>
      </w:r>
    </w:p>
    <w:p>
      <w:pPr>
        <w:pStyle w:val="MainText"/>
        <w:rPr/>
      </w:pPr>
      <w:r>
        <w:rPr/>
        <w:t>При отсутствии в указанном справочнике условного кода и наименования платежной системы в графе 4 ставится “0”, а в графе 5 — наименование отсутствующей в справочнике платежной системы. Кредитная организация, эмитирующая банковские карты или осуществляющая эквайринг платежных карт нескольких платежных систем, формирует для каждой платежной системы отдельную строку.</w:t>
      </w:r>
    </w:p>
    <w:p>
      <w:pPr>
        <w:pStyle w:val="MainText"/>
        <w:rPr/>
      </w:pPr>
      <w:r>
        <w:rPr/>
        <w:t>II.6.5. В графе 6 указывается дата начала эмиссии или эквайринга платежных карт:</w:t>
      </w:r>
    </w:p>
    <w:p>
      <w:pPr>
        <w:pStyle w:val="MainText"/>
        <w:rPr/>
      </w:pPr>
      <w:r>
        <w:rPr/>
        <w:t>дата начала эмиссии расчетных или кредитных карт в одной платежной системе — дата заключения кредитной организацией первого договора с физическим лицом (юридическим лицом, индивидуальным предпринимателем) на осуществление эмиссии этих карт;</w:t>
      </w:r>
    </w:p>
    <w:p>
      <w:pPr>
        <w:pStyle w:val="MainText"/>
        <w:rPr/>
      </w:pPr>
      <w:r>
        <w:rPr/>
        <w:t>дата начала эмиссии предоплаченных карт в одной платежной системе — дата выдачи клиенту первой предоплаченной карты или дата заключения кредитной организацией первого договора с физическим лицом на осуществление эмиссии этих карт;</w:t>
      </w:r>
    </w:p>
    <w:p>
      <w:pPr>
        <w:pStyle w:val="MainText"/>
        <w:rPr/>
      </w:pPr>
      <w:r>
        <w:rPr/>
        <w:t>дата начала эквайринга платежных карт в одной платежной системе — дата заключения кредитной организацией договора с организацией торговли (услуг) на обслуживание платежных карт или дата совершения первой операции по выдаче наличных денежных средств держателям карт, не являющимся клиентами данной кредитной организации.</w:t>
      </w:r>
    </w:p>
    <w:p>
      <w:pPr>
        <w:pStyle w:val="MainText"/>
        <w:rPr/>
      </w:pPr>
      <w:r>
        <w:rPr/>
        <w:t>Графа 6 Отчета заполняется при формировании строки о начале указанной деятельности (при этом графа 7 Отчета не заполняется). Например, кредитная организация, осуществляющая эмиссию расчетных и кредитных карт платежной системы MasterCard International, должна сформировать две строки. При этом в графе 6 Отчета первой строки кредитная организация должна указать дату начала эмиссии расчетных карт платежной системы MasterCard International, а в графе 6 второй строки — дату начала эмиссии кредитных карт.</w:t>
      </w:r>
    </w:p>
    <w:p>
      <w:pPr>
        <w:pStyle w:val="MainText"/>
        <w:rPr/>
      </w:pPr>
      <w:r>
        <w:rPr/>
        <w:t>II.6.6. В графе 7 Отчета указывается дата завершения эмиссии или эквайринга платежных карт:</w:t>
      </w:r>
    </w:p>
    <w:p>
      <w:pPr>
        <w:pStyle w:val="MainText"/>
        <w:rPr/>
      </w:pPr>
      <w:r>
        <w:rPr/>
        <w:t>дата завершения эмиссии расчетных или кредитных карт в одной платежной системе — дата расторжения кредитной организацией всех договоров с физическими лицами, юридическими лицами и индивидуальными предпринимателями на осуществление эмиссии расчетных и кредитных карт</w:t>
      </w:r>
    </w:p>
    <w:p>
      <w:pPr>
        <w:pStyle w:val="MainText"/>
        <w:rPr/>
      </w:pPr>
      <w:r>
        <w:rPr/>
        <w:t>или, если кредитная организация не планирует продолжать эмиссию расчетных и кредитных карт, — дата истечения срока действия всех заключенных кредитной организацией договоров с физическими лицами, юридическими лицами и индивидуальными предпринимателями на осуществление эмиссии расчетных и кредитных карт;</w:t>
      </w:r>
    </w:p>
    <w:p>
      <w:pPr>
        <w:pStyle w:val="MainText"/>
        <w:rPr/>
      </w:pPr>
      <w:r>
        <w:rPr/>
        <w:t>дата завершения эмиссии предоплаченных карт в одной платежной системе — дата расторжения кредитной организацией всех договоров с физическими лицами на осуществление эмиссии этих карт</w:t>
      </w:r>
    </w:p>
    <w:p>
      <w:pPr>
        <w:pStyle w:val="MainText"/>
        <w:rPr/>
      </w:pPr>
      <w:r>
        <w:rPr/>
        <w:t>или, если кредитная организация не планирует продолжать эмиссию предоплаченных карт, — дата исполнения кредитной организацией всех своих обязательств по операциям с использованием ранее выданных ею предоплаченных карт;</w:t>
      </w:r>
    </w:p>
    <w:p>
      <w:pPr>
        <w:pStyle w:val="MainText"/>
        <w:rPr/>
      </w:pPr>
      <w:r>
        <w:rPr/>
        <w:t>дата завершения эквайринга платежных карт в одной платежной системе — дата расторжения кредитной организацией всех договоров, заключенных с организациями торговли (услуг), и прекращения деятельности по выдаче наличных денежных средств держателям платежных карт, не являющимся клиентами данной кредитной организации.</w:t>
      </w:r>
    </w:p>
    <w:p>
      <w:pPr>
        <w:pStyle w:val="MainText"/>
        <w:rPr/>
      </w:pPr>
      <w:r>
        <w:rPr/>
        <w:t>Графа 7 Отчета заполняется при формировании строки о завершении указанной деятельности (при этом графа 6 Отчета не заполняется).</w:t>
      </w:r>
    </w:p>
    <w:p>
      <w:pPr>
        <w:pStyle w:val="MainText"/>
        <w:rPr/>
      </w:pPr>
      <w:r>
        <w:rPr/>
        <w:t>Кредитная организация, завершающая эмиссию банковских карт одной из заявленных ранее платежных систем, заполняет в строке только графы 1—5 и 7 Отчета. При этом в графе 7 указывается дата завершения эмиссии банковских карт соответствующей платежной системы. Аналогично заполняется строка о завершении эквайринга платежных карт одной из заявленных ранее платежных систем.</w:t>
      </w:r>
    </w:p>
    <w:p>
      <w:pPr>
        <w:pStyle w:val="MainText"/>
        <w:rPr/>
      </w:pPr>
      <w:r>
        <w:rPr/>
        <w:t>II.6.7. В графе 8 Отчета указывается код типа платежной системы: 1 — международная платежная система (создана за пределами территории Российской Федерации), 2 — российская платежная система (создана на территории Российской Федерации).</w:t>
      </w:r>
    </w:p>
    <w:p>
      <w:pPr>
        <w:pStyle w:val="MainText"/>
        <w:rPr/>
      </w:pPr>
      <w:r>
        <w:rPr/>
        <w:t>II.6.8. В графе 9 Отчета указывается код статуса кредитной организации в платежной системе: 1 — принципиальный член, 2 — ассоциированный (аффилированный) член. При отсутствии статуса в платежной системе в указанной графе ставится “0”.</w:t>
      </w:r>
    </w:p>
    <w:p>
      <w:pPr>
        <w:pStyle w:val="MainText"/>
        <w:rPr/>
      </w:pPr>
      <w:r>
        <w:rPr/>
        <w:t>В Отчете:</w:t>
      </w:r>
    </w:p>
    <w:p>
      <w:pPr>
        <w:pStyle w:val="MainText"/>
        <w:rPr/>
      </w:pPr>
      <w:r>
        <w:rPr/>
        <w:t>под принципиальным членом платежной системы понимается кредитная организация, которая имеет выданную этой платежной системой лицензию на эмиссию и (или) эквайринг платежных карт этой платежной системы и обеспечивает осуществление всех расчетов по операциям с их использованием непосредственно с платежной системой;</w:t>
      </w:r>
    </w:p>
    <w:p>
      <w:pPr>
        <w:pStyle w:val="MainText"/>
        <w:rPr/>
      </w:pPr>
      <w:r>
        <w:rPr/>
        <w:t>под ассоциированным (аффилированным) членом платежной системы понимается кредитная организация, которая имеет выданную этой платежной системой лицензию на эмиссию и (или) эквайринг платежных карт этой платежной системы и осуществляет все расчеты по операциям с их использованием с платежной системой и ее участниками через кредитную организацию — принципиального члена этой платежной системы.</w:t>
      </w:r>
    </w:p>
    <w:p>
      <w:pPr>
        <w:pStyle w:val="MainText"/>
        <w:rPr/>
      </w:pPr>
      <w:r>
        <w:rPr/>
        <w:t>II.6.9. В графе 10 Отчета указывается код статуса организации, осуществляющей расчеты между участниками расчетов по операциям с использованием платежных карт этой платежной системы (далее — расчетная организация): 1 — российская кредитная организация, 2 — иностранная расчетная организация.</w:t>
      </w:r>
    </w:p>
    <w:p>
      <w:pPr>
        <w:pStyle w:val="MainText"/>
        <w:rPr/>
      </w:pPr>
      <w:r>
        <w:rPr/>
        <w:t>II.6.10. При заполнении граф 11 и 12 Отчета кредитная организация указывает код и наименование расчетной организации.</w:t>
      </w:r>
    </w:p>
    <w:p>
      <w:pPr>
        <w:pStyle w:val="MainText"/>
        <w:rPr/>
      </w:pPr>
      <w:r>
        <w:rPr/>
        <w:t>Для иностранной расчетной организации код и наименование указываются в соответствии со справочником иностранных расчетных организаций. При отсутствии в указанном справочнике кода и наименования иностранной расчетной организации в графе 11 ставится “0”, в графе 12 — наименование отсутствующей в справочнике иностранной расчетной организации.</w:t>
      </w:r>
    </w:p>
    <w:p>
      <w:pPr>
        <w:pStyle w:val="MainText"/>
        <w:rPr/>
      </w:pPr>
      <w:r>
        <w:rPr/>
        <w:t>Для расчетной организации — российской кредитной организации код (регистрационный номер) и фирменное наименование указываются в соответствии с Книгой государственной регистрации кредитных организаций.</w:t>
      </w:r>
    </w:p>
    <w:p>
      <w:pPr>
        <w:pStyle w:val="MainText"/>
        <w:rPr/>
      </w:pPr>
      <w:r>
        <w:rPr/>
        <w:t>Код и фирменное наименование кредитной организации, представившей Отчет, указываются в графах 11, 12 в следующих случаях:</w:t>
      </w:r>
    </w:p>
    <w:p>
      <w:pPr>
        <w:pStyle w:val="MainText"/>
        <w:rPr/>
      </w:pPr>
      <w:r>
        <w:rPr/>
        <w:t>если в пунктах выдачи наличных денег, банкоматах и организациях торговли (услуг) данной кредитной организации принимаются только банковские карты, эмитированные данной кредитной организацией;</w:t>
      </w:r>
    </w:p>
    <w:p>
      <w:pPr>
        <w:pStyle w:val="MainText"/>
        <w:rPr/>
      </w:pPr>
      <w:r>
        <w:rPr/>
        <w:t>если в пунктах выдачи наличных денег, банкоматах и организациях торговли (услуг) данной кредитной организации принимаются на основании двусторонних межбанковских договоров банковские карты, эмитированные другой кредитной организацией.</w:t>
      </w:r>
    </w:p>
    <w:p>
      <w:pPr>
        <w:pStyle w:val="MainText"/>
        <w:rPr/>
      </w:pPr>
      <w:r>
        <w:rPr/>
        <w:t>Кредитная организация, имеющая несколько расчетных организаций, должна сформировать для каждой расчетной организации отдельную строку.</w:t>
      </w:r>
    </w:p>
    <w:p>
      <w:pPr>
        <w:pStyle w:val="MainText"/>
        <w:rPr/>
      </w:pPr>
      <w:r>
        <w:rPr/>
        <w:t>При смене расчетной организации кредитная организация формирует две строки: первая строка — о завершении работы с одной расчетной организацией с указанием в графе 7 Отчета даты завершения работы с ней, вторая строка — о начале работы с другой расчетной организацией с указанием в графе 6 Отчета даты начала работы с соответствующей расчетной организацией.</w:t>
      </w:r>
    </w:p>
    <w:p>
      <w:pPr>
        <w:pStyle w:val="MainText"/>
        <w:rPr/>
      </w:pPr>
      <w:r>
        <w:rPr/>
        <w:t>II.6.11. Графы 13 и 14 Отчета заполняются только в строках о начале (завершении) эмиссии банковских карт. В графах 13 и 14 указывается вид банковской карты: расчетная, кредитная, предоплаченная. Условный код и наименование вида банковской карты указываются в соответствии со справочником видов банковских карт.</w:t>
      </w:r>
    </w:p>
    <w:p>
      <w:pPr>
        <w:pStyle w:val="MainText"/>
        <w:rPr/>
      </w:pPr>
      <w:r>
        <w:rPr/>
        <w:t>Кредитная организация, эмитирующая банковские карты нескольких видов, для каждого вида карты формирует отдельную строку с указанием в графе 6 Отчета даты начала эмиссии этих карт (при этом графа 7 не заполняется).</w:t>
      </w:r>
    </w:p>
    <w:p>
      <w:pPr>
        <w:pStyle w:val="MainText"/>
        <w:rPr/>
      </w:pPr>
      <w:r>
        <w:rPr/>
        <w:t>При завершении эмиссии одного из видов банковских карт кредитная организация должна сформировать строку с указанием в графе 7 Отчета даты завершения работы с этим видом банковских карт (при этом графа 6 не заполняется).</w:t>
      </w:r>
    </w:p>
    <w:p>
      <w:pPr>
        <w:pStyle w:val="MainText"/>
        <w:rPr/>
      </w:pPr>
      <w:r>
        <w:rPr/>
        <w:t>II.6.12. Графы 15 и 16 Отчета заполняются в том случае, если кредитная организация эмитирует совмещенные карты, позволяющие их держателям совершать операции в двух и более платежных системах, участником которых является данная кредитная организация, заключившая договор с держателями этих карт.</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ОТДЕЛЬНЫЕ ПОКАЗАТЕЛИ, ХАРАКТЕРИЗУЮЩИЕ ДЕЯТЕЛЬНОСТЬ КРЕДИТНОЙ ОРГАНИЗАЦИИ</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0409301</w:t>
        <w:br/>
        <w:t>Пятидневная</w:t>
        <w:br/>
        <w:t>млн. руб.</w:t>
      </w:r>
    </w:p>
    <w:tbl>
      <w:tblPr>
        <w:tblW w:w="16250" w:type="dxa"/>
        <w:jc w:val="center"/>
        <w:tblInd w:w="0" w:type="dxa"/>
        <w:tblLayout w:type="fixed"/>
        <w:tblCellMar>
          <w:top w:w="0" w:type="dxa"/>
          <w:start w:w="28" w:type="dxa"/>
          <w:bottom w:w="0" w:type="dxa"/>
          <w:end w:w="28" w:type="dxa"/>
        </w:tblCellMar>
      </w:tblPr>
      <w:tblGrid>
        <w:gridCol w:w="530"/>
        <w:gridCol w:w="1310"/>
        <w:gridCol w:w="1310"/>
        <w:gridCol w:w="1310"/>
        <w:gridCol w:w="1310"/>
        <w:gridCol w:w="1310"/>
        <w:gridCol w:w="1310"/>
        <w:gridCol w:w="1310"/>
        <w:gridCol w:w="1310"/>
        <w:gridCol w:w="1310"/>
        <w:gridCol w:w="1310"/>
        <w:gridCol w:w="1310"/>
        <w:gridCol w:w="1310"/>
      </w:tblGrid>
      <w:tr>
        <w:trPr>
          <w:tblHeader w:val="true"/>
          <w:cantSplit/>
        </w:trPr>
        <w:tc>
          <w:tcPr>
            <w:tcW w:w="53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w:t>
            </w:r>
          </w:p>
        </w:tc>
        <w:tc>
          <w:tcPr>
            <w:tcW w:w="14410" w:type="dxa"/>
            <w:gridSpan w:val="11"/>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Обязательства кредитных организаций</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Денежные</w:t>
            </w:r>
          </w:p>
        </w:tc>
      </w:tr>
      <w:tr>
        <w:trPr>
          <w:tblHeader w:val="true"/>
          <w:cantSplit/>
        </w:trPr>
        <w:tc>
          <w:tcPr>
            <w:tcW w:w="530" w:type="dxa"/>
            <w:tcBorders>
              <w:start w:val="single" w:sz="6" w:space="0" w:color="000000"/>
              <w:end w:val="single" w:sz="6" w:space="0" w:color="000000"/>
            </w:tcBorders>
          </w:tcPr>
          <w:p>
            <w:pPr>
              <w:pStyle w:val="MainText"/>
              <w:keepNext w:val="true"/>
              <w:ind w:hanging="0" w:end="0"/>
              <w:jc w:val="center"/>
              <w:rPr>
                <w:sz w:val="14"/>
              </w:rPr>
            </w:pPr>
            <w:r>
              <w:rPr>
                <w:sz w:val="14"/>
              </w:rPr>
              <w:t>строки</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по срокам</w:t>
            </w:r>
          </w:p>
        </w:tc>
        <w:tc>
          <w:tcPr>
            <w:tcW w:w="6550" w:type="dxa"/>
            <w:gridSpan w:val="5"/>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рублях</w:t>
            </w:r>
          </w:p>
        </w:tc>
        <w:tc>
          <w:tcPr>
            <w:tcW w:w="6550" w:type="dxa"/>
            <w:gridSpan w:val="5"/>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иностранной валюте</w:t>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средства</w:t>
            </w:r>
          </w:p>
        </w:tc>
      </w:tr>
      <w:tr>
        <w:trPr>
          <w:tblHeader w:val="true"/>
          <w:cantSplit/>
        </w:trPr>
        <w:tc>
          <w:tcPr>
            <w:tcW w:w="530" w:type="dxa"/>
            <w:tcBorders>
              <w:start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размещения</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перед нефинансовыми</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перед физическими</w:t>
            </w:r>
          </w:p>
        </w:tc>
        <w:tc>
          <w:tcPr>
            <w:tcW w:w="3930" w:type="dxa"/>
            <w:gridSpan w:val="3"/>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перед органами государственного управления и внебюджетными фондами</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перед нефинансовыми</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перед физическими</w:t>
            </w:r>
          </w:p>
        </w:tc>
        <w:tc>
          <w:tcPr>
            <w:tcW w:w="3930" w:type="dxa"/>
            <w:gridSpan w:val="3"/>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перед органами государственного управления и внебюджетными фондами</w:t>
            </w:r>
          </w:p>
        </w:tc>
        <w:tc>
          <w:tcPr>
            <w:tcW w:w="1310"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r>
      <w:tr>
        <w:trPr>
          <w:tblHeader w:val="true"/>
          <w:cantSplit/>
        </w:trPr>
        <w:tc>
          <w:tcPr>
            <w:tcW w:w="530" w:type="dxa"/>
            <w:tcBorders>
              <w:start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310"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и финансовыми</w:t>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лицами</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всего</w:t>
            </w:r>
          </w:p>
        </w:tc>
        <w:tc>
          <w:tcPr>
            <w:tcW w:w="2620"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из них перед</w:t>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и финансовыми</w:t>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лицами</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всего</w:t>
            </w:r>
          </w:p>
        </w:tc>
        <w:tc>
          <w:tcPr>
            <w:tcW w:w="2620"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из них перед</w:t>
            </w:r>
          </w:p>
        </w:tc>
        <w:tc>
          <w:tcPr>
            <w:tcW w:w="1310"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r>
      <w:tr>
        <w:trPr>
          <w:tblHeader w:val="true"/>
          <w:cantSplit/>
        </w:trPr>
        <w:tc>
          <w:tcPr>
            <w:tcW w:w="53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(кроме кредитных) организациями</w:t>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федеральными органами государственной власти</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органами власти субъектов Российской Федерации и органами местного самоуправления</w:t>
            </w:r>
          </w:p>
        </w:tc>
        <w:tc>
          <w:tcPr>
            <w:tcW w:w="1310"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(кроме кредитных) организациями</w:t>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федеральными органами государственной власти</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органами власти субъектов Российской Федерации и органами местного самоуправления</w:t>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r>
      <w:tr>
        <w:trPr>
          <w:tblHeader w:val="true"/>
          <w:cantSplit/>
        </w:trPr>
        <w:tc>
          <w:tcPr>
            <w:tcW w:w="5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3</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4</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5</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6</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7</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8</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9</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10</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11</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12</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13</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До востребования:</w:t>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Срочные:</w:t>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ИТОГО</w:t>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
        <w:rPr/>
      </w:pPr>
      <w:r>
        <w:rPr/>
      </w:r>
    </w:p>
    <w:tbl>
      <w:tblPr>
        <w:tblW w:w="16251" w:type="dxa"/>
        <w:jc w:val="center"/>
        <w:tblInd w:w="0" w:type="dxa"/>
        <w:tblLayout w:type="fixed"/>
        <w:tblCellMar>
          <w:top w:w="0" w:type="dxa"/>
          <w:start w:w="28" w:type="dxa"/>
          <w:bottom w:w="0" w:type="dxa"/>
          <w:end w:w="28" w:type="dxa"/>
        </w:tblCellMar>
      </w:tblPr>
      <w:tblGrid>
        <w:gridCol w:w="531"/>
        <w:gridCol w:w="1310"/>
        <w:gridCol w:w="1310"/>
        <w:gridCol w:w="1310"/>
        <w:gridCol w:w="1310"/>
        <w:gridCol w:w="1310"/>
        <w:gridCol w:w="1310"/>
        <w:gridCol w:w="1310"/>
        <w:gridCol w:w="1310"/>
        <w:gridCol w:w="1310"/>
        <w:gridCol w:w="1310"/>
        <w:gridCol w:w="1310"/>
        <w:gridCol w:w="1310"/>
      </w:tblGrid>
      <w:tr>
        <w:trPr>
          <w:tblHeader w:val="true"/>
          <w:cantSplit/>
        </w:trPr>
        <w:tc>
          <w:tcPr>
            <w:tcW w:w="531"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w:t>
            </w:r>
          </w:p>
        </w:tc>
        <w:tc>
          <w:tcPr>
            <w:tcW w:w="11790" w:type="dxa"/>
            <w:gridSpan w:val="9"/>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Требования кредитных организаций</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Иностранные</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Иностранные</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Собственные</w:t>
            </w:r>
          </w:p>
        </w:tc>
      </w:tr>
      <w:tr>
        <w:trPr>
          <w:tblHeader w:val="true"/>
          <w:cantSplit/>
        </w:trPr>
        <w:tc>
          <w:tcPr>
            <w:tcW w:w="531" w:type="dxa"/>
            <w:tcBorders>
              <w:start w:val="single" w:sz="6" w:space="0" w:color="000000"/>
              <w:end w:val="single" w:sz="6" w:space="0" w:color="000000"/>
            </w:tcBorders>
          </w:tcPr>
          <w:p>
            <w:pPr>
              <w:pStyle w:val="MainText"/>
              <w:keepNext w:val="true"/>
              <w:ind w:hanging="0" w:end="0"/>
              <w:jc w:val="center"/>
              <w:rPr>
                <w:sz w:val="14"/>
              </w:rPr>
            </w:pPr>
            <w:r>
              <w:rPr>
                <w:sz w:val="14"/>
              </w:rPr>
              <w:t>строки</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по срокам</w:t>
            </w:r>
          </w:p>
        </w:tc>
        <w:tc>
          <w:tcPr>
            <w:tcW w:w="524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 рублях</w:t>
            </w:r>
          </w:p>
        </w:tc>
        <w:tc>
          <w:tcPr>
            <w:tcW w:w="524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 иностранной валюте</w:t>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активы</w:t>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пассивы</w:t>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средства</w:t>
            </w:r>
          </w:p>
        </w:tc>
      </w:tr>
      <w:tr>
        <w:trPr>
          <w:tblHeader w:val="true"/>
          <w:cantSplit/>
        </w:trPr>
        <w:tc>
          <w:tcPr>
            <w:tcW w:w="531" w:type="dxa"/>
            <w:tcBorders>
              <w:start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кредитования</w:t>
            </w:r>
          </w:p>
        </w:tc>
        <w:tc>
          <w:tcPr>
            <w:tcW w:w="3930"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 органам государственного управления и внебюджетным фондам</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 нефинансовым организациям и</w:t>
            </w:r>
          </w:p>
        </w:tc>
        <w:tc>
          <w:tcPr>
            <w:tcW w:w="3930"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 органам государственного управления и внебюджетным фондам</w:t>
            </w:r>
          </w:p>
        </w:tc>
        <w:tc>
          <w:tcPr>
            <w:tcW w:w="131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 нефинансовым организациям и</w:t>
            </w:r>
          </w:p>
        </w:tc>
        <w:tc>
          <w:tcPr>
            <w:tcW w:w="1310"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end w:val="single" w:sz="6" w:space="0" w:color="000000"/>
            </w:tcBorders>
          </w:tcPr>
          <w:p>
            <w:pPr>
              <w:pStyle w:val="MainText"/>
              <w:keepNext w:val="true"/>
              <w:ind w:hanging="0" w:end="0"/>
              <w:jc w:val="center"/>
              <w:rPr>
                <w:sz w:val="14"/>
              </w:rPr>
            </w:pPr>
            <w:r>
              <w:rPr>
                <w:sz w:val="14"/>
              </w:rPr>
              <w:t>кредитной организации за</w:t>
            </w:r>
          </w:p>
        </w:tc>
      </w:tr>
      <w:tr>
        <w:trPr>
          <w:tblHeader w:val="true"/>
          <w:cantSplit/>
        </w:trPr>
        <w:tc>
          <w:tcPr>
            <w:tcW w:w="53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федеральным органам государственной власти</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органам власти субъектов Российской Федерации и органам местного самоуправления</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внебюджетным фондам</w:t>
            </w:r>
          </w:p>
        </w:tc>
        <w:tc>
          <w:tcPr>
            <w:tcW w:w="1310"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физическим лицам</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федеральным органам государственной власти</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органам власти субъектов Российской Федерации и органам местного самоуправления</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внебюджетным фондам</w:t>
            </w:r>
          </w:p>
        </w:tc>
        <w:tc>
          <w:tcPr>
            <w:tcW w:w="1310"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физическим лицам</w:t>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310"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вычетом вложений в акции других кредитных организаций</w:t>
            </w:r>
          </w:p>
        </w:tc>
      </w:tr>
      <w:tr>
        <w:trPr>
          <w:tblHeader w:val="true"/>
          <w:cantSplit/>
        </w:trPr>
        <w:tc>
          <w:tcPr>
            <w:tcW w:w="53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14</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15</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16</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17</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18</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19</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20</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21</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22</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23</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24</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25</w:t>
            </w:r>
          </w:p>
        </w:tc>
        <w:tc>
          <w:tcPr>
            <w:tcW w:w="13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26</w:t>
            </w:r>
          </w:p>
        </w:tc>
      </w:tr>
      <w:tr>
        <w:trPr>
          <w:cantSplit/>
        </w:trPr>
        <w:tc>
          <w:tcPr>
            <w:tcW w:w="5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До 1 года:</w:t>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Свыше 1 года:</w:t>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ИТОГО</w:t>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
        <w:rPr/>
      </w:pPr>
      <w:r>
        <w:br w:type="page"/>
      </w:r>
      <w:r>
        <w:rPr/>
      </w:r>
    </w:p>
    <w:tbl>
      <w:tblPr>
        <w:tblW w:w="16256" w:type="dxa"/>
        <w:jc w:val="center"/>
        <w:tblInd w:w="0" w:type="dxa"/>
        <w:tblLayout w:type="fixed"/>
        <w:tblCellMar>
          <w:top w:w="0" w:type="dxa"/>
          <w:start w:w="28" w:type="dxa"/>
          <w:bottom w:w="0" w:type="dxa"/>
          <w:end w:w="28" w:type="dxa"/>
        </w:tblCellMar>
      </w:tblPr>
      <w:tblGrid>
        <w:gridCol w:w="534"/>
        <w:gridCol w:w="2246"/>
        <w:gridCol w:w="2246"/>
        <w:gridCol w:w="2246"/>
        <w:gridCol w:w="2246"/>
        <w:gridCol w:w="2246"/>
        <w:gridCol w:w="2246"/>
        <w:gridCol w:w="2246"/>
      </w:tblGrid>
      <w:tr>
        <w:trPr>
          <w:cantSplit/>
        </w:trPr>
        <w:tc>
          <w:tcPr>
            <w:tcW w:w="534"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w:t>
            </w:r>
          </w:p>
        </w:tc>
        <w:tc>
          <w:tcPr>
            <w:tcW w:w="15722" w:type="dxa"/>
            <w:gridSpan w:val="7"/>
            <w:tcBorders>
              <w:top w:val="single" w:sz="6" w:space="0" w:color="000000"/>
              <w:start w:val="single" w:sz="6" w:space="0" w:color="000000"/>
              <w:end w:val="single" w:sz="6" w:space="0" w:color="000000"/>
            </w:tcBorders>
          </w:tcPr>
          <w:p>
            <w:pPr>
              <w:pStyle w:val="MainText"/>
              <w:ind w:hanging="0" w:end="0"/>
              <w:jc w:val="center"/>
              <w:rPr>
                <w:sz w:val="14"/>
              </w:rPr>
            </w:pPr>
            <w:r>
              <w:rPr>
                <w:sz w:val="14"/>
              </w:rPr>
              <w:t>Межбанковские операции кредитных организаций</w:t>
            </w:r>
          </w:p>
        </w:tc>
      </w:tr>
      <w:tr>
        <w:trPr>
          <w:cantSplit/>
        </w:trPr>
        <w:tc>
          <w:tcPr>
            <w:tcW w:w="534" w:type="dxa"/>
            <w:tcBorders>
              <w:start w:val="single" w:sz="6" w:space="0" w:color="000000"/>
              <w:end w:val="single" w:sz="6" w:space="0" w:color="000000"/>
            </w:tcBorders>
          </w:tcPr>
          <w:p>
            <w:pPr>
              <w:pStyle w:val="MainText"/>
              <w:ind w:hanging="0" w:end="0"/>
              <w:jc w:val="center"/>
              <w:rPr>
                <w:sz w:val="14"/>
              </w:rPr>
            </w:pPr>
            <w:r>
              <w:rPr>
                <w:sz w:val="14"/>
              </w:rPr>
              <w:t>строки</w:t>
            </w:r>
          </w:p>
        </w:tc>
        <w:tc>
          <w:tcPr>
            <w:tcW w:w="224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по срокам привлечения</w:t>
            </w:r>
          </w:p>
        </w:tc>
        <w:tc>
          <w:tcPr>
            <w:tcW w:w="8984"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рублях</w:t>
            </w:r>
          </w:p>
        </w:tc>
        <w:tc>
          <w:tcPr>
            <w:tcW w:w="4492" w:type="dxa"/>
            <w:gridSpan w:val="2"/>
            <w:tcBorders>
              <w:top w:val="single" w:sz="6" w:space="0" w:color="000000"/>
              <w:start w:val="single" w:sz="6" w:space="0" w:color="000000"/>
              <w:end w:val="single" w:sz="6" w:space="0" w:color="000000"/>
            </w:tcBorders>
          </w:tcPr>
          <w:p>
            <w:pPr>
              <w:pStyle w:val="MainText"/>
              <w:ind w:hanging="0" w:end="0"/>
              <w:jc w:val="center"/>
              <w:rPr>
                <w:sz w:val="14"/>
              </w:rPr>
            </w:pPr>
            <w:r>
              <w:rPr>
                <w:sz w:val="14"/>
              </w:rPr>
              <w:t>в иностранной валюте</w:t>
            </w:r>
          </w:p>
        </w:tc>
      </w:tr>
      <w:tr>
        <w:trPr>
          <w:cantSplit/>
        </w:trPr>
        <w:tc>
          <w:tcPr>
            <w:tcW w:w="534" w:type="dxa"/>
            <w:tcBorders>
              <w:start w:val="single" w:sz="6" w:space="0" w:color="000000"/>
              <w:end w:val="single" w:sz="6" w:space="0" w:color="000000"/>
            </w:tcBorders>
          </w:tcPr>
          <w:p>
            <w:pPr>
              <w:pStyle w:val="MainText"/>
              <w:snapToGrid w:val="false"/>
              <w:ind w:hanging="0" w:end="0"/>
              <w:jc w:val="center"/>
              <w:rPr>
                <w:sz w:val="14"/>
              </w:rPr>
            </w:pPr>
            <w:r>
              <w:rPr>
                <w:rFonts w:cs="Arial"/>
                <w:sz w:val="14"/>
              </w:rPr>
            </w:r>
          </w:p>
        </w:tc>
        <w:tc>
          <w:tcPr>
            <w:tcW w:w="2246" w:type="dxa"/>
            <w:tcBorders>
              <w:start w:val="single" w:sz="6" w:space="0" w:color="000000"/>
              <w:end w:val="single" w:sz="6" w:space="0" w:color="000000"/>
            </w:tcBorders>
          </w:tcPr>
          <w:p>
            <w:pPr>
              <w:pStyle w:val="MainText"/>
              <w:ind w:hanging="0" w:end="0"/>
              <w:jc w:val="center"/>
              <w:rPr>
                <w:sz w:val="14"/>
              </w:rPr>
            </w:pPr>
            <w:r>
              <w:rPr>
                <w:sz w:val="14"/>
              </w:rPr>
              <w:t>(кредитования)</w:t>
            </w:r>
          </w:p>
        </w:tc>
        <w:tc>
          <w:tcPr>
            <w:tcW w:w="449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обязательства перед</w:t>
            </w:r>
          </w:p>
        </w:tc>
        <w:tc>
          <w:tcPr>
            <w:tcW w:w="449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требования к</w:t>
            </w:r>
          </w:p>
        </w:tc>
        <w:tc>
          <w:tcPr>
            <w:tcW w:w="224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обязательства перед</w:t>
            </w:r>
          </w:p>
        </w:tc>
        <w:tc>
          <w:tcPr>
            <w:tcW w:w="224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требования</w:t>
            </w:r>
          </w:p>
        </w:tc>
      </w:tr>
      <w:tr>
        <w:trPr>
          <w:cantSplit/>
        </w:trPr>
        <w:tc>
          <w:tcPr>
            <w:tcW w:w="534"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224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кредитными организациями — резидентами</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Банком России</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кредитным организациям — резидентам</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Банку России</w:t>
            </w:r>
          </w:p>
        </w:tc>
        <w:tc>
          <w:tcPr>
            <w:tcW w:w="2246"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кредитными организациями — резидентами</w:t>
            </w:r>
          </w:p>
        </w:tc>
        <w:tc>
          <w:tcPr>
            <w:tcW w:w="2246"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к кредитным организациям — резидентам</w:t>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27</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28</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29</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30</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31</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32</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33</w:t>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34</w:t>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До 1 года:</w:t>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Свыше 1 года:</w:t>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ИТОГО</w:t>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2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color w:val="000000"/>
        </w:rPr>
        <w:t>Порядок составления и представления отчетности по форме 0409301 “Отдельные показатели, характеризующие деятельность кредитной организации”</w:t>
      </w:r>
    </w:p>
    <w:p>
      <w:pPr>
        <w:pStyle w:val="MainText"/>
        <w:rPr/>
      </w:pPr>
      <w:r>
        <w:rPr/>
        <w:t>1. Отчетность по форме 0409301 “Отдельные показатели, характеризующие деятельность кредитной организации” (далее — Отчет) представляется кредитными организациями, перечень которых утверждается Комитетом по денежно-кредитной политике Банка России и доводится до сведения кредитных организаций.</w:t>
      </w:r>
    </w:p>
    <w:p>
      <w:pPr>
        <w:pStyle w:val="MainText"/>
        <w:rPr/>
      </w:pPr>
      <w:r>
        <w:rPr/>
        <w:t>2. Отчет представляется кредитными организациями (за исключением крупных кредитных организаций с широкой сетью подразделений) в территориальное учреждение Банка России по месту нахождения головного офиса кредитной организации по состоянию на начало рабочего дня 1, 5, 10, 15, 20, 25-го числа месяца — не позднее 13 часов 00 минут по московскому времени рабочего дня, следующего за отчетным.</w:t>
      </w:r>
    </w:p>
    <w:p>
      <w:pPr>
        <w:pStyle w:val="MainText"/>
        <w:rPr/>
      </w:pPr>
      <w:r>
        <w:rPr/>
        <w:t>Крупные кредитные организации с широкой сетью подразделений представляют Отчет не позднее 14 часов 00 минут по московскому времени рабочего дня, следующего за отчетным.</w:t>
      </w:r>
    </w:p>
    <w:p>
      <w:pPr>
        <w:pStyle w:val="MainText"/>
        <w:rPr/>
      </w:pPr>
      <w:r>
        <w:rPr/>
        <w:t>В случае когда период нерабочих дней включает две и более отчетные даты, Отчет представляется по состоянию на первую отчетную дату.</w:t>
      </w:r>
    </w:p>
    <w:p>
      <w:pPr>
        <w:pStyle w:val="MainText"/>
        <w:rPr/>
      </w:pPr>
      <w:r>
        <w:rPr/>
        <w:t>3. Формирование и представление Отчета производится также в случае, если кредитной организацией не проводилось в отчетном периоде банковских операций.</w:t>
      </w:r>
    </w:p>
    <w:p>
      <w:pPr>
        <w:pStyle w:val="MainText"/>
        <w:rPr/>
      </w:pPr>
      <w:r>
        <w:rPr/>
        <w:t>4. Отчет заполняется на основании ежедневных сводных балансов кредитных организаций, включая их филиалы.</w:t>
      </w:r>
    </w:p>
    <w:p>
      <w:pPr>
        <w:pStyle w:val="MainText"/>
        <w:rPr/>
      </w:pPr>
      <w:r>
        <w:rPr/>
        <w:t>Данные округляются до целых миллионов рублей.</w:t>
      </w:r>
    </w:p>
    <w:p>
      <w:pPr>
        <w:pStyle w:val="MainText"/>
        <w:rPr/>
      </w:pPr>
      <w:r>
        <w:rPr/>
        <w:t>В случае изменения более чем на 2 млрд. рублей значений показателей в любой строке по любой из граф 3—13, 16—26, 29—34 Отчета по сравнению с соответствующими показателями на предыдущую отчетную дату кредитная организация представляет информацию о причинах этих изменений в свободной форме в сроки представления Отчета.</w:t>
      </w:r>
    </w:p>
    <w:p>
      <w:pPr>
        <w:pStyle w:val="MainText"/>
        <w:rPr/>
      </w:pPr>
      <w:r>
        <w:rPr/>
        <w:t>При обнаружении ошибок исправленный Отчет может быть выслан повторно в течение месяца после представления первоначального Отчета.</w:t>
      </w:r>
    </w:p>
    <w:p>
      <w:pPr>
        <w:pStyle w:val="MainText"/>
        <w:rPr/>
      </w:pPr>
      <w:r>
        <w:rPr/>
        <w:t>5. В графах 3, 8 Отчета отражаются остатки средств на расчетных, текущих счетах и депозитах нефинансовых организаций, государственных и негосударственных финансовых организаций, за исключением средств органов государственного управления и местного самоуправления (остатков средств федерального бюджета, бюджетов субъектов Российской Федерации и местных бюджетов, государственных внебюджетных фондов, депозитов и прочих привлеченных средств Минфина России, финансовых органов субъектов Российской Федерации и органов местного самоуправления, государственных внебюджетных фондов и внебюджетных фондов субъектов Российской Федерации и органов местного самоуправления).</w:t>
      </w:r>
    </w:p>
    <w:p>
      <w:pPr>
        <w:pStyle w:val="MainText"/>
        <w:rPr/>
      </w:pPr>
      <w:r>
        <w:rPr/>
        <w:t>6. В графах 4 и 9 Отчета отражаются срочные депозиты и депозиты до востребования физических лиц — резидентов.</w:t>
      </w:r>
    </w:p>
    <w:p>
      <w:pPr>
        <w:pStyle w:val="MainText"/>
        <w:rPr/>
      </w:pPr>
      <w:r>
        <w:rPr/>
        <w:t>7. В графах 5, 10 Отчета отражаются остатки средств органов государственного управления и местного самоуправления, государственных внебюджетных фондов (остатки средств федерального бюджета, бюджетов субъектов Российской Федерации и местных бюджетов, государственных внебюджетных фондов, депозиты и прочие привлеченные средства Минфина России, финансовых органов субъектов Российской Федерации и органов местного самоуправления, государственных внебюджетных фондов и внебюджетных фондов субъектов Российской Федерации и органов местного самоуправления).</w:t>
      </w:r>
    </w:p>
    <w:p>
      <w:pPr>
        <w:pStyle w:val="MainText"/>
        <w:rPr/>
      </w:pPr>
      <w:r>
        <w:rPr/>
        <w:t>8. В графах 6, 11 Отчета отражаются остатки средств федерального бюджета, депозиты и прочие привлеченные средства Минфина России.</w:t>
      </w:r>
    </w:p>
    <w:p>
      <w:pPr>
        <w:pStyle w:val="MainText"/>
        <w:rPr/>
      </w:pPr>
      <w:r>
        <w:rPr/>
        <w:t>9. В графах 7, 12 Отчета отражаются остатки средств бюджетов субъектов Российской Федерации и местных бюджетов, депозиты и прочие привлеченные средства финансовых органов субъектов Российской Федерации и органов местного самоуправления.</w:t>
      </w:r>
    </w:p>
    <w:p>
      <w:pPr>
        <w:pStyle w:val="MainText"/>
        <w:rPr/>
      </w:pPr>
      <w:r>
        <w:rPr/>
        <w:t>10. В графе 13 Отчета отражаются остатки наличных денежных средств в валюте Российской Федерации на конец дня, предшествующего отчетному.</w:t>
      </w:r>
    </w:p>
    <w:p>
      <w:pPr>
        <w:pStyle w:val="MainText"/>
        <w:rPr/>
      </w:pPr>
      <w:r>
        <w:rPr/>
        <w:t>11. В графах 16 и 20 Отчета отражается задолженность по кредитам, предоставленным Правительству Российской Федерации, включая вложения в долговые обязательства Российской Федерации.</w:t>
      </w:r>
    </w:p>
    <w:p>
      <w:pPr>
        <w:pStyle w:val="MainText"/>
        <w:rPr/>
      </w:pPr>
      <w:r>
        <w:rPr/>
        <w:t>12. В графах 17 и 21 Отчета отражается задолженность по кредитам, предоставленным субъектам Российской Федерации и органам местного самоуправления, включая вложения в долговые обязательства субъектов Российской Федерации и органов местного самоуправления.</w:t>
      </w:r>
    </w:p>
    <w:p>
      <w:pPr>
        <w:pStyle w:val="MainText"/>
        <w:rPr/>
      </w:pPr>
      <w:r>
        <w:rPr/>
        <w:t>13. В графах 18 и 22 Отчета отражается задолженность по кредитам, предоставленным государственным внебюджетным фондам.</w:t>
      </w:r>
    </w:p>
    <w:p>
      <w:pPr>
        <w:pStyle w:val="MainText"/>
        <w:rPr/>
      </w:pPr>
      <w:r>
        <w:rPr/>
        <w:t>14. В графах 19 и 23 Отчета отражается срочная и просроченная задолженность по кредитам (включая просроченные проценты), предоставленным физическим лицам и нефинансовым организациям всех форм собственности, за исключением задолженности по кредитам, учтенным по графам 16, 17, 18, 20, 21, 22 Отчета.</w:t>
      </w:r>
    </w:p>
    <w:p>
      <w:pPr>
        <w:pStyle w:val="MainText"/>
        <w:rPr/>
      </w:pPr>
      <w:r>
        <w:rPr/>
        <w:t>15. В графе 24 Отчета отражаются остатки на счетах кредитных организаций по операциям с нерезидентами в иностранной валюте, валюте Российской Федерации и драгоценных металлах (средства на корреспондентских счетах, депозиты и иные размещенные средства в банках-нерезидентах, кредиты, предоставленные банкам-нерезидентам, юридическим и физическим лицам — нерезидентам, приобретенные долговые обязательства и векселя иностранных государств, банков-нерезидентов и иных нерезидентов, вложения в акции иностранных организаций), а также наличные денежные средства в иностранной валюте в кассах кредитных организаций.</w:t>
      </w:r>
    </w:p>
    <w:p>
      <w:pPr>
        <w:pStyle w:val="MainText"/>
        <w:rPr/>
      </w:pPr>
      <w:r>
        <w:rPr/>
        <w:t>16. В графе 25 Отчета отражаются средства, привлеченные кредитными организациями от нерезидентов (остатки на корреспондентских и других специальных счетах, полученные кредиты, депозиты, иные средства, привлеченные от банков-нерезидентов, физических и юридических лиц — нерезидентов в иностранной валюте, валюте Российской Федерации и драгоценных металлах).</w:t>
      </w:r>
    </w:p>
    <w:p>
      <w:pPr>
        <w:pStyle w:val="MainText"/>
        <w:rPr/>
      </w:pPr>
      <w:r>
        <w:rPr/>
        <w:t>17. В графу 26 Отчета включаются уставный и добавочный капитал, резервные и другие фонды, сформированные за счет прибыли, нераспределенная прибыль и непокрытый убыток, созданные резервы на возможные потери по активным операциям, результаты финансовой деятельности текущего года, прибыли и убытки прошлых лет, доходы и расходы будущих периодов, за вычетом вложений в акции других кредитных организаций.</w:t>
      </w:r>
    </w:p>
    <w:p>
      <w:pPr>
        <w:pStyle w:val="MainText"/>
        <w:rPr/>
      </w:pPr>
      <w:r>
        <w:rPr/>
        <w:t>18. В графах 29 и 33 Отчета отражаются средства, привлеченные кредитными организациями от кредитных организаций — резидентов (остатки на корреспондентских счетах, кредиты, депозиты и прочие привлеченные средства, полученные от кредитных организаций — резидентов в валюте Российской Федерации и иностранной валюте).</w:t>
      </w:r>
    </w:p>
    <w:p>
      <w:pPr>
        <w:pStyle w:val="MainText"/>
        <w:rPr/>
      </w:pPr>
      <w:r>
        <w:rPr/>
        <w:t>19. В графе 30 Отчета отражаются средства, полученные кредитными организациями от Банка России в валюте Российской Федерации.</w:t>
      </w:r>
    </w:p>
    <w:p>
      <w:pPr>
        <w:pStyle w:val="MainText"/>
        <w:rPr/>
      </w:pPr>
      <w:r>
        <w:rPr/>
        <w:t>20. В графах 31 и 34 Отчета отражаются средства, предоставленные кредитными организациями кредитным организациям — резидентам (средства на корреспондентских счетах, кредиты, депозиты и прочие размещенные средства, предоставленные кредитным организациям — резидентам в валюте Российской Федерации и иностранной валюте).</w:t>
      </w:r>
    </w:p>
    <w:p>
      <w:pPr>
        <w:pStyle w:val="MainText"/>
        <w:rPr/>
      </w:pPr>
      <w:r>
        <w:rPr/>
        <w:t>21. В графе 32 Отчета отражаются депозиты и прочие средства, размещенные кредитными организациями в Банке России, а также вложения в его долговые обязательства.</w:t>
      </w:r>
    </w:p>
    <w:p>
      <w:pPr>
        <w:pStyle w:val="MainText"/>
        <w:rPr/>
      </w:pPr>
      <w:r>
        <w:rPr/>
        <w:t>Строки и графы Отчета формируются исходя из остатков на следующих балансовых счетах.</w:t>
      </w:r>
    </w:p>
    <w:p>
      <w:pPr>
        <w:pStyle w:val="MainText"/>
        <w:keepNext w:val="true"/>
        <w:keepLines/>
        <w:spacing w:before="0" w:after="120"/>
        <w:rPr/>
      </w:pPr>
      <w:r>
        <w:rPr/>
        <w:t>21.1. Строка “До востребования”</w:t>
      </w:r>
    </w:p>
    <w:tbl>
      <w:tblPr>
        <w:tblW w:w="10988" w:type="dxa"/>
        <w:jc w:val="center"/>
        <w:tblInd w:w="0" w:type="dxa"/>
        <w:tblLayout w:type="fixed"/>
        <w:tblCellMar>
          <w:top w:w="0" w:type="dxa"/>
          <w:start w:w="28" w:type="dxa"/>
          <w:bottom w:w="0" w:type="dxa"/>
          <w:end w:w="28" w:type="dxa"/>
        </w:tblCellMar>
      </w:tblPr>
      <w:tblGrid>
        <w:gridCol w:w="1384"/>
        <w:gridCol w:w="9604"/>
      </w:tblGrid>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3, 8</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20309 + 30601</w:t>
            </w:r>
            <w:r>
              <w:rPr>
                <w:sz w:val="16"/>
                <w:vertAlign w:val="superscript"/>
              </w:rPr>
              <w:t>1</w:t>
            </w:r>
            <w:r>
              <w:rPr>
                <w:sz w:val="16"/>
              </w:rPr>
              <w:t> + 405 + 406 + 407 + 40811 + 40819 + 40901 + 40903 + 40905 + 40907 + 41401 + 41501 + 41601 + 41701 + 41801 + 41901 + 42001 + 42101 + 42201 + 43101 + 43201 + 43301 + 43401 + 43501 + 43601 + 43701 + 43801 + 43901 + 47403 + 47418 + 47601 + 47606</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4, 9</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30601</w:t>
            </w:r>
            <w:r>
              <w:rPr>
                <w:sz w:val="16"/>
                <w:vertAlign w:val="superscript"/>
              </w:rPr>
              <w:t>2</w:t>
            </w:r>
            <w:r>
              <w:rPr>
                <w:sz w:val="16"/>
              </w:rPr>
              <w:t> + 40802 + 40810 + 40817 + 40909 + 42301 + 42309 + 47603 + 47608</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5, 10</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30604 + 40101 + 40105 + 40106 + 40107 + 40108 + 40110 + 40116 + 40201 + 40202 + 40203 + 40204 + 40205 + 40206 + 40301 + 40307 + 40312 + 40314 + 40401 + 40402 + 40403 + 40404 + 40406 + 40410 + 41001 + 41002 + 41003 + 41004 + 41005 + 41101 + 41102 + 41103 + 41104 + 41105 + 41201 + 41202 + 41203 + 41204 + 41205 + 41301 + 41302 + 41303 + 41304 + 41305 + 42701 + 42702 + 42703 + 42704 + 42705 + 42801 + 42802 + 42803 + 42804 + 42805 + 42901 + 42902 + 42903 + 42904 + 42905 + 43001 + 43002 + 43003 + 43004 + 43005</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6, 11</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30604 + 40101 + 40105 + 40106 + 40107 + 40108 + 40110 + 40116 + 40301 + 40307 + 40312 + 40314 + 41001 + 41002 + 41003 + 41004 + 41005 + 42701 + 42702 + 42703 + 42704 + 42705</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7, 12</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40201 + 40202 + 40203 + 40204 + 40205 + 40206 + 40410 + 41101 + 41102 + 41103 + 41104 + 41105 + 42801 + 42802 + 42803 + 42804 + 42805</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13</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Х</w:t>
            </w:r>
          </w:p>
        </w:tc>
      </w:tr>
    </w:tbl>
    <w:p>
      <w:pPr>
        <w:pStyle w:val="MainText"/>
        <w:keepNext w:val="true"/>
        <w:keepLines/>
        <w:spacing w:before="120" w:after="120"/>
        <w:rPr/>
      </w:pPr>
      <w:r>
        <w:rPr/>
        <w:t>21.2. Строка “Срочные”</w:t>
      </w:r>
    </w:p>
    <w:tbl>
      <w:tblPr>
        <w:tblW w:w="10988" w:type="dxa"/>
        <w:jc w:val="center"/>
        <w:tblInd w:w="0" w:type="dxa"/>
        <w:tblLayout w:type="fixed"/>
        <w:tblCellMar>
          <w:top w:w="0" w:type="dxa"/>
          <w:start w:w="28" w:type="dxa"/>
          <w:bottom w:w="0" w:type="dxa"/>
          <w:end w:w="28" w:type="dxa"/>
        </w:tblCellMar>
      </w:tblPr>
      <w:tblGrid>
        <w:gridCol w:w="1384"/>
        <w:gridCol w:w="9604"/>
      </w:tblGrid>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3, 8</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41402 + 41403 + 41404 + 41405 + 41406 + 41407 + 41502 + 41503 + 41504 + 41505 + 41506 + 41507 + 41602 + 41603 + 41604 + 41605 + 41606 + 41607 + 41702 + 41703 + 41704 + 41705 + 41706 + 41707 + 41802 + 41803 + 41804 + 41805 + 41806 + 41807 + 41902 + 41903 + 41904 + 41905 + 41906 + 41907 + 42002 + 42003 + 42004 + 42005 + 42006 + 42007 + 42102 + 42103 + 42104 + 42105 + 42106 + 42107 + 42202 + 42203 + 42204 + 42205 + 42206 + 42207 + 43102 + 43103 + 43104 + 43105 + 43106 + 43107 + 43202 + 43203 + 43204 + 43205 + 43206 + 43207 + 43302 + 43303 + 43304 + 43305 + 43306 + 43307 + 43402 + 43403 + 43404 + 43405 + 43406 + 43407 + 43502 + 43503 + 43504 + 43505 + 43506 + 43507 + 43602 + 43603 + 43604 + 43605 + 43606 + 43607 + 43702 + 43703 + 43704 + 43705 + 43706 + 43707 + 43802 + 43803 + 43804 + 43805 + 43806 + 43807 + 43902 + 43903 + 43904 + 43905 + 43906 + 43907 + 47426</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4, 9</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42302 + 42303 + 42304 + 42305 + 42306 + 42307 + 42310 + 42311 + 42312 + 42313 + 42314 + 42315 + 47411</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5, 10</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41006 + 41007 + 41106 + 41107 + 41206 + 41207 + 41306 + 41307 + 42706 + 42707 + 42806 + 42807 + 42906 + 42907 + 43006 + 43007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6, 11</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41006 + 41007 + 42706 + 42707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7, 12</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41106 + 41107 + 42806 + 42807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13</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Х</w:t>
            </w:r>
          </w:p>
        </w:tc>
      </w:tr>
    </w:tbl>
    <w:p>
      <w:pPr>
        <w:pStyle w:val="MainText"/>
        <w:keepNext w:val="true"/>
        <w:keepLines/>
        <w:spacing w:before="120" w:after="120"/>
        <w:rPr/>
      </w:pPr>
      <w:r>
        <w:rPr/>
        <w:t>21.3. Строки “До 1 года”</w:t>
      </w:r>
    </w:p>
    <w:tbl>
      <w:tblPr>
        <w:tblW w:w="10988" w:type="dxa"/>
        <w:jc w:val="center"/>
        <w:tblInd w:w="0" w:type="dxa"/>
        <w:tblLayout w:type="fixed"/>
        <w:tblCellMar>
          <w:top w:w="0" w:type="dxa"/>
          <w:start w:w="28" w:type="dxa"/>
          <w:bottom w:w="0" w:type="dxa"/>
          <w:end w:w="28" w:type="dxa"/>
        </w:tblCellMar>
      </w:tblPr>
      <w:tblGrid>
        <w:gridCol w:w="1384"/>
        <w:gridCol w:w="9604"/>
      </w:tblGrid>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16, 20</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40109 + 40111 + (40308 + 40310 – 40306)</w:t>
            </w:r>
            <w:r>
              <w:rPr>
                <w:sz w:val="16"/>
                <w:vertAlign w:val="superscript"/>
              </w:rPr>
              <w:t>3</w:t>
            </w:r>
            <w:r>
              <w:rPr>
                <w:sz w:val="16"/>
              </w:rPr>
              <w:t> + 40311 + 40313 + 44101 + 44102 + 44103 + 44104 + 44105 + 44106 + 44109 + 45801 + 45901 + 46001 + 46002 + 46003 + 46004 + 46005 + 50104 + 50205 + 51201 + 51202 + 51203 + 51204 + 51205 + 51208 + 51209</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17, 21</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44201 + 44202 + 44203 + 44204 + 44205 + 44206 + 44207 + 44210 + 45802 + 45902 + 46101 + 46102 + 46103 + 46104 + 46105 + 50105 + 50206 + 51301 + 51302 + 51303 + 51304 + 51305 + 51308 + 51309</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18, 22</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44301 + 44302 + 44303 + 44304 + 44305 + 44306 + 44307 + 44310 + 44401 + 44402 + 44403 + 44404 + 44405 + 44406 + 44407 + 44410 + 45803 + 45804 + 45903 + 45904 + 46201 + 46202 + 46203 + 46204 + 46205 + 46301 + 46302 + 46303 + 46304 + 46305</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19, 23</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20311 + 30602 + 40908 + 44501 + 44503 + 44504 + 44505 + 44506 + 44509 + 44601 + 44603 + 44604 + 44605 + 44606 + 44609 + 44701 + 44703 + 44704 + 44705 + 44706 + 44709 + 44801 + 44803 + 44804 + 44805 + 44806 + 44809 + 44901 + 44903 + 44904 + 44905 + 44906 + 44909 + 45001 + 45003 + 45004 + 45005 + 45006 + 45009 + 45101 + 45103 + 45104 + 45105 + 45106 + 45109 + 45201 + 45203 + 45204 + 45205 + 45206 + 45209 + 45301 + 45303 + 45304 + 45305 + 45306 + 45309 + 45401 + 45403 + 45404 + 45405 + 45406 + 45409 + 45502 + 45503 + 45504 + 45505 + 45508 + 45509 + 45805 + 45806 + 45807 + 45808 + 45809 + 45810 + 45811 + 45812 + 45813 + 45814 + 45815 + 45905 + 45906 + 45907 + 45908 + 45909 + 45910 + 45911 + 45912 + 45913 + 45914 + 45915 + 46401 + 46402 + 46403 + 46404 + 46405 + 46501 + 46502 + 46503 + 46504 + 46505 + 46601 + 46602 + 46603 + 46604 + 46605 + 46701 + 46702 + 46703 + 46704 + 46705 + 46801 + 46802 + 46803 + 46804 + 46805 + 46901 + 46902 + 46903 + 46904 + 46905 + 47001 + 47002 + 47003 + 47004 + 47005 + 47101 + 47102 + 47103 + 47104 + 47105 + 47201 + 47202 + 47203 + 47204 + 47205 + 47402 + 47404 + 47802 + 47803 + 50107 + 50208 + 50505 + 50606 + 50706 + 51501 + 51502 + 51503 + 51504 + 51505 + 51508 + 51509</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24</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Только иностранная валюта: 20202 + 20203 + 20206 + 20207 + 20208 + 20209 + 20210 </w:t>
              <w:br/>
              <w:t>Рубли и иностранная валюта: 20312 + 20316 + 20318 + 20320 + 30114 + 30119 + 30304 + 32101 + 32102 + 32103 + 32104 + 32105 + 32106 + 32107 + 32110 + 32301 + 32302 + 32303 + 32304 + 32305 + 32306 + 32307 + 32402 + 32502 + 45601 + 45602 + 45603 + 45604 + 45607 + 45608 + 45701 + 45702 + 45703 + 45704 + 45707 + 45708 + 45816 + 45817 + 45916 + 45917 + 47301 + 47302 + 47303 + 47304 + 47305 + 47410 + 50108 + 50109 + 50110 + 50209 + 50210 + 50211 + 50607 + 50608 + 50707 + 50708 + 51601 + 51602 + 51603 + 51604 + 51605 + 51608 + 51609 + 51701 + 51702 + 51703 + 51704 + 51705 + 51708 + 51709 + 51801 + 51802 + 51803 + 51804 + 51805 + 51808 + 51809 + 51901 + 51902 + 51903 + 51904 + 51905 + 51908 + 51909 + 60103 + 60104 + 60203 + 60204 + 60205</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25</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Рубли и иностранная валюта: 20310 + 20314 + 30111 + 30117 + 30122 + 30123 + 30230 + 30231 + 30303 + 30606 + 31401 + 31402 + 31403 + 31404 + 31405 + 31406 + 31407 + 31410 + 31601 + 31602 + 31603 + 31604 + 31605 + 31606 + 31607 + 31703 + 31803 + 40803 + 40804 + 40805 + 40806 + 40807 + 40809 + 40812 + 40813 + 40814 + 40815 + 40818 + 40820 + 40902 + 40910 + 40913 + 42501 + 42502 + 42503 + 42504 + 42505 + 42601 + 42602 + 42603 + 42604 + 42605 + 42609 + 42610 + 42611 + 42612 + 42613 + 44001 + 44002 + 44003 + 44004 + 44005 + 47409 + 47602 + 47605 + 47607 + 47609</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26</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Х</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29, 33</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30109 + 31301 + 31302 + 31303 + 31304 + 31305 + 31306 + 31307 + 31310 + 31501 + 31502 + 31503 + 31504 + 31505 + 31506 + 31507 + 31702 + 31802</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30</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31201 + 31202 + 31203 + 31204 + 31205 + 31206 + 31210 + 31212 + 31213 + 31214 + 31215 + 31216 + 31217 + 31218 + 31219 + 31222 + 31701 + 31704 + 31801 + 31804 + 32901</w:t>
            </w:r>
            <w:r>
              <w:rPr>
                <w:sz w:val="16"/>
                <w:vertAlign w:val="superscript"/>
              </w:rPr>
              <w:t>4</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31, 34</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30110 + 32001 + 32002 + 32003 + 32004 + 32005 + 32006 + 32007 + 32010 + 32201 + 32202 + 32203 + 32204 + 32205 + 32206 + 32207 + 32401 + 32501</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32</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31901 + 31902 + 31903 + 31904 + 31905 + 31906 + 31907 + 32902</w:t>
            </w:r>
            <w:r>
              <w:rPr>
                <w:sz w:val="16"/>
                <w:vertAlign w:val="superscript"/>
              </w:rPr>
              <w:t>4</w:t>
            </w:r>
            <w:r>
              <w:rPr>
                <w:sz w:val="16"/>
              </w:rPr>
              <w:t> + 50116 + 50214 + 50313</w:t>
            </w:r>
          </w:p>
        </w:tc>
      </w:tr>
    </w:tbl>
    <w:p>
      <w:pPr>
        <w:pStyle w:val="MainText"/>
        <w:keepNext w:val="true"/>
        <w:keepLines/>
        <w:spacing w:before="120" w:after="120"/>
        <w:rPr/>
      </w:pPr>
      <w:r>
        <w:rPr/>
        <w:t>21.4. Строки “Свыше 1 года”</w:t>
      </w:r>
    </w:p>
    <w:tbl>
      <w:tblPr>
        <w:tblW w:w="10988" w:type="dxa"/>
        <w:jc w:val="center"/>
        <w:tblInd w:w="0" w:type="dxa"/>
        <w:tblLayout w:type="fixed"/>
        <w:tblCellMar>
          <w:top w:w="0" w:type="dxa"/>
          <w:start w:w="28" w:type="dxa"/>
          <w:bottom w:w="0" w:type="dxa"/>
          <w:end w:w="28" w:type="dxa"/>
        </w:tblCellMar>
      </w:tblPr>
      <w:tblGrid>
        <w:gridCol w:w="1384"/>
        <w:gridCol w:w="9604"/>
      </w:tblGrid>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16, 20</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44107 + 44108 + 46006 + 46007 + 50305 + 51206 + 51207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17, 21</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44208 + 44209 + 46106 + 46107 + 50306 + 51306 + 51307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18, 22</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44308 + 44309 + 44408 + 44409 + 46206 + 46207 + 46306 + 46307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19, 23</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44507 + 44508 + 44607 + 44608 + 44707 + 44708 + 44807 + 44808 + 44907 + 44908 + 45007 + 45008 + 45107 + 45108 + 45207 + 45208 + 45307 + 45308 + 45407 + 45408 + 45506 + 45507 + 46406 + 46407 + 46506 + 46507 + 46606 + 46607 + 46706 + 46707 + 46806 + 46807 + 46906 + 46907 + 47006 + 47007 + 47106 + 47107 + 47206 + 47207 + 47701 + 47801 + 50308 + 51506 + 51507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24</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Рубли и иностранная валюта: 32108 + 32109 + 32308 + 32309 + 45605 + 45606 + 45705 + 45706 + 47306 + 47307 + 50309 + 50310 + 50311 + 51606 + 51607 + 51706 + 51707 + 51806 + 51807 + 51906 + 51907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25</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Рубли и иностранная валюта: 31408 + 31409 + 31608 + 31609 + 42506 + 42507 + 42606 + 42607 + 42614 + 42615 + 44006 + 44007</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26</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Х</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29, 33</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31308 + 31309 + 31508 + 31509</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30</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31207 + 31220 + 31221 + 32901</w:t>
            </w:r>
            <w:r>
              <w:rPr>
                <w:sz w:val="16"/>
                <w:vertAlign w:val="superscript"/>
              </w:rPr>
              <w:t>4</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Графы 31, 34</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32008 + 32009 + 32208 + 32209</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32</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31908 + 31909 + 32902</w:t>
            </w:r>
            <w:r>
              <w:rPr>
                <w:sz w:val="16"/>
                <w:vertAlign w:val="superscript"/>
              </w:rPr>
              <w:t>4</w:t>
            </w:r>
          </w:p>
        </w:tc>
      </w:tr>
    </w:tbl>
    <w:p>
      <w:pPr>
        <w:pStyle w:val="MainText"/>
        <w:keepNext w:val="true"/>
        <w:keepLines/>
        <w:spacing w:before="120" w:after="120"/>
        <w:rPr/>
      </w:pPr>
      <w:r>
        <w:rPr/>
        <w:t>21.5. Строки “ИТОГО”</w:t>
      </w:r>
    </w:p>
    <w:tbl>
      <w:tblPr>
        <w:tblW w:w="10988" w:type="dxa"/>
        <w:jc w:val="center"/>
        <w:tblInd w:w="0" w:type="dxa"/>
        <w:tblLayout w:type="fixed"/>
        <w:tblCellMar>
          <w:top w:w="0" w:type="dxa"/>
          <w:start w:w="28" w:type="dxa"/>
          <w:bottom w:w="0" w:type="dxa"/>
          <w:end w:w="28" w:type="dxa"/>
        </w:tblCellMar>
      </w:tblPr>
      <w:tblGrid>
        <w:gridCol w:w="1384"/>
        <w:gridCol w:w="9604"/>
      </w:tblGrid>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13</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Только рубли: 20202 + 20206 + 20207 + 20208 + 20209</w:t>
            </w:r>
          </w:p>
        </w:tc>
      </w:tr>
      <w:tr>
        <w:trPr>
          <w:cantSplit/>
        </w:trPr>
        <w:tc>
          <w:tcPr>
            <w:tcW w:w="138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Графа 26</w:t>
            </w:r>
          </w:p>
        </w:tc>
        <w:tc>
          <w:tcPr>
            <w:tcW w:w="960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10207 + 10208 – 10501 – 10502 + 10601 + 10602 + 10603 – 10605 + 10701 + 10801 – 10901 + 20321 + 30126 + 30226 + 30410 + 30607 + 32015 + 32115 + 32211 + 32311 + 32403 + 32505 + 44115 + 44215 + 44315 + 44415 + 44515 + 44615 + 44715 + 44815 + 44915 + 45015 + 45115 + 45215 + 45315 + 45415 + 45515 + 45615 + 45715 + 45818 + 45918 + 46008 + 46108 + 46208 + 46308 + 46408 + 46508 + 46608 + 46708 + 46808 + 46908 + 47008 + 47108 + 47208 + 47308 + 47411 + 47425 + 47426 – 47427 + 47702 + 47804 + 47902 + 50219 + 50319 + 50407 + 50408 + 50507 – 50605 – 50705 + 50719 – 50905 + 50908 + 51210 + 51310 + 51410 + 51510 + 51610 + 51710 + 51810 + 51910 + 52407 + 52501 – 52503 – 60101 – 60102 + 60105 – 60201 – 60202</w:t>
            </w:r>
            <w:r>
              <w:rPr>
                <w:sz w:val="16"/>
                <w:vertAlign w:val="superscript"/>
              </w:rPr>
              <w:t>5</w:t>
            </w:r>
            <w:r>
              <w:rPr>
                <w:sz w:val="16"/>
              </w:rPr>
              <w:t> + 60206 + 60324 + 60348 + 60405 + 61301 + 61304 – 61401 – 61403 + 70601 + 70602 + 70603 + 70604 + 70605 – 70606 – 70607 – 70608 – 70609 – 70610 – 70611 – 70612 + 70701 + 70702 + 70703 + 70704 + 70705 – 70706 – 70707 – 70708 – 70709 – 70710 – 70711 – 70712 + 70801 – 70802</w:t>
            </w:r>
          </w:p>
        </w:tc>
      </w:tr>
    </w:tbl>
    <w:p>
      <w:pPr>
        <w:pStyle w:val="SnoskaLineTab"/>
        <w:pBdr>
          <w:top w:val="single" w:sz="6" w:space="1" w:color="000000"/>
        </w:pBdr>
        <w:spacing w:before="240" w:after="0"/>
        <w:rPr/>
      </w:pPr>
      <w:r>
        <w:rPr>
          <w:vertAlign w:val="superscript"/>
        </w:rPr>
        <w:t>1</w:t>
      </w:r>
      <w:r>
        <w:rPr/>
        <w:t> Только в части средств организаций (кроме кредитных организаций).</w:t>
      </w:r>
    </w:p>
    <w:p>
      <w:pPr>
        <w:pStyle w:val="Snoska"/>
        <w:rPr/>
      </w:pPr>
      <w:r>
        <w:rPr>
          <w:vertAlign w:val="superscript"/>
        </w:rPr>
        <w:t>2</w:t>
      </w:r>
      <w:r>
        <w:rPr/>
        <w:t> Только в части средств физических лиц.</w:t>
      </w:r>
    </w:p>
    <w:p>
      <w:pPr>
        <w:pStyle w:val="Snoska"/>
        <w:rPr/>
      </w:pPr>
      <w:r>
        <w:rPr>
          <w:vertAlign w:val="superscript"/>
        </w:rPr>
        <w:t>3</w:t>
      </w:r>
      <w:r>
        <w:rPr/>
        <w:t> Включается только положительное сальдо по указанным счетам.</w:t>
      </w:r>
    </w:p>
    <w:p>
      <w:pPr>
        <w:pStyle w:val="Snoska"/>
        <w:rPr/>
      </w:pPr>
      <w:r>
        <w:rPr>
          <w:vertAlign w:val="superscript"/>
        </w:rPr>
        <w:t>4</w:t>
      </w:r>
      <w:r>
        <w:rPr/>
        <w:t> Включаются в зависимости от срока. Сроком привлечения ценной бумаги, учитываемой на балансовых счетах №№ 501, 502 и 503, следует считать срок до погашения с момента приобретения кредитной организацией каждой ценной бумаги отдельно, независимо от принадлежности учитываемых ценных бумаг одному выпуску.</w:t>
      </w:r>
    </w:p>
    <w:p>
      <w:pPr>
        <w:pStyle w:val="Snoska"/>
        <w:rPr/>
      </w:pPr>
      <w:r>
        <w:rPr>
          <w:vertAlign w:val="superscript"/>
        </w:rPr>
        <w:t>5</w:t>
      </w:r>
      <w:r>
        <w:rPr/>
        <w:t> Только в части средств, внесенных в уставные капиталы кредитных организаций.</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РАЗМЕЩЕННЫХ И ПРИВЛЕЧЕННЫХ СРЕДСТВАХ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jc w:val="end"/>
        <w:rPr/>
      </w:pPr>
      <w:r>
        <w:rPr/>
        <w:t>Код формы по ОКУД 0409302</w:t>
        <w:br/>
        <w:t>Месячная</w:t>
        <w:br/>
        <w:t>тыс. руб.</w:t>
      </w:r>
    </w:p>
    <w:p>
      <w:pPr>
        <w:pStyle w:val="MainTextBezOtstupa"/>
        <w:spacing w:before="0" w:after="120"/>
        <w:rPr/>
      </w:pPr>
      <w:r>
        <w:rPr/>
        <w:t>Раздел 1. Размещенные средства</w:t>
      </w:r>
    </w:p>
    <w:tbl>
      <w:tblPr>
        <w:tblW w:w="16252" w:type="dxa"/>
        <w:jc w:val="center"/>
        <w:tblInd w:w="0" w:type="dxa"/>
        <w:tblLayout w:type="fixed"/>
        <w:tblCellMar>
          <w:top w:w="0" w:type="dxa"/>
          <w:start w:w="28" w:type="dxa"/>
          <w:bottom w:w="0" w:type="dxa"/>
          <w:end w:w="28" w:type="dxa"/>
        </w:tblCellMar>
      </w:tblPr>
      <w:tblGrid>
        <w:gridCol w:w="815"/>
        <w:gridCol w:w="6379"/>
        <w:gridCol w:w="1294"/>
        <w:gridCol w:w="1294"/>
        <w:gridCol w:w="1294"/>
        <w:gridCol w:w="1294"/>
        <w:gridCol w:w="1294"/>
        <w:gridCol w:w="1294"/>
        <w:gridCol w:w="1294"/>
      </w:tblGrid>
      <w:tr>
        <w:trPr>
          <w:tblHeader w:val="true"/>
          <w:cantSplit/>
        </w:trPr>
        <w:tc>
          <w:tcPr>
            <w:tcW w:w="81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637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2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территории места</w:t>
            </w:r>
          </w:p>
        </w:tc>
        <w:tc>
          <w:tcPr>
            <w:tcW w:w="2588"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Объем предоставленных в отчетном периоде кредитов</w:t>
            </w:r>
          </w:p>
        </w:tc>
        <w:tc>
          <w:tcPr>
            <w:tcW w:w="5176"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Задолженность по предоставленным на отчетную дату кредитам</w:t>
            </w:r>
          </w:p>
        </w:tc>
      </w:tr>
      <w:tr>
        <w:trPr>
          <w:tblHeader w:val="true"/>
          <w:cantSplit/>
        </w:trPr>
        <w:tc>
          <w:tcPr>
            <w:tcW w:w="815"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6379"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94" w:type="dxa"/>
            <w:tcBorders>
              <w:start w:val="single" w:sz="6" w:space="0" w:color="000000"/>
              <w:end w:val="single" w:sz="6" w:space="0" w:color="000000"/>
            </w:tcBorders>
          </w:tcPr>
          <w:p>
            <w:pPr>
              <w:pStyle w:val="MainText"/>
              <w:keepNext w:val="true"/>
              <w:ind w:hanging="0" w:end="0"/>
              <w:jc w:val="center"/>
              <w:rPr>
                <w:sz w:val="16"/>
              </w:rPr>
            </w:pPr>
            <w:r>
              <w:rPr>
                <w:sz w:val="16"/>
              </w:rPr>
              <w:t>нахождения</w:t>
            </w:r>
          </w:p>
        </w:tc>
        <w:tc>
          <w:tcPr>
            <w:tcW w:w="12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 валюте</w:t>
            </w:r>
          </w:p>
        </w:tc>
        <w:tc>
          <w:tcPr>
            <w:tcW w:w="12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 иностранной</w:t>
            </w:r>
          </w:p>
        </w:tc>
        <w:tc>
          <w:tcPr>
            <w:tcW w:w="12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 валюте</w:t>
            </w:r>
          </w:p>
        </w:tc>
        <w:tc>
          <w:tcPr>
            <w:tcW w:w="129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 иностранной</w:t>
            </w:r>
          </w:p>
        </w:tc>
        <w:tc>
          <w:tcPr>
            <w:tcW w:w="258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том числе: просроченная</w:t>
            </w:r>
          </w:p>
        </w:tc>
      </w:tr>
      <w:tr>
        <w:trPr>
          <w:tblHeader w:val="true"/>
          <w:cantSplit/>
        </w:trPr>
        <w:tc>
          <w:tcPr>
            <w:tcW w:w="81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637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9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заемщика (операционных офисов) по ОКАТО</w:t>
            </w:r>
          </w:p>
        </w:tc>
        <w:tc>
          <w:tcPr>
            <w:tcW w:w="129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Российской Федерации</w:t>
            </w:r>
          </w:p>
        </w:tc>
        <w:tc>
          <w:tcPr>
            <w:tcW w:w="129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валюте и драгоценных металлах</w:t>
            </w:r>
          </w:p>
        </w:tc>
        <w:tc>
          <w:tcPr>
            <w:tcW w:w="129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Российской Федерации</w:t>
            </w:r>
          </w:p>
        </w:tc>
        <w:tc>
          <w:tcPr>
            <w:tcW w:w="129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валюте и драгоценных металлах</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валюте Российской Федерации</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иностранной валюте и драгоценных металлах</w:t>
            </w:r>
          </w:p>
        </w:tc>
      </w:tr>
      <w:tr>
        <w:trPr>
          <w:tblHeader w:val="true"/>
          <w:cantSplit/>
        </w:trPr>
        <w:tc>
          <w:tcPr>
            <w:tcW w:w="81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63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29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Предоставлено кредитов — всего (стр. 2 + стр. 3), </w:t>
              <w:br/>
              <w:t>в том числе:</w:t>
            </w:r>
          </w:p>
        </w:tc>
        <w:tc>
          <w:tcPr>
            <w:tcW w:w="12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Юридическим лицам и индивидуальным предпринимателям (стр. 2.1 + стр. 2.2), </w:t>
              <w:br/>
              <w:t>в том числе:</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видам экономической деятельности:</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добыча полезных ископаемых,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2.1.1.1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добыча топливно-энергетических полезных ископаемых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обрабатывающие производства,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производство пищевых продуктов, включая напитки, и табака</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2.1.2.2</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обработка древесины и производство изделий из дерева</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2.1.2.3</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целлюлозно-бумажное производство, издательская и полиграфическая деятельность</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2.1.2.4</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производство кокса, нефтепродуктов и ядерных материалов</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2.1.2.5</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химическое производство</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2.1.2.6</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производство прочих неметаллических минеральных продуктов</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2.1.2.7</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металлургическое производство и производство готовых металлических изделий</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2.1.2.8</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производство машин и оборудования,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2.1.2.8.1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производство машин и оборудования для сельского и лесного хозяйства</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2.1.2.9</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производство транспортных средств и оборудования,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2.1.2.9.1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производство автомобилей</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2.1.3</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производство и распределение электроэнергии, газа и воды</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2.1.4</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сельское хозяйство, охота и лесное хозяйство,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2.1.4.1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сельское хозяйство, охота и предоставление услуг в этих областях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2.1.5</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строительство,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2.1.5.1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строительство зданий и сооружений</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2.1.6</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транспорт и связь,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2.1.6.1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деятельность воздушного транспорта, подчиняющегося и не подчиняющегося расписанию</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2.1.7</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оптовая и розничная торговля, ремонт автотранспортных средств, мотоциклов, бытовых изделий и предметов личного пользования</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2.1.8</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операции с недвижимым имуществом, аренда и предоставление услуг</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2.1.9</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виды деятельности</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 завершение расчетов</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из общей величины кредитов, предоставленных юридическим лицам и индивидуальным предпринимателям, кредиты субъектам малого и среднего предпринимательства, </w:t>
              <w:br/>
              <w:t>из них:</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2.3.1</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индивидуальным предпринимателям</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Физическим лицам</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63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Справочно: </w:t>
              <w:br/>
              <w:t>Предоставлено кредитов операционными офисами</w:t>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rPr/>
      </w:pPr>
      <w:r>
        <w:rPr/>
        <w:t>Раздел 2. Привлеченные средства</w:t>
      </w:r>
    </w:p>
    <w:tbl>
      <w:tblPr>
        <w:tblW w:w="16257" w:type="dxa"/>
        <w:jc w:val="center"/>
        <w:tblInd w:w="0" w:type="dxa"/>
        <w:tblLayout w:type="fixed"/>
        <w:tblCellMar>
          <w:top w:w="0" w:type="dxa"/>
          <w:start w:w="28" w:type="dxa"/>
          <w:bottom w:w="0" w:type="dxa"/>
          <w:end w:w="28" w:type="dxa"/>
        </w:tblCellMar>
      </w:tblPr>
      <w:tblGrid>
        <w:gridCol w:w="817"/>
        <w:gridCol w:w="6380"/>
        <w:gridCol w:w="3020"/>
        <w:gridCol w:w="3020"/>
        <w:gridCol w:w="3020"/>
      </w:tblGrid>
      <w:tr>
        <w:trPr>
          <w:tblHeader w:val="true"/>
          <w:cantSplit/>
        </w:trPr>
        <w:tc>
          <w:tcPr>
            <w:tcW w:w="81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638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302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территории места привлечения</w:t>
            </w:r>
          </w:p>
        </w:tc>
        <w:tc>
          <w:tcPr>
            <w:tcW w:w="6040"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привлеченных средств на отчетную дату</w:t>
            </w:r>
          </w:p>
        </w:tc>
      </w:tr>
      <w:tr>
        <w:trPr>
          <w:tblHeader w:val="true"/>
          <w:cantSplit/>
        </w:trPr>
        <w:tc>
          <w:tcPr>
            <w:tcW w:w="817"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w:t>
            </w:r>
          </w:p>
        </w:tc>
        <w:tc>
          <w:tcPr>
            <w:tcW w:w="638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3020"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средств по ОКАТО</w:t>
            </w:r>
          </w:p>
        </w:tc>
        <w:tc>
          <w:tcPr>
            <w:tcW w:w="30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валюте Российской Федерации</w:t>
            </w:r>
          </w:p>
        </w:tc>
        <w:tc>
          <w:tcPr>
            <w:tcW w:w="30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 иностранной валюте и драгоценных металлах</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63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30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30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30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63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Средства клиентов, не являющихся кредитными организациями, </w:t>
              <w:br/>
              <w:t>из них:</w:t>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63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Депозиты юридических лиц</w:t>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63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Вклады (депозиты) физических лиц</w:t>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02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0409302 “Сведения о размещенных и привлеченных средствах”</w:t>
      </w:r>
    </w:p>
    <w:p>
      <w:pPr>
        <w:pStyle w:val="MainText"/>
        <w:rPr/>
      </w:pPr>
      <w:r>
        <w:rPr/>
        <w:t>1. Отчетность по форме 0409302 “Сведения о размещенных и привлеченных средствах” (далее — Отчет) содержит сведения о территориальной структуре размещенных и привлеченных средств, необходимые для анализа роли кредитных организаций в экономике субъектов Российской Федерации.</w:t>
      </w:r>
    </w:p>
    <w:p>
      <w:pPr>
        <w:pStyle w:val="MainText"/>
        <w:rPr/>
      </w:pPr>
      <w:r>
        <w:rPr/>
        <w:t>Отчет составляется кредитными организациями (включая небанковские кредитные организации) с месячной периодичностью на основании отчетности по форме 0409101 “Оборотная ведомость по счетам бухгалтерского учета кредитной организации” (далее — отчетность по форме 0409101) и договоров, заключенных с клиентами кредитных организаций.</w:t>
      </w:r>
    </w:p>
    <w:p>
      <w:pPr>
        <w:pStyle w:val="MainText"/>
        <w:rPr/>
      </w:pPr>
      <w:r>
        <w:rPr/>
        <w:t>Отчет представляется кредитными организациями (включая небанковские кредитные организации) в территориальные учреждения Банка России, осуществляющие надзор за их деятельностью, — не позднее 10-го рабочего дня месяца, следующего за отчетным.</w:t>
      </w:r>
    </w:p>
    <w:p>
      <w:pPr>
        <w:pStyle w:val="MainText"/>
        <w:rPr/>
      </w:pPr>
      <w:r>
        <w:rPr/>
        <w:t>2. Раздел 1 Отчета заполняется в следующем порядке.</w:t>
      </w:r>
    </w:p>
    <w:p>
      <w:pPr>
        <w:pStyle w:val="MainText"/>
        <w:rPr/>
      </w:pPr>
      <w:r>
        <w:rPr/>
        <w:t>2.1. Данные раздела формируются в разрезе субъектов Российской Федерации по кодам объектов административно-территориального деления Общероссийского классификатора объектов административно-территориального деления (ОКАТО) путем группировки задолженности всех заемщиков по их месту нахождения с учетом видов экономической деятельности в соответствии с Общероссийским классификатором видов экономической деятельности (ОКВЭД). Информация по автономным округам отражается отдельно по каждому автономному округу, а также в составе субъектов Российской Федерации, к которым они относятся.</w:t>
      </w:r>
    </w:p>
    <w:p>
      <w:pPr>
        <w:pStyle w:val="MainText"/>
        <w:rPr/>
      </w:pPr>
      <w:r>
        <w:rPr/>
        <w:t>В целях составления раздела:</w:t>
      </w:r>
    </w:p>
    <w:p>
      <w:pPr>
        <w:pStyle w:val="MainText"/>
        <w:rPr/>
      </w:pPr>
      <w:r>
        <w:rPr/>
        <w:t>место нахождения юридического лица согласно статье 54 Гражданского кодекса Российской Федерации (Собрание законодательства Российской Федерации, 1994, № 32, ст. 3301) определяется местом его государственной регистрации. При этом следует иметь в виду, что согласно пункту 2 статьи 8 Федерального закона от 8 августа 2001 года № 129-ФЗ “О государственной регистрации юридических лиц и индивидуальных предпринимателей” (Собрание законодательства Российской Федерации, 2001, № 33, ст. 3431; 2003, № 26, ст. 2565; № 50, ст. 4855; № 52, ст. 5037; 2004, № 45, ст. 4377; 2005, № 27, ст. 2722; 2007, № 7, ст. 834; № 30, ст. 3754; № 49, ст. 6079; 2008, № 18, ст. 1942; № 30, ст. 3616; 2009, № 1, ст. 19, ст. 20, ст. 23; № 29, ст. 3642)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по месту нахождения иного органа или лица, имеющих право действовать от имени юридического лица без доверенности;</w:t>
      </w:r>
    </w:p>
    <w:p>
      <w:pPr>
        <w:pStyle w:val="MainText"/>
        <w:rPr/>
      </w:pPr>
      <w:r>
        <w:rPr/>
        <w:t>место нахождения физического лица определяется по адресу места постоянного проживания гражданина Российской Федерации, соответствующего отметке в паспорте гражданина Российской Федерации, произведенной органами регистрационного учета, о его регистрации по месту жительства;</w:t>
      </w:r>
    </w:p>
    <w:p>
      <w:pPr>
        <w:pStyle w:val="MainText"/>
        <w:rPr/>
      </w:pPr>
      <w:r>
        <w:rPr/>
        <w:t>видом экономической деятельности юридического лица и индивидуального предпринимателя является вид экономической деятельности, признаваемый основным в соответствии с пунктом 6 Указаний о порядке составления и представления бухгалтерской отчетности, утвержденных Приказом Министерства финансов Российской Федерации от 22 июля 2003 года № 67н “О формах бухгалтерской отчетности организаций”</w:t>
      </w:r>
      <w:r>
        <w:rPr>
          <w:vertAlign w:val="superscript"/>
        </w:rPr>
        <w:t>1</w:t>
      </w:r>
      <w:r>
        <w:rPr/>
        <w:t xml:space="preserve"> (“Финансовая газета”, 2003, № 33; 2005, № 6; 2006, № 46).</w:t>
      </w:r>
    </w:p>
    <w:p>
      <w:pPr>
        <w:pStyle w:val="MainText"/>
        <w:rPr/>
      </w:pPr>
      <w:r>
        <w:rPr/>
        <w:t>Изменение места нахождения заемщика отражается при предоставлении нового кредита (очередного транша) этому заемщику. Если заемщику в отчетном году не предоставлялся новый кредит (очередной транш) либо изменение места нахождения заемщика произошло в отчетном году после предоставления нового кредита (очередного транша), необходимо производить актуализацию информации после представления Отчета за год и отражать соответствующие изменения в Отчете за первый месяц следующего года. Аналогичный подход используется в случае изменения сведений о заемщике в части соответствия критериям отнесения к субъектам малого и среднего предпринимательства либо изменения вида экономической деятельности заемщика.</w:t>
      </w:r>
    </w:p>
    <w:p>
      <w:pPr>
        <w:pStyle w:val="MainText"/>
        <w:rPr/>
      </w:pPr>
      <w:r>
        <w:rPr/>
        <w:t>2.2. Данные граф 4—9 приводятся в тысячах рублей, без десятичных знаков после запятой.</w:t>
      </w:r>
    </w:p>
    <w:p>
      <w:pPr>
        <w:pStyle w:val="MainText"/>
        <w:rPr/>
      </w:pPr>
      <w:r>
        <w:rPr/>
        <w:t>В графе 5 отражаются кредиты, выданные в иностранной валюте и драгоценных металлах, в рублевом эквиваленте, определяемом:</w:t>
      </w:r>
    </w:p>
    <w:p>
      <w:pPr>
        <w:pStyle w:val="MainText"/>
        <w:rPr/>
      </w:pPr>
      <w:r>
        <w:rPr/>
        <w:t>в случае если кредит был предоставлен, но не погашен в отчетном периоде (погашен частично), — по официальному курсу иностранной валюты по отношению к рублю, установленному Банком России, или по учетной цене на драгоценные металлы, установленной Банком России, по которым указанный актив отражается в отчетности по форме 0409101, составленной на отчетную дату;</w:t>
      </w:r>
    </w:p>
    <w:p>
      <w:pPr>
        <w:pStyle w:val="MainText"/>
        <w:rPr/>
      </w:pPr>
      <w:r>
        <w:rPr/>
        <w:t>в случае если кредит был выдан и погашен в полном объеме в отчетном периоде, — по официальному курсу иностранной валюты по отношению к рублю, установленному Банком России, или по учетной цене на драгоценные металлы, установленной Банком России, на дату погашения кредита.</w:t>
      </w:r>
    </w:p>
    <w:p>
      <w:pPr>
        <w:pStyle w:val="MainText"/>
        <w:rPr/>
      </w:pPr>
      <w:r>
        <w:rPr/>
        <w:t>2.3. Строка 1 равна сумме строк 2 и 3 по приведенным кодам места нахождения заемщика по ОКАТО.</w:t>
      </w:r>
    </w:p>
    <w:p>
      <w:pPr>
        <w:pStyle w:val="MainText"/>
        <w:rPr/>
      </w:pPr>
      <w:r>
        <w:rPr/>
        <w:t>2.4. В графах 4 и 5 приводятся нарастающим итогом с начала года данные о предоставленных кредитах, отражаемых на балансовых счетах, указанных в подпункте 2.8 настоящего пункта, независимо от срока предоставления кредита. Дебетовые обороты по балансовым счетам, возникающие в результате переноса остатков с одного балансового счета на другой при изменении срока действия кредитных договоров, не включаются в графы 4 и 5 раздела.</w:t>
      </w:r>
    </w:p>
    <w:p>
      <w:pPr>
        <w:pStyle w:val="MainText"/>
        <w:rPr/>
      </w:pPr>
      <w:r>
        <w:rPr/>
        <w:t>2.5. Сведения о просроченной задолженности по предоставленным кредитам, не погашенным в срок, включаются в раздел в части балансовых счетов, указанных в подпункте 2.8 настоящего пункта, без учета просроченной задолженности, перенесенной с балансовых счетов, не включаемых в группировку балансовых счетов, приведенных в подпункте 2.8 настоящего пункта.</w:t>
      </w:r>
    </w:p>
    <w:p>
      <w:pPr>
        <w:pStyle w:val="MainText"/>
        <w:rPr/>
      </w:pPr>
      <w:r>
        <w:rPr/>
        <w:t>2.6. По строке 2.3 отражаются кредиты, предоставленные субъектам малого и среднего предпринимательства. Понятие “субъект малого и среднего предпринимательства” используется для составления Отчета в соответствии с Федеральным законом от 24 июля 2007 года № 209-ФЗ “О развитии малого и среднего предпринимательства в Российской Федерации” (Собрание законодательства Российской Федерации, 2007, № 31, ст. 4006; № 43, ст. 5084; 2008, № 30, ст. 3615, ст. 3616; 2009, № 31, ст. 3923).</w:t>
      </w:r>
    </w:p>
    <w:p>
      <w:pPr>
        <w:pStyle w:val="MainText"/>
        <w:rPr/>
      </w:pPr>
      <w:r>
        <w:rPr/>
        <w:t>2.7. В строке 4 приводится информация, характеризующая деятельность по предоставлению кредитов операционными офисами, расположенными вне пределов территории, подведомственной территориальному учреждению Банка России, осуществляющему надзор за деятельностью кредитной организации (ее филиала) (далее — операционный офис).</w:t>
      </w:r>
    </w:p>
    <w:p>
      <w:pPr>
        <w:pStyle w:val="MainText"/>
        <w:rPr/>
      </w:pPr>
      <w:r>
        <w:rPr/>
        <w:t>Данные формируются в разрезе субъектов Российской Федерации в соответствии с кодами территорий по ОКАТО путем группировки кредитов по месту их выдачи операционными офисами.</w:t>
      </w:r>
    </w:p>
    <w:p>
      <w:pPr>
        <w:pStyle w:val="MainText"/>
        <w:spacing w:before="0" w:after="120"/>
        <w:rPr/>
      </w:pPr>
      <w:r>
        <w:rPr/>
        <w:t>2.8. При заполнении строк и граф используются следующие балансовые счета (их части):</w:t>
      </w:r>
    </w:p>
    <w:tbl>
      <w:tblPr>
        <w:tblW w:w="10989" w:type="dxa"/>
        <w:jc w:val="center"/>
        <w:tblInd w:w="0" w:type="dxa"/>
        <w:tblLayout w:type="fixed"/>
        <w:tblCellMar>
          <w:top w:w="0" w:type="dxa"/>
          <w:start w:w="28" w:type="dxa"/>
          <w:bottom w:w="0" w:type="dxa"/>
          <w:end w:w="28" w:type="dxa"/>
        </w:tblCellMar>
      </w:tblPr>
      <w:tblGrid>
        <w:gridCol w:w="817"/>
        <w:gridCol w:w="851"/>
        <w:gridCol w:w="9321"/>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Строки</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Графы</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Балансовые счета</w:t>
            </w:r>
          </w:p>
        </w:tc>
      </w:tr>
      <w:tr>
        <w:trPr>
          <w:tblHeader w:val="true"/>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1</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r>
      <w:tr>
        <w:trPr>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2</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4, 5</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44501—44509, 44601—44609, 44701—44709, 44801—44809, 44901—44909, 45001—45009, 45101—45109, 45201—45209, 45301—45309, 45401—45409</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6, 7</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20317, 44501—44509, 44601—44609, 44701—44709, 44801—44809, 44901—44909, 45001—45009, 45101—45109, 45201—45209, 45301—45309, 45401—45409, 45805—45814</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20317, 45805—45814</w:t>
            </w:r>
          </w:p>
        </w:tc>
      </w:tr>
      <w:tr>
        <w:trPr>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2.1.1—2.1.9</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4, 5</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44503—44509, 44603—44609, 44703—44709, 44803—44809, 44903—44909, 45003—45009, 45103—45109, 45203—45209, 45303—45309, 45403—45409</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6, 7</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20317, 44503—44509, 44603—44609, 44703—44709, 44803—44809, 44903—44909, 45003—45009, 45103—45109, 45203—45209, 45303—45309, 45403—45409, 45805—45814</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20317, 45805—45814</w:t>
            </w:r>
          </w:p>
        </w:tc>
      </w:tr>
      <w:tr>
        <w:trPr>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2.2</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4, 5</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44501, 44601, 44701, 44801, 44901, 45001, 45101, 45201, 45301, 45401</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6, 7</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44501, 44601, 44701, 44801, 44901, 45001, 45101, 45201, 45301, 45401, 45805—45814</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45805—45814</w:t>
            </w:r>
          </w:p>
        </w:tc>
      </w:tr>
      <w:tr>
        <w:trPr>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2.3</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4, 5</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45101—45109, 45201—45209, 45301—45309, 45401—45409</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6, 7</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20317, 45101—45109, 45201—45209, 45301—45309, 45401—45409, 45811—45814</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20317, 45811—45814</w:t>
            </w:r>
          </w:p>
        </w:tc>
      </w:tr>
      <w:tr>
        <w:trPr>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2.3.1</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4, 5</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45401—45409</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6, 7</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45401—45409, 45814</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45814</w:t>
            </w:r>
          </w:p>
        </w:tc>
      </w:tr>
      <w:tr>
        <w:trPr>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3</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4, 5</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45502—45509</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6, 7</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45502—45509, 45815</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45815</w:t>
            </w:r>
          </w:p>
        </w:tc>
      </w:tr>
      <w:tr>
        <w:trPr>
          <w:cantSplit/>
        </w:trPr>
        <w:tc>
          <w:tcPr>
            <w:tcW w:w="817" w:type="dxa"/>
            <w:tcBorders>
              <w:top w:val="single" w:sz="6" w:space="0" w:color="000000"/>
              <w:start w:val="single" w:sz="6" w:space="0" w:color="000000"/>
              <w:end w:val="single" w:sz="6" w:space="0" w:color="000000"/>
            </w:tcBorders>
          </w:tcPr>
          <w:p>
            <w:pPr>
              <w:pStyle w:val="MainText"/>
              <w:ind w:hanging="0" w:end="0"/>
              <w:jc w:val="center"/>
              <w:rPr/>
            </w:pPr>
            <w:r>
              <w:rPr/>
              <w:t>4</w:t>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4, 5</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44501—44509, 44601—44609, 44701—44709, 44801—44809, 44901—44909, 45001—45009, 45101—45109, 45201—45209, 45301—45309, 45401—45409, 45502—45509</w:t>
            </w:r>
          </w:p>
        </w:tc>
      </w:tr>
      <w:tr>
        <w:trPr>
          <w:cantSplit/>
        </w:trPr>
        <w:tc>
          <w:tcPr>
            <w:tcW w:w="817" w:type="dxa"/>
            <w:tcBorders>
              <w:start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6, 7</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20311, 20317, 44501—44509, 44601—44609, 44701—44709, 44801—44809, 44901—44909, 45001—45009, 45101—45109, 45201—45209, 45301—45309, 45401—45409, 45502—45509, 45805—45815</w:t>
            </w:r>
          </w:p>
        </w:tc>
      </w:tr>
      <w:tr>
        <w:trPr>
          <w:cantSplit/>
        </w:trPr>
        <w:tc>
          <w:tcPr>
            <w:tcW w:w="817" w:type="dxa"/>
            <w:tcBorders>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8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932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20317, 45805—45815</w:t>
            </w:r>
          </w:p>
        </w:tc>
      </w:tr>
    </w:tbl>
    <w:p>
      <w:pPr>
        <w:pStyle w:val="MainText"/>
        <w:spacing w:before="120" w:after="0"/>
        <w:rPr/>
      </w:pPr>
      <w:r>
        <w:rPr/>
        <w:t>Пример заполнения раздела 1 Отчета:</w:t>
      </w:r>
    </w:p>
    <w:p>
      <w:pPr>
        <w:pStyle w:val="MainText"/>
        <w:rPr/>
      </w:pPr>
      <w:r>
        <w:rPr/>
        <w:t>Кредитная организация в отчетном периоде выдала кредиты 7 клиентам, из которых:</w:t>
      </w:r>
    </w:p>
    <w:p>
      <w:pPr>
        <w:pStyle w:val="MainText"/>
        <w:rPr/>
      </w:pPr>
      <w:r>
        <w:rPr/>
        <w:t>3 клиента находятся в Москве,</w:t>
      </w:r>
    </w:p>
    <w:p>
      <w:pPr>
        <w:pStyle w:val="MainText"/>
        <w:rPr/>
      </w:pPr>
      <w:r>
        <w:rPr/>
        <w:t>2 — во Владимире,</w:t>
      </w:r>
    </w:p>
    <w:p>
      <w:pPr>
        <w:pStyle w:val="MainText"/>
        <w:rPr/>
      </w:pPr>
      <w:r>
        <w:rPr/>
        <w:t>по одному:</w:t>
      </w:r>
    </w:p>
    <w:p>
      <w:pPr>
        <w:pStyle w:val="MainText"/>
        <w:rPr/>
      </w:pPr>
      <w:r>
        <w:rPr/>
        <w:t>в Муроме (Владимирская область),</w:t>
      </w:r>
    </w:p>
    <w:p>
      <w:pPr>
        <w:pStyle w:val="MainText"/>
        <w:rPr/>
      </w:pPr>
      <w:r>
        <w:rPr/>
        <w:t>в Подольске (Московская область).</w:t>
      </w:r>
    </w:p>
    <w:p>
      <w:pPr>
        <w:pStyle w:val="MainText"/>
        <w:rPr/>
      </w:pPr>
      <w:r>
        <w:rPr/>
        <w:t>В соответствии с указанными условиями Отчет составляется отдельно по следующим кодам территорий мест нахождения заемщиков по ОКАТО:</w:t>
      </w:r>
    </w:p>
    <w:p>
      <w:pPr>
        <w:pStyle w:val="MainText"/>
        <w:rPr/>
      </w:pPr>
      <w:r>
        <w:rPr/>
        <w:t>код 45000 (г. Москва) — сумма данных по 3 клиентам;</w:t>
      </w:r>
    </w:p>
    <w:p>
      <w:pPr>
        <w:pStyle w:val="MainText"/>
        <w:rPr/>
      </w:pPr>
      <w:r>
        <w:rPr/>
        <w:t>код 17000 (Владимирская область) — сумма данных по 3 клиентам (Владимир 2 + Муром 1);</w:t>
      </w:r>
    </w:p>
    <w:p>
      <w:pPr>
        <w:pStyle w:val="MainText"/>
        <w:rPr/>
      </w:pPr>
      <w:r>
        <w:rPr/>
        <w:t>код 46000 (Московская область) — данные по 1 клиенту (Подольск 1).</w:t>
      </w:r>
    </w:p>
    <w:p>
      <w:pPr>
        <w:pStyle w:val="MainText"/>
        <w:rPr/>
      </w:pPr>
      <w:r>
        <w:rPr/>
        <w:t>Строки раздела заполняются по каждому субъекту Российской Федерации, заемщики которого получили кредит в данной кредитной организации. В приведенном примере строки Отчета будут заполнены 3 раза:</w:t>
      </w:r>
    </w:p>
    <w:p>
      <w:pPr>
        <w:pStyle w:val="MainText"/>
        <w:rPr/>
      </w:pPr>
      <w:r>
        <w:rPr/>
        <w:t>по г. Москве;</w:t>
      </w:r>
    </w:p>
    <w:p>
      <w:pPr>
        <w:pStyle w:val="MainText"/>
        <w:rPr/>
      </w:pPr>
      <w:r>
        <w:rPr/>
        <w:t>по Владимирской области;</w:t>
      </w:r>
    </w:p>
    <w:p>
      <w:pPr>
        <w:pStyle w:val="MainText"/>
        <w:rPr/>
      </w:pPr>
      <w:r>
        <w:rPr/>
        <w:t>по Московской области.</w:t>
      </w:r>
    </w:p>
    <w:p>
      <w:pPr>
        <w:pStyle w:val="MainText"/>
        <w:rPr/>
      </w:pPr>
      <w:r>
        <w:rPr/>
        <w:t>Строка 1 будет включать в себя данные по строкам 2 и 3 по трем субъектам Российской Федерации, имеющим коды территорий мест нахождения заемщиков по ОКАТО (по г. Москве, по Владимирской области, по Московской области).</w:t>
      </w:r>
    </w:p>
    <w:p>
      <w:pPr>
        <w:pStyle w:val="MainText"/>
        <w:rPr/>
      </w:pPr>
      <w:r>
        <w:rPr/>
        <w:t>3. Раздел 2 Отчета заполняется в следующем порядке.</w:t>
      </w:r>
    </w:p>
    <w:p>
      <w:pPr>
        <w:pStyle w:val="MainText"/>
        <w:rPr/>
      </w:pPr>
      <w:r>
        <w:rPr/>
        <w:t>3.1. Данные раздела формируются в разрезе субъектов Российской Федерации по кодам объектов административно-территориального деления ОКАТО путем группировки средств по месту их привлечения головным офисом, филиалом, операционным офисом кредитной организации. В случае если денежные средства были привлечены за пределами территории Российской Федерации, в графе 3 проставляется условный код “99999”.</w:t>
      </w:r>
    </w:p>
    <w:p>
      <w:pPr>
        <w:pStyle w:val="MainText"/>
        <w:rPr/>
      </w:pPr>
      <w:r>
        <w:rPr/>
        <w:t>3.2. В графах 4 и 5 отражается остаток средств, привлеченных кредитной организацией на отчетную дату, за исключением денежных средств, размещенных в кредитной организации в качестве залога, в том числе гарантийного депозита (вклада), и субординированного кредита (депозита, займа, облигационного займа). Средства, привлеченные в иностранной валюте и драгоценных металлах, отражаются в рублевом эквиваленте по действующим на отчетную дату официальному курсу иностранной валюты по отношению к рублю, установленному Банком России, или учетной цене на драгоценные металлы, установленной Банком России.</w:t>
      </w:r>
    </w:p>
    <w:p>
      <w:pPr>
        <w:pStyle w:val="MainText"/>
        <w:rPr/>
      </w:pPr>
      <w:r>
        <w:rPr/>
        <w:t>В строку 1.1 включаются средства, привлеченные на основании договора банковского счета и (или) договора банковского вклада (депозита), в том числе в результате реализации депозитного сертификата.</w:t>
      </w:r>
    </w:p>
    <w:p>
      <w:pPr>
        <w:pStyle w:val="MainText"/>
        <w:rPr/>
      </w:pPr>
      <w:r>
        <w:rPr/>
        <w:t>В строку 1.2 включаются средства, привлеченные на основании договора банковского счета и (или) договора банковского вклада (депозита), а также в результате реализации сберегательного сертификата.</w:t>
      </w:r>
    </w:p>
    <w:p>
      <w:pPr>
        <w:pStyle w:val="MainText"/>
        <w:spacing w:before="0" w:after="120"/>
        <w:rPr/>
      </w:pPr>
      <w:r>
        <w:rPr/>
        <w:t>3.3. При заполнении строк используются следующие балансовые счета (их части):</w:t>
      </w:r>
    </w:p>
    <w:tbl>
      <w:tblPr>
        <w:tblW w:w="10988" w:type="dxa"/>
        <w:jc w:val="center"/>
        <w:tblInd w:w="0" w:type="dxa"/>
        <w:tblLayout w:type="fixed"/>
        <w:tblCellMar>
          <w:top w:w="0" w:type="dxa"/>
          <w:start w:w="28" w:type="dxa"/>
          <w:bottom w:w="0" w:type="dxa"/>
          <w:end w:w="28" w:type="dxa"/>
        </w:tblCellMar>
      </w:tblPr>
      <w:tblGrid>
        <w:gridCol w:w="959"/>
        <w:gridCol w:w="10029"/>
      </w:tblGrid>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Строка</w:t>
            </w:r>
          </w:p>
        </w:tc>
        <w:tc>
          <w:tcPr>
            <w:tcW w:w="100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Балансовые счета</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100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100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20309, 20310, 30214, 30220, 30223, 30227, 30601,30606, 40101, 40105, 40106, 40107, (40108 – 40109) &gt; 0, (40110 – 40111) &gt; 0, 40116, 402, 40301, 40302, 40306, 40312, 40314, 404, 405, 406, 407, 408, 40901, 40902, 40903, 40905, 40906, (40907 – 40908) &gt; 0, 40909, 40910, 40911, 40912, 40913, 410, 411, 412, 413, 414, 415, 416, 417, 418, 419, 420, 421, 422, 423, 425, 426, 427, 428, 429, 430, 431, 432, 433, 434, 435, 436, 437, 438, 439, 440, 47401, 47409, 47418, 47601, 47602, 47603, 47605, 521, 522, 52403, 52404</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100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40802, 40804, 40805, 40806, 40807, 40809, 40811, 40812, 40814, 40815, 40818, 40819, 410, 411, 412, 413, 414, 415, 416, 417, 418, 419, 420, 421, 422, 425, 47601, 47602, 521, 52403</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100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40803, 40806, 40809, 40812, 40813, 40814, 40815, 40817, 40818, 40819, 40820, 423, 426, 47603, 47605, 522, 52404</w:t>
            </w:r>
          </w:p>
        </w:tc>
      </w:tr>
    </w:tbl>
    <w:p>
      <w:pPr>
        <w:pStyle w:val="SnoskaLineTab"/>
        <w:keepLines w:val="false"/>
        <w:pBdr>
          <w:top w:val="single" w:sz="6" w:space="1" w:color="000000"/>
        </w:pBdr>
        <w:spacing w:before="240" w:after="0"/>
        <w:rPr/>
      </w:pPr>
      <w:r>
        <w:rPr>
          <w:vertAlign w:val="superscript"/>
        </w:rPr>
        <w:t>1</w:t>
      </w:r>
      <w:r>
        <w:rPr/>
        <w:t> Приказ Министерства финансов Российской Федерации от 22 июля 2003 года № 67н “О формах бухгалтерской отчетности организаций” признан не нуждающимся в государственной регистрации на основании писем Министерства юстиции Российской Федерации от 5 августа 2003 года № 07/8121-АК, от 31 января 2005 года № 01/677-ВЯ, от 27 октября 2006 года № 01/9423-СВ.</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ЖИЛИЩНЫХ КРЕДИТАХ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jc w:val="end"/>
        <w:rPr/>
      </w:pPr>
      <w:r>
        <w:rPr/>
        <w:t>Код формы по ОКУД 0409316</w:t>
        <w:br/>
        <w:t>Месячная (Полугодовая)</w:t>
      </w:r>
    </w:p>
    <w:p>
      <w:pPr>
        <w:pStyle w:val="MainTextBezOtstupa"/>
        <w:spacing w:before="0" w:after="120"/>
        <w:jc w:val="start"/>
        <w:rPr/>
      </w:pPr>
      <w:r>
        <w:rPr/>
        <w:t>Раздел 1. Сведения о первичном рынке жилищных кредитов</w:t>
      </w:r>
    </w:p>
    <w:tbl>
      <w:tblPr>
        <w:tblW w:w="16236" w:type="dxa"/>
        <w:jc w:val="center"/>
        <w:tblInd w:w="0" w:type="dxa"/>
        <w:tblLayout w:type="fixed"/>
        <w:tblCellMar>
          <w:top w:w="0" w:type="dxa"/>
          <w:start w:w="28" w:type="dxa"/>
          <w:bottom w:w="0" w:type="dxa"/>
          <w:end w:w="28" w:type="dxa"/>
        </w:tblCellMar>
      </w:tblPr>
      <w:tblGrid>
        <w:gridCol w:w="529"/>
        <w:gridCol w:w="2122"/>
        <w:gridCol w:w="1045"/>
        <w:gridCol w:w="1045"/>
        <w:gridCol w:w="1045"/>
        <w:gridCol w:w="1045"/>
        <w:gridCol w:w="1045"/>
        <w:gridCol w:w="1045"/>
        <w:gridCol w:w="1045"/>
        <w:gridCol w:w="1045"/>
        <w:gridCol w:w="1045"/>
        <w:gridCol w:w="1045"/>
        <w:gridCol w:w="1045"/>
        <w:gridCol w:w="1045"/>
        <w:gridCol w:w="1045"/>
      </w:tblGrid>
      <w:tr>
        <w:trPr>
          <w:tblHeader w:val="true"/>
          <w:cantSplit/>
        </w:trPr>
        <w:tc>
          <w:tcPr>
            <w:tcW w:w="529"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w:t>
            </w:r>
          </w:p>
        </w:tc>
        <w:tc>
          <w:tcPr>
            <w:tcW w:w="2122"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Наименование показателя</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Код</w:t>
            </w:r>
          </w:p>
        </w:tc>
        <w:tc>
          <w:tcPr>
            <w:tcW w:w="4180"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Предоставлено в отчетном периоде</w:t>
            </w:r>
          </w:p>
        </w:tc>
        <w:tc>
          <w:tcPr>
            <w:tcW w:w="4180"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Задолженность на отчетную дату, тыс. руб.</w:t>
            </w:r>
          </w:p>
        </w:tc>
        <w:tc>
          <w:tcPr>
            <w:tcW w:w="2090"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Средневзвешенный срок</w:t>
            </w:r>
          </w:p>
        </w:tc>
        <w:tc>
          <w:tcPr>
            <w:tcW w:w="2090"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Средневзвешенная ставка,</w:t>
            </w:r>
          </w:p>
        </w:tc>
      </w:tr>
      <w:tr>
        <w:trPr>
          <w:tblHeader w:val="true"/>
          <w:cantSplit/>
        </w:trPr>
        <w:tc>
          <w:tcPr>
            <w:tcW w:w="529" w:type="dxa"/>
            <w:tcBorders>
              <w:start w:val="single" w:sz="6" w:space="0" w:color="000000"/>
              <w:end w:val="single" w:sz="6" w:space="0" w:color="000000"/>
            </w:tcBorders>
          </w:tcPr>
          <w:p>
            <w:pPr>
              <w:pStyle w:val="MainText"/>
              <w:keepNext w:val="true"/>
              <w:ind w:hanging="0" w:end="0"/>
              <w:jc w:val="center"/>
              <w:rPr>
                <w:sz w:val="14"/>
              </w:rPr>
            </w:pPr>
            <w:r>
              <w:rPr>
                <w:sz w:val="14"/>
              </w:rPr>
              <w:t>строки</w:t>
            </w:r>
          </w:p>
        </w:tc>
        <w:tc>
          <w:tcPr>
            <w:tcW w:w="2122"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start w:val="single" w:sz="6" w:space="0" w:color="000000"/>
              <w:end w:val="single" w:sz="6" w:space="0" w:color="000000"/>
            </w:tcBorders>
          </w:tcPr>
          <w:p>
            <w:pPr>
              <w:pStyle w:val="MainText"/>
              <w:keepNext w:val="true"/>
              <w:ind w:hanging="0" w:end="0"/>
              <w:jc w:val="center"/>
              <w:rPr>
                <w:sz w:val="14"/>
              </w:rPr>
            </w:pPr>
            <w:r>
              <w:rPr>
                <w:sz w:val="14"/>
              </w:rPr>
              <w:t>территории</w:t>
            </w:r>
          </w:p>
        </w:tc>
        <w:tc>
          <w:tcPr>
            <w:tcW w:w="4180" w:type="dxa"/>
            <w:gridSpan w:val="4"/>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валюте</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иностранной</w:t>
            </w:r>
          </w:p>
        </w:tc>
        <w:tc>
          <w:tcPr>
            <w:tcW w:w="2090"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том числе: просроченная</w:t>
            </w:r>
          </w:p>
        </w:tc>
        <w:tc>
          <w:tcPr>
            <w:tcW w:w="2090" w:type="dxa"/>
            <w:gridSpan w:val="2"/>
            <w:tcBorders>
              <w:start w:val="single" w:sz="6" w:space="0" w:color="000000"/>
              <w:end w:val="single" w:sz="6" w:space="0" w:color="000000"/>
            </w:tcBorders>
          </w:tcPr>
          <w:p>
            <w:pPr>
              <w:pStyle w:val="MainText"/>
              <w:keepNext w:val="true"/>
              <w:ind w:hanging="0" w:end="0"/>
              <w:jc w:val="center"/>
              <w:rPr>
                <w:sz w:val="14"/>
              </w:rPr>
            </w:pPr>
            <w:r>
              <w:rPr>
                <w:sz w:val="14"/>
              </w:rPr>
              <w:t>кредитования, месяцев</w:t>
            </w:r>
          </w:p>
        </w:tc>
        <w:tc>
          <w:tcPr>
            <w:tcW w:w="2090" w:type="dxa"/>
            <w:gridSpan w:val="2"/>
            <w:tcBorders>
              <w:start w:val="single" w:sz="6" w:space="0" w:color="000000"/>
              <w:end w:val="single" w:sz="6" w:space="0" w:color="000000"/>
            </w:tcBorders>
          </w:tcPr>
          <w:p>
            <w:pPr>
              <w:pStyle w:val="MainText"/>
              <w:keepNext w:val="true"/>
              <w:ind w:hanging="0" w:end="0"/>
              <w:jc w:val="center"/>
              <w:rPr>
                <w:sz w:val="14"/>
              </w:rPr>
            </w:pPr>
            <w:r>
              <w:rPr>
                <w:sz w:val="14"/>
              </w:rPr>
              <w:t>процентов</w:t>
            </w:r>
          </w:p>
        </w:tc>
      </w:tr>
      <w:tr>
        <w:trPr>
          <w:tblHeader w:val="true"/>
          <w:cantSplit/>
        </w:trPr>
        <w:tc>
          <w:tcPr>
            <w:tcW w:w="529" w:type="dxa"/>
            <w:tcBorders>
              <w:start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2122"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start w:val="single" w:sz="6" w:space="0" w:color="000000"/>
              <w:end w:val="single" w:sz="6" w:space="0" w:color="000000"/>
            </w:tcBorders>
          </w:tcPr>
          <w:p>
            <w:pPr>
              <w:pStyle w:val="MainText"/>
              <w:keepNext w:val="true"/>
              <w:ind w:hanging="0" w:end="0"/>
              <w:jc w:val="center"/>
              <w:rPr>
                <w:sz w:val="14"/>
              </w:rPr>
            </w:pPr>
            <w:r>
              <w:rPr>
                <w:sz w:val="14"/>
              </w:rPr>
              <w:t>места нахождения</w:t>
            </w:r>
          </w:p>
        </w:tc>
        <w:tc>
          <w:tcPr>
            <w:tcW w:w="2090"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 валюте Российской Федерации</w:t>
            </w:r>
          </w:p>
        </w:tc>
        <w:tc>
          <w:tcPr>
            <w:tcW w:w="2090"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 иностранной валюте</w:t>
            </w:r>
          </w:p>
        </w:tc>
        <w:tc>
          <w:tcPr>
            <w:tcW w:w="1045" w:type="dxa"/>
            <w:tcBorders>
              <w:start w:val="single" w:sz="6" w:space="0" w:color="000000"/>
              <w:end w:val="single" w:sz="6" w:space="0" w:color="000000"/>
            </w:tcBorders>
          </w:tcPr>
          <w:p>
            <w:pPr>
              <w:pStyle w:val="MainText"/>
              <w:keepNext w:val="true"/>
              <w:ind w:hanging="0" w:end="0"/>
              <w:jc w:val="center"/>
              <w:rPr>
                <w:sz w:val="14"/>
              </w:rPr>
            </w:pPr>
            <w:r>
              <w:rPr>
                <w:sz w:val="14"/>
              </w:rPr>
              <w:t>Российской Федерации</w:t>
            </w:r>
          </w:p>
        </w:tc>
        <w:tc>
          <w:tcPr>
            <w:tcW w:w="1045" w:type="dxa"/>
            <w:tcBorders>
              <w:start w:val="single" w:sz="6" w:space="0" w:color="000000"/>
              <w:end w:val="single" w:sz="6" w:space="0" w:color="000000"/>
            </w:tcBorders>
          </w:tcPr>
          <w:p>
            <w:pPr>
              <w:pStyle w:val="MainText"/>
              <w:keepNext w:val="true"/>
              <w:ind w:hanging="0" w:end="0"/>
              <w:jc w:val="center"/>
              <w:rPr>
                <w:sz w:val="14"/>
              </w:rPr>
            </w:pPr>
            <w:r>
              <w:rPr>
                <w:sz w:val="14"/>
              </w:rPr>
              <w:t>валюте</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валюте Российской</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иностранной валюте</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валюте Российской</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иностранной валюте</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валюте Российской</w:t>
            </w:r>
          </w:p>
        </w:tc>
        <w:tc>
          <w:tcPr>
            <w:tcW w:w="1045"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в иностранной валюте</w:t>
            </w:r>
          </w:p>
        </w:tc>
      </w:tr>
      <w:tr>
        <w:trPr>
          <w:tblHeader w:val="true"/>
          <w:cantSplit/>
        </w:trPr>
        <w:tc>
          <w:tcPr>
            <w:tcW w:w="52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212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заемщика по ОКАТО</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количество, единиц</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объем, тыс. руб.</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количество, единиц</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объем, тыс. руб.</w:t>
            </w:r>
          </w:p>
        </w:tc>
        <w:tc>
          <w:tcPr>
            <w:tcW w:w="104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Федерации</w:t>
            </w:r>
          </w:p>
        </w:tc>
        <w:tc>
          <w:tcPr>
            <w:tcW w:w="104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Федерации</w:t>
            </w:r>
          </w:p>
        </w:tc>
        <w:tc>
          <w:tcPr>
            <w:tcW w:w="104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45"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Федерации</w:t>
            </w:r>
          </w:p>
        </w:tc>
        <w:tc>
          <w:tcPr>
            <w:tcW w:w="104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r>
      <w:tr>
        <w:trPr>
          <w:tblHeader w:val="true"/>
          <w:cantSplit/>
        </w:trPr>
        <w:tc>
          <w:tcPr>
            <w:tcW w:w="52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w:t>
            </w:r>
          </w:p>
        </w:tc>
        <w:tc>
          <w:tcPr>
            <w:tcW w:w="212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3</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4</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5</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6</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7</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8</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9</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10</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11</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12</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13</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14</w:t>
            </w:r>
          </w:p>
        </w:tc>
        <w:tc>
          <w:tcPr>
            <w:tcW w:w="10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15</w:t>
            </w:r>
          </w:p>
        </w:tc>
      </w:tr>
      <w:tr>
        <w:trPr>
          <w:cantSplit/>
        </w:trPr>
        <w:tc>
          <w:tcPr>
            <w:tcW w:w="5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212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 xml:space="preserve">Жилищные кредиты, всего, </w:t>
              <w:br/>
              <w:t>из них:</w:t>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212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Ипотечные жилищные кредиты</w:t>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4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BezOtstupa"/>
        <w:spacing w:before="240" w:after="120"/>
        <w:jc w:val="start"/>
        <w:rPr/>
      </w:pPr>
      <w:r>
        <w:rPr/>
        <w:t>Справочно</w:t>
      </w:r>
    </w:p>
    <w:p>
      <w:pPr>
        <w:pStyle w:val="MainTextBezOtstupa"/>
        <w:jc w:val="start"/>
        <w:rPr/>
      </w:pPr>
      <w:r>
        <w:rPr/>
        <w:t>Приобретенные кредитной организацией права требования по ипотечным жилищным кредитам на отчетную дату:</w:t>
      </w:r>
    </w:p>
    <w:p>
      <w:pPr>
        <w:pStyle w:val="MainTextBezOtstupa"/>
        <w:jc w:val="start"/>
        <w:rPr/>
      </w:pPr>
      <w:r>
        <w:rPr/>
        <w:t>1. в валюте Российской Федерации _____________ тыс. руб.;</w:t>
      </w:r>
    </w:p>
    <w:p>
      <w:pPr>
        <w:pStyle w:val="MainTextBezOtstupa"/>
        <w:jc w:val="start"/>
        <w:rPr/>
      </w:pPr>
      <w:r>
        <w:rPr/>
        <w:t xml:space="preserve">2. в иностранной валюте _____________ тыс. руб. </w:t>
      </w:r>
    </w:p>
    <w:p>
      <w:pPr>
        <w:pStyle w:val="MainTextBezOtstupa"/>
        <w:spacing w:before="240" w:after="120"/>
        <w:jc w:val="start"/>
        <w:rPr/>
      </w:pPr>
      <w:r>
        <w:rPr/>
        <w:t>Раздел 2. Сведения о досрочном погашении ипотечных жилищных кредитов (прав требования по ипотечным жилищным кредитам)</w:t>
      </w:r>
    </w:p>
    <w:tbl>
      <w:tblPr>
        <w:tblW w:w="16253" w:type="dxa"/>
        <w:jc w:val="center"/>
        <w:tblInd w:w="0" w:type="dxa"/>
        <w:tblLayout w:type="fixed"/>
        <w:tblCellMar>
          <w:top w:w="0" w:type="dxa"/>
          <w:start w:w="28" w:type="dxa"/>
          <w:bottom w:w="0" w:type="dxa"/>
          <w:end w:w="28" w:type="dxa"/>
        </w:tblCellMar>
      </w:tblPr>
      <w:tblGrid>
        <w:gridCol w:w="530"/>
        <w:gridCol w:w="3403"/>
        <w:gridCol w:w="1232"/>
        <w:gridCol w:w="1232"/>
        <w:gridCol w:w="1232"/>
        <w:gridCol w:w="1232"/>
        <w:gridCol w:w="1232"/>
        <w:gridCol w:w="1232"/>
        <w:gridCol w:w="1232"/>
        <w:gridCol w:w="1232"/>
        <w:gridCol w:w="1232"/>
        <w:gridCol w:w="1232"/>
      </w:tblGrid>
      <w:tr>
        <w:trPr>
          <w:tblHeader w:val="true"/>
          <w:cantSplit/>
        </w:trPr>
        <w:tc>
          <w:tcPr>
            <w:tcW w:w="53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w:t>
            </w:r>
          </w:p>
        </w:tc>
        <w:tc>
          <w:tcPr>
            <w:tcW w:w="3403"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Наименование показателя</w:t>
            </w:r>
          </w:p>
        </w:tc>
        <w:tc>
          <w:tcPr>
            <w:tcW w:w="1232"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Код территории</w:t>
            </w:r>
          </w:p>
        </w:tc>
        <w:tc>
          <w:tcPr>
            <w:tcW w:w="1232"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Регистрационный</w:t>
            </w:r>
          </w:p>
        </w:tc>
        <w:tc>
          <w:tcPr>
            <w:tcW w:w="9856"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Сумма досрочно погашенных ипотечных жилищных кредитов (прав требования по ипотечным жилищным кредитам), тыс. руб.</w:t>
            </w:r>
          </w:p>
        </w:tc>
      </w:tr>
      <w:tr>
        <w:trPr>
          <w:tblHeader w:val="true"/>
          <w:cantSplit/>
        </w:trPr>
        <w:tc>
          <w:tcPr>
            <w:tcW w:w="530" w:type="dxa"/>
            <w:tcBorders>
              <w:start w:val="single" w:sz="6" w:space="0" w:color="000000"/>
              <w:end w:val="single" w:sz="6" w:space="0" w:color="000000"/>
            </w:tcBorders>
          </w:tcPr>
          <w:p>
            <w:pPr>
              <w:pStyle w:val="MainText"/>
              <w:keepNext w:val="true"/>
              <w:ind w:hanging="0" w:end="0"/>
              <w:jc w:val="center"/>
              <w:rPr>
                <w:sz w:val="14"/>
              </w:rPr>
            </w:pPr>
            <w:r>
              <w:rPr>
                <w:sz w:val="14"/>
              </w:rPr>
              <w:t>строки</w:t>
            </w:r>
          </w:p>
        </w:tc>
        <w:tc>
          <w:tcPr>
            <w:tcW w:w="3403" w:type="dxa"/>
            <w:tcBorders>
              <w:start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232" w:type="dxa"/>
            <w:tcBorders>
              <w:start w:val="single" w:sz="6" w:space="0" w:color="000000"/>
              <w:end w:val="single" w:sz="6" w:space="0" w:color="000000"/>
            </w:tcBorders>
          </w:tcPr>
          <w:p>
            <w:pPr>
              <w:pStyle w:val="MainText"/>
              <w:keepNext w:val="true"/>
              <w:ind w:hanging="0" w:end="0"/>
              <w:jc w:val="center"/>
              <w:rPr>
                <w:sz w:val="14"/>
              </w:rPr>
            </w:pPr>
            <w:r>
              <w:rPr>
                <w:sz w:val="14"/>
              </w:rPr>
              <w:t>места</w:t>
            </w:r>
          </w:p>
        </w:tc>
        <w:tc>
          <w:tcPr>
            <w:tcW w:w="1232" w:type="dxa"/>
            <w:tcBorders>
              <w:start w:val="single" w:sz="6" w:space="0" w:color="000000"/>
              <w:end w:val="single" w:sz="6" w:space="0" w:color="000000"/>
            </w:tcBorders>
          </w:tcPr>
          <w:p>
            <w:pPr>
              <w:pStyle w:val="MainText"/>
              <w:keepNext w:val="true"/>
              <w:ind w:hanging="0" w:end="0"/>
              <w:jc w:val="center"/>
              <w:rPr>
                <w:sz w:val="14"/>
              </w:rPr>
            </w:pPr>
            <w:r>
              <w:rPr>
                <w:sz w:val="14"/>
              </w:rPr>
              <w:t>номер</w:t>
            </w:r>
          </w:p>
        </w:tc>
        <w:tc>
          <w:tcPr>
            <w:tcW w:w="4928"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выданных (приобретенных) в валюте Российской Федерации</w:t>
            </w:r>
          </w:p>
        </w:tc>
        <w:tc>
          <w:tcPr>
            <w:tcW w:w="4928"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выданных (приобретенных) в иностранной валюте</w:t>
            </w:r>
          </w:p>
        </w:tc>
      </w:tr>
      <w:tr>
        <w:trPr>
          <w:tblHeader w:val="true"/>
          <w:cantSplit/>
        </w:trPr>
        <w:tc>
          <w:tcPr>
            <w:tcW w:w="53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340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232"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нахождения заемщика по ОКАТО</w:t>
            </w:r>
          </w:p>
        </w:tc>
        <w:tc>
          <w:tcPr>
            <w:tcW w:w="1232"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кредитной организации</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средствами заемщика</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вновь выданными ипотечными жилищными кредитами</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средствами, полученными от реализации заложенного имущества</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прочими средствами</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средствами заемщика</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вновь выданными ипотечными жилищными кредитами</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средствами, полученными от реализации заложенного имущества</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прочими средствами</w:t>
            </w:r>
          </w:p>
        </w:tc>
      </w:tr>
      <w:tr>
        <w:trPr>
          <w:tblHeader w:val="true"/>
          <w:cantSplit/>
        </w:trPr>
        <w:tc>
          <w:tcPr>
            <w:tcW w:w="5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w:t>
            </w:r>
          </w:p>
        </w:tc>
        <w:tc>
          <w:tcPr>
            <w:tcW w:w="340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2</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3</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4</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5</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6</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7</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8</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9</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10</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11</w:t>
            </w:r>
          </w:p>
        </w:tc>
        <w:tc>
          <w:tcPr>
            <w:tcW w:w="1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12</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 xml:space="preserve">Ипотечные жилищные кредиты (права требования по ипотечным жилищным кредитам), досрочно погашенные в отчетном периоде, всего, </w:t>
              <w:br/>
              <w:t>из них:</w:t>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выданные (приобретенные) в отчетном периоде</w:t>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BezOtstupa"/>
        <w:spacing w:before="240" w:after="120"/>
        <w:jc w:val="start"/>
        <w:rPr/>
      </w:pPr>
      <w:r>
        <w:br w:type="page"/>
      </w:r>
      <w:r>
        <w:rPr/>
        <w:t>Раздел 3. Сведения об источниках рефинансирования ипотечных жилищных кредитов (прав требования по ипотечным жилищным кредитам)</w:t>
      </w:r>
    </w:p>
    <w:tbl>
      <w:tblPr>
        <w:tblW w:w="16255" w:type="dxa"/>
        <w:jc w:val="center"/>
        <w:tblInd w:w="0" w:type="dxa"/>
        <w:tblLayout w:type="fixed"/>
        <w:tblCellMar>
          <w:top w:w="0" w:type="dxa"/>
          <w:start w:w="28" w:type="dxa"/>
          <w:bottom w:w="0" w:type="dxa"/>
          <w:end w:w="28" w:type="dxa"/>
        </w:tblCellMar>
      </w:tblPr>
      <w:tblGrid>
        <w:gridCol w:w="530"/>
        <w:gridCol w:w="3403"/>
        <w:gridCol w:w="1136"/>
        <w:gridCol w:w="1134"/>
        <w:gridCol w:w="1436"/>
        <w:gridCol w:w="1436"/>
        <w:gridCol w:w="1436"/>
        <w:gridCol w:w="1436"/>
        <w:gridCol w:w="1436"/>
        <w:gridCol w:w="1436"/>
        <w:gridCol w:w="1436"/>
      </w:tblGrid>
      <w:tr>
        <w:trPr>
          <w:tblHeader w:val="true"/>
          <w:cantSplit/>
        </w:trPr>
        <w:tc>
          <w:tcPr>
            <w:tcW w:w="53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340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Источник рефинансирования ипотечных жилищных кредитов (прав требования по ипотечным жилищным кредитам)</w:t>
            </w:r>
          </w:p>
        </w:tc>
        <w:tc>
          <w:tcPr>
            <w:tcW w:w="113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Полное фирменное наименование организации</w:t>
            </w:r>
          </w:p>
        </w:tc>
        <w:tc>
          <w:tcPr>
            <w:tcW w:w="1134"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Идентификатор организации</w:t>
            </w:r>
          </w:p>
        </w:tc>
        <w:tc>
          <w:tcPr>
            <w:tcW w:w="287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Объем рефинансируемых ипотечных жилищных кредитов (прав требования по ипотечным жилищным кредитам), тыс. руб</w:t>
            </w:r>
          </w:p>
        </w:tc>
        <w:tc>
          <w:tcPr>
            <w:tcW w:w="287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Объем привлеченных средств, тыс. руб.</w:t>
            </w:r>
          </w:p>
        </w:tc>
        <w:tc>
          <w:tcPr>
            <w:tcW w:w="143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Организаторы выпуска</w:t>
            </w:r>
          </w:p>
        </w:tc>
        <w:tc>
          <w:tcPr>
            <w:tcW w:w="143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Средневзвешенный срок, месяцев</w:t>
            </w:r>
          </w:p>
        </w:tc>
        <w:tc>
          <w:tcPr>
            <w:tcW w:w="143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Средневзвешенная ставка, процентов</w:t>
            </w:r>
          </w:p>
        </w:tc>
      </w:tr>
      <w:tr>
        <w:trPr>
          <w:tblHeader w:val="true"/>
          <w:cantSplit/>
        </w:trPr>
        <w:tc>
          <w:tcPr>
            <w:tcW w:w="530"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3403"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4"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валюте Российской Федерации</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иностранной валюте</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валюте Российской Федерации</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иностранной валюте</w:t>
            </w:r>
          </w:p>
        </w:tc>
        <w:tc>
          <w:tcPr>
            <w:tcW w:w="143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tblHeader w:val="true"/>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11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Эмиссия облигаций с ипотечным покрытием</w:t>
            </w:r>
          </w:p>
        </w:tc>
        <w:tc>
          <w:tcPr>
            <w:tcW w:w="11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 xml:space="preserve">Продажа пула ипотечных жилищных кредитов (прав требования по ипотечным жилищным кредитам) без формирования дополнительного финансового инструмента, всего, </w:t>
              <w:br/>
              <w:t>из них:</w:t>
            </w:r>
          </w:p>
        </w:tc>
        <w:tc>
          <w:tcPr>
            <w:tcW w:w="11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2.1</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с просроченными платежами</w:t>
            </w:r>
          </w:p>
        </w:tc>
        <w:tc>
          <w:tcPr>
            <w:tcW w:w="11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2.2</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по которым кредитная организация является первичным кредитором</w:t>
            </w:r>
          </w:p>
        </w:tc>
        <w:tc>
          <w:tcPr>
            <w:tcW w:w="11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Продажа пула ипотечных жилищных кредитов (прав требования по ипотечным жилищным кредитам) с дальнейшей эмиссией облигаций с ипотечным покрытием</w:t>
            </w:r>
          </w:p>
        </w:tc>
        <w:tc>
          <w:tcPr>
            <w:tcW w:w="11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Продажа пула ипотечных жилищных кредитов (прав требования по ипотечным жилищным кредитам) УК ПИФов и ОФБУ</w:t>
            </w:r>
          </w:p>
        </w:tc>
        <w:tc>
          <w:tcPr>
            <w:tcW w:w="11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14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Производные финансовые инструменты</w:t>
            </w:r>
          </w:p>
        </w:tc>
        <w:tc>
          <w:tcPr>
            <w:tcW w:w="11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3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0409316 “Сведения о жилищных кредитах”</w:t>
      </w:r>
    </w:p>
    <w:p>
      <w:pPr>
        <w:pStyle w:val="MainText"/>
        <w:rPr/>
      </w:pPr>
      <w:r>
        <w:rPr/>
        <w:t>1. Отчетность по форме 0409316 “Сведения о жилищных кредитах” (далее — Отчет) содержит сведения о территориальной структуре предоставленных кредитными организациями физическим лицам (далее — заемщики) жилищных кредитов, объемах и источниках их досрочного погашения и способах рефинансирования.</w:t>
      </w:r>
    </w:p>
    <w:p>
      <w:pPr>
        <w:pStyle w:val="MainText"/>
        <w:rPr/>
      </w:pPr>
      <w:r>
        <w:rPr/>
        <w:t>Показатели Отчета заполняются нарастающим итогом с начала года.</w:t>
      </w:r>
    </w:p>
    <w:p>
      <w:pPr>
        <w:pStyle w:val="MainText"/>
        <w:rPr/>
      </w:pPr>
      <w:r>
        <w:rPr/>
        <w:t>Раздел 1 Отчета представляется кредитными организациями (включая небанковские депозитно-кредитные организации) в территориальные учреждения Банка России, осуществляющие надзор за их деятельностью, ежемесячно по состоянию на 1-е число месяца, следующего за отчетным, — не позднее 10-го рабочего дня месяца, следующего за отчетным.</w:t>
      </w:r>
    </w:p>
    <w:p>
      <w:pPr>
        <w:pStyle w:val="MainText"/>
        <w:rPr/>
      </w:pPr>
      <w:r>
        <w:rPr/>
        <w:t>Разделы 2—3 Отчета составляются кредитными организациями (включая небанковские депозитно-кредитные организации) с полугодовой периодичностью (по состоянию на 1 июля и 1 января) и представляются в территориальные учреждения Банка России, осуществляющие надзор за их деятельностью, — не позднее 3-го рабочего дня второго месяца, следующего за отчетным периодом.</w:t>
      </w:r>
    </w:p>
    <w:p>
      <w:pPr>
        <w:pStyle w:val="MainText"/>
        <w:rPr/>
      </w:pPr>
      <w:r>
        <w:rPr/>
        <w:t>2. Раздел 1 Отчета заполняется в следующем порядке.</w:t>
      </w:r>
    </w:p>
    <w:p>
      <w:pPr>
        <w:pStyle w:val="MainText"/>
        <w:rPr/>
      </w:pPr>
      <w:r>
        <w:rPr/>
        <w:t>2.1. Данные раздела формируются в разрезе субъектов Российской Федерации по кодам объектов административно-территориального деления Общероссийского классификатора объектов административно-территориального деления (ОКАТО) путем группировки задолженности всех заемщиков по их месту нахождения. Информация по автономным округам отражается отдельно по каждому автономному округу, а также в составе субъектов Российской Федерации, к которым они относятся.</w:t>
      </w:r>
    </w:p>
    <w:p>
      <w:pPr>
        <w:pStyle w:val="MainText"/>
        <w:rPr/>
      </w:pPr>
      <w:r>
        <w:rPr/>
        <w:t>Место нахождения заемщика определяется по адресу места его постоянного проживания, соответствующего отметке о регистрации по месту жительства в паспорте гражданина Российской Федерации — заемщика, произведенной органами регистрационного учета.</w:t>
      </w:r>
    </w:p>
    <w:p>
      <w:pPr>
        <w:pStyle w:val="MainText"/>
        <w:rPr/>
      </w:pPr>
      <w:r>
        <w:rPr/>
        <w:t>Изменение места нахождения заемщика отражается при предоставлении нового кредита (очередного транша) этому заемщику. Если заемщику в отчетном году не предоставлялся новый кредит (очередной транш) либо изменение места нахождения заемщика произошло в отчетном году после предоставления нового кредита (очередного транша), необходимо производить актуализацию информации после представления Отчета за год и отражать соответствующие изменения в Отчете за первый месяц следующего года.</w:t>
      </w:r>
    </w:p>
    <w:p>
      <w:pPr>
        <w:pStyle w:val="MainText"/>
        <w:rPr/>
      </w:pPr>
      <w:r>
        <w:rPr/>
        <w:t>2.2. По строке 1 отражаются сведения по кредитам, предоставленным заемщикам на приобретение и обустройство земли под предстоящее жилищное строительство, на строительство (реконструкцию) и приобретение жилья (далее — жилищные кредиты).</w:t>
      </w:r>
    </w:p>
    <w:p>
      <w:pPr>
        <w:pStyle w:val="MainText"/>
        <w:rPr/>
      </w:pPr>
      <w:r>
        <w:rPr/>
        <w:t>2.3. По строке 1.1 отражаются жилищные кредиты, предоставленные заемщикам под залог недвижимости в порядке, установленном Федеральным законом от 16 июля 1998 года № 102-ФЗ “Об ипотеке (залоге недвижимости)” (Собрание законодательства Российской Федерации, 1998, № 29, ст. 3400; 2001, № 46, ст. 4308; 2002, № 7, ст. 629; № 52, ст. 5135; 2004, № 6, ст. 406; № 27, ст. 2711; № 45, ст. 4377; 2005, № 1, ст. 40, ст. 42; 2006, № 50, ст. 5279; № 52, ст. 5498; 2007, № 27, ст. 3213; № 50, ст. 6237; 2008, № 20, ст. 2251; № 52, ст. 6219; 2009, № 1, ст. 14; № 29, ст. 3603) (далее — ипотечные жилищные кредиты).</w:t>
      </w:r>
    </w:p>
    <w:p>
      <w:pPr>
        <w:pStyle w:val="MainText"/>
        <w:rPr/>
      </w:pPr>
      <w:r>
        <w:rPr/>
        <w:t>В случае если одновременно с договором на предоставление жилищного кредита с заемщиком заключен договор ипотеки с последующей государственной регистрацией его в порядке, установленном Федеральным законом от 16 июля 1998 года № 102-ФЗ “Об ипотеке (залоге недвижимости)”, указанный кредит в рамках данного Отчета отражается по строке 1.1 со дня его выдачи.</w:t>
      </w:r>
    </w:p>
    <w:p>
      <w:pPr>
        <w:pStyle w:val="MainText"/>
        <w:rPr/>
      </w:pPr>
      <w:r>
        <w:rPr/>
        <w:t>2.4. В графах 4 и 6 приводятся данные о количестве выданных жилищных (ипотечных жилищных) кредитов. В целях заполнения граф 4 и 6 отдельные транши, предоставляемые в течение года одному заемщику в рамках кредитной линии, рассматриваются как один кредит.</w:t>
      </w:r>
    </w:p>
    <w:p>
      <w:pPr>
        <w:pStyle w:val="MainText"/>
        <w:rPr/>
      </w:pPr>
      <w:r>
        <w:rPr/>
        <w:t>2.5. В графах 5 и 7 приводятся данные об объеме предоставленных жилищных (ипотечных жилищных) кредитов, отражаемых на балансовых счетах, указанных в подпункте 2.11 настоящего пункта. Дебетовые обороты по балансовым счетам, возникающие в результате переноса остатков с одного балансового счета на другой при изменении срока действия кредитных договоров, не включаются в графы 5 и 7 раздела.</w:t>
      </w:r>
    </w:p>
    <w:p>
      <w:pPr>
        <w:pStyle w:val="MainText"/>
        <w:rPr/>
      </w:pPr>
      <w:r>
        <w:rPr/>
        <w:t>2.6. Данные граф 5, 7, 8—11 приводятся в тысячах рублей без десятичных знаков.</w:t>
      </w:r>
    </w:p>
    <w:p>
      <w:pPr>
        <w:pStyle w:val="MainText"/>
        <w:rPr/>
      </w:pPr>
      <w:r>
        <w:rPr/>
        <w:t>В графе 7 кредиты, выданные в иностранной валюте, отражаются в рублевом эквиваленте, определяемом:</w:t>
      </w:r>
    </w:p>
    <w:p>
      <w:pPr>
        <w:pStyle w:val="MainText"/>
        <w:rPr/>
      </w:pPr>
      <w:r>
        <w:rPr/>
        <w:t>в случае если кредит был предоставлен, но не погашен в отчетном периоде (погашен частично), — по официальному курсу иностранной валюты по отношению к рублю, установленному Банком России, по которому указанный актив отражается в отчетности по форме 0409101 “Оборотная ведомость по счетам бухгалтерского учета кредитной организации”, составленной на отчетную дату;</w:t>
      </w:r>
    </w:p>
    <w:p>
      <w:pPr>
        <w:pStyle w:val="MainText"/>
        <w:rPr/>
      </w:pPr>
      <w:r>
        <w:rPr/>
        <w:t>в случае если кредит был выдан и погашен в полном объеме в отчетном периоде, — по официальному курсу иностранной валюты по отношению к рублю, установленному Банком России на дату погашения кредита.</w:t>
      </w:r>
    </w:p>
    <w:p>
      <w:pPr>
        <w:pStyle w:val="MainText"/>
        <w:rPr/>
      </w:pPr>
      <w:r>
        <w:rPr/>
        <w:t>Аналогичный порядок используется для расчета средневзвешенного срока кредитования (графа 13) и средневзвешенной ставки (графа 15) в иностранной валюте при определении рублевого эквивалента стоимости кредита по договору (дополнительному соглашению) на предоставление ипотечного жилищного кредита.</w:t>
      </w:r>
    </w:p>
    <w:p>
      <w:pPr>
        <w:pStyle w:val="MainText"/>
        <w:rPr/>
      </w:pPr>
      <w:r>
        <w:rPr/>
        <w:t>2.7. Графы 4—7, 12—15 заполняются только в случае выдачи кредита в отчетном периоде.</w:t>
      </w:r>
    </w:p>
    <w:p>
      <w:pPr>
        <w:pStyle w:val="MainText"/>
        <w:rPr/>
      </w:pPr>
      <w:r>
        <w:rPr/>
        <w:t>В расчет показателей граф 12—15 включаются сведения обо всех кредитах, предоставленных с начала года.</w:t>
      </w:r>
    </w:p>
    <w:p>
      <w:pPr>
        <w:pStyle w:val="MainText"/>
        <w:rPr/>
      </w:pPr>
      <w:r>
        <w:rPr/>
        <w:t>Показатели граф 12—15 указываются с точностью до одного десятичного знака после запятой.</w:t>
      </w:r>
    </w:p>
    <w:p>
      <w:pPr>
        <w:pStyle w:val="MainText"/>
        <w:rPr/>
      </w:pPr>
      <w:r>
        <w:rPr/>
        <w:t>2.8. В графах 12 и 13 указывается средневзвешенный срок кредитования (Т), который рассчитывается отдельно по каждому субъекту Российской Федерации по формуле:</w:t>
      </w:r>
    </w:p>
    <w:p>
      <w:pPr>
        <w:pStyle w:val="MainTextBezOtstupa"/>
        <w:spacing w:before="120" w:after="120"/>
        <w:ind w:start="567" w:end="0"/>
        <w:rPr/>
      </w:pPr>
      <w:r>
        <w:rPr/>
        <w:t>T = (V1 x T1 + V2 x T2 + ... + Vn x Tn) : (V1 + V2 + ... Vn),</w:t>
      </w:r>
    </w:p>
    <w:p>
      <w:pPr>
        <w:pStyle w:val="MainText"/>
        <w:rPr/>
      </w:pPr>
      <w:r>
        <w:rPr/>
        <w:t>где:</w:t>
      </w:r>
    </w:p>
    <w:p>
      <w:pPr>
        <w:pStyle w:val="MainText"/>
        <w:rPr/>
      </w:pPr>
      <w:r>
        <w:rPr/>
        <w:t>T1, T2, ... Tn — срок в соответствии с договором (дополнительным соглашением) на предоставление жилищного (ипотечного жилищного) кредита, заключенным с начала года по n-й сделке;</w:t>
      </w:r>
    </w:p>
    <w:p>
      <w:pPr>
        <w:pStyle w:val="MainText"/>
        <w:rPr/>
      </w:pPr>
      <w:r>
        <w:rPr/>
        <w:t>V1, V2, ... Vn — объем кредита в соответствии с договором (дополнительным соглашением) на предоставление жилищного (ипотечного жилищного) кредита по n-й сделке.</w:t>
      </w:r>
    </w:p>
    <w:p>
      <w:pPr>
        <w:pStyle w:val="MainText"/>
        <w:rPr/>
      </w:pPr>
      <w:r>
        <w:rPr/>
        <w:t>Сведения о кредитах, предоставленных заемщикам в предыдущие годы, по которым в течение отчетного периода были заключены дополнительные соглашения на изменение срока, в расчет граф 12 и 13 не включаются.</w:t>
      </w:r>
    </w:p>
    <w:p>
      <w:pPr>
        <w:pStyle w:val="MainText"/>
        <w:rPr/>
      </w:pPr>
      <w:r>
        <w:rPr/>
        <w:t>В случае изменения срока в соответствии с дополнительным соглашением по кредитам, выданным в течение отчетного периода, в расчет средневзвешенного срока включается срок до и после изменения, взвешенный на объем выданного кредита.</w:t>
      </w:r>
    </w:p>
    <w:p>
      <w:pPr>
        <w:pStyle w:val="MainText"/>
        <w:rPr/>
      </w:pPr>
      <w:r>
        <w:rPr/>
        <w:t>2.9. В графах 14 и 15 указывается средневзвешенная ставка по кредитам (Pav), которая рассчитывается отдельно по каждому субъекту Российской Федерации по формуле:</w:t>
      </w:r>
    </w:p>
    <w:p>
      <w:pPr>
        <w:pStyle w:val="MainTextBezOtstupa"/>
        <w:spacing w:before="120" w:after="120"/>
        <w:ind w:start="567" w:end="0"/>
        <w:rPr/>
      </w:pPr>
      <w:r>
        <w:rPr/>
        <w:t>Pav = (V1 x P1 x T1 + V2 x P2 x T2 + ... + Vn x Pn x Tn) : (V1 x T1 + V2 x T2 + ... + Vn x Tn),</w:t>
      </w:r>
    </w:p>
    <w:p>
      <w:pPr>
        <w:pStyle w:val="MainText"/>
        <w:rPr/>
      </w:pPr>
      <w:r>
        <w:rPr/>
        <w:t>где:</w:t>
      </w:r>
    </w:p>
    <w:p>
      <w:pPr>
        <w:pStyle w:val="MainText"/>
        <w:rPr/>
      </w:pPr>
      <w:r>
        <w:rPr/>
        <w:t>P1, P2, ... Pn — номинальная процентная ставка по n-й сделке, установленная в договоре на предоставление жилищного (ипотечного жилищного) кредита (дополнительном соглашении);</w:t>
      </w:r>
    </w:p>
    <w:p>
      <w:pPr>
        <w:pStyle w:val="MainText"/>
        <w:rPr/>
      </w:pPr>
      <w:r>
        <w:rPr/>
        <w:t>T1, T2, ... Tn — срок в соответствии с договором (дополнительным соглашением) на предоставление жилищного (ипотечного жилищного) кредита, заключенным с начала года по n-й сделке;</w:t>
      </w:r>
    </w:p>
    <w:p>
      <w:pPr>
        <w:pStyle w:val="MainText"/>
        <w:rPr/>
      </w:pPr>
      <w:r>
        <w:rPr/>
        <w:t>V1, V2, ... Vn — объем выданного в отчетном периоде кредита в соответствии с договором (дополнительным соглашением) на предоставление жилищного (ипотечного жилищного) кредита по n-й сделке (нарастающим итогом с начала года). Объем кредита исчисляется в тысячах рублей.</w:t>
      </w:r>
    </w:p>
    <w:p>
      <w:pPr>
        <w:pStyle w:val="MainText"/>
        <w:rPr/>
      </w:pPr>
      <w:r>
        <w:rPr/>
        <w:t>В случае изменения в соответствии с дополнительным соглашением процентной ставки по кредитам, выданным в течение отчетного периода, в расчет средневзвешенной ставки включается величина процентной ставки до и после изменения, взвешенная на срок и объем выданного кредита.</w:t>
      </w:r>
    </w:p>
    <w:p>
      <w:pPr>
        <w:pStyle w:val="MainText"/>
        <w:rPr/>
      </w:pPr>
      <w:r>
        <w:rPr/>
        <w:t>2.10. В подразделе “Справочно” отражается задолженность по приобретенным кредитной организацией на отчетную дату правам требования по договорам на предоставление заемщикам-резидентам ипотечных жилищных кредитов в части основного долга и процентов, в том числе удостоверенным закладной (далее — права требования по ипотечным жилищным кредитам).</w:t>
      </w:r>
    </w:p>
    <w:p>
      <w:pPr>
        <w:pStyle w:val="MainText"/>
        <w:spacing w:before="0" w:after="120"/>
        <w:rPr/>
      </w:pPr>
      <w:r>
        <w:rPr/>
        <w:t>2.11. При заполнении строк и граф используются следующие группировки балансовых счетов:</w:t>
      </w:r>
    </w:p>
    <w:tbl>
      <w:tblPr>
        <w:tblW w:w="10989" w:type="dxa"/>
        <w:jc w:val="center"/>
        <w:tblInd w:w="0" w:type="dxa"/>
        <w:tblLayout w:type="fixed"/>
        <w:tblCellMar>
          <w:top w:w="0" w:type="dxa"/>
          <w:start w:w="28" w:type="dxa"/>
          <w:bottom w:w="0" w:type="dxa"/>
          <w:end w:w="28" w:type="dxa"/>
        </w:tblCellMar>
      </w:tblPr>
      <w:tblGrid>
        <w:gridCol w:w="3663"/>
        <w:gridCol w:w="3663"/>
        <w:gridCol w:w="3663"/>
      </w:tblGrid>
      <w:tr>
        <w:trPr>
          <w:tblHeader w:val="true"/>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Раздел (строки)</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Графы</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Балансовые счета</w:t>
            </w:r>
          </w:p>
        </w:tc>
      </w:tr>
      <w:tr>
        <w:trPr>
          <w:tblHeader w:val="true"/>
          <w:cantSplit/>
        </w:trPr>
        <w:tc>
          <w:tcPr>
            <w:tcW w:w="3663" w:type="dxa"/>
            <w:tcBorders>
              <w:top w:val="single" w:sz="6" w:space="0" w:color="000000"/>
              <w:start w:val="single" w:sz="6" w:space="0" w:color="000000"/>
              <w:end w:val="single" w:sz="6" w:space="0" w:color="000000"/>
            </w:tcBorders>
          </w:tcPr>
          <w:p>
            <w:pPr>
              <w:pStyle w:val="MainText"/>
              <w:keepNext w:val="true"/>
              <w:ind w:hanging="0" w:end="0"/>
              <w:jc w:val="center"/>
              <w:rPr/>
            </w:pPr>
            <w:r>
              <w:rPr/>
              <w:t>1</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3663" w:type="dxa"/>
            <w:tcBorders>
              <w:top w:val="single" w:sz="6" w:space="0" w:color="000000"/>
              <w:start w:val="single" w:sz="6" w:space="0" w:color="000000"/>
              <w:end w:val="single" w:sz="6" w:space="0" w:color="000000"/>
            </w:tcBorders>
          </w:tcPr>
          <w:p>
            <w:pPr>
              <w:pStyle w:val="MainText"/>
              <w:ind w:hanging="0" w:end="0"/>
              <w:jc w:val="center"/>
              <w:rPr/>
            </w:pPr>
            <w:r>
              <w:rPr/>
              <w:t>Раздел 1 строки 1, 1.1</w:t>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5, 7</w:t>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45502—45509</w:t>
            </w:r>
          </w:p>
        </w:tc>
      </w:tr>
      <w:tr>
        <w:trPr>
          <w:cantSplit/>
        </w:trPr>
        <w:tc>
          <w:tcPr>
            <w:tcW w:w="3663" w:type="dxa"/>
            <w:tcBorders>
              <w:start w:val="single" w:sz="6" w:space="0" w:color="000000"/>
              <w:end w:val="single" w:sz="6" w:space="0" w:color="000000"/>
            </w:tcBorders>
          </w:tcPr>
          <w:p>
            <w:pPr>
              <w:pStyle w:val="MainText"/>
              <w:snapToGrid w:val="false"/>
              <w:ind w:hanging="0" w:end="0"/>
              <w:jc w:val="center"/>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8, 9</w:t>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45502—45509, 45815</w:t>
            </w:r>
          </w:p>
        </w:tc>
      </w:tr>
      <w:tr>
        <w:trPr>
          <w:cantSplit/>
        </w:trPr>
        <w:tc>
          <w:tcPr>
            <w:tcW w:w="3663" w:type="dxa"/>
            <w:tcBorders>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10, 11</w:t>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45815</w:t>
            </w:r>
          </w:p>
        </w:tc>
      </w:tr>
      <w:tr>
        <w:trPr>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Справочно</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47801</w:t>
            </w:r>
          </w:p>
        </w:tc>
      </w:tr>
    </w:tbl>
    <w:p>
      <w:pPr>
        <w:pStyle w:val="MainText"/>
        <w:spacing w:before="120" w:after="0"/>
        <w:rPr/>
      </w:pPr>
      <w:r>
        <w:rPr/>
        <w:t>3. Раздел 2 Отчета заполняется в следующем порядке.</w:t>
      </w:r>
    </w:p>
    <w:p>
      <w:pPr>
        <w:pStyle w:val="MainText"/>
        <w:rPr/>
      </w:pPr>
      <w:r>
        <w:rPr/>
        <w:t>3.1. В разделе отражаются сведения о досрочном погашении ипотечных жилищных кредитов (прав требования по ипотечным жилищным кредитам), сформированные в разрезе субъектов Российской Федерации по кодам объектов административно-территориального деления ОКАТО путем группировки данных по месту нахождения заемщиков. Информация по автономным округам отражается отдельно по каждому автономному округу, а также в составе субъектов Российской Федерации, к которым они относятся.</w:t>
      </w:r>
    </w:p>
    <w:p>
      <w:pPr>
        <w:pStyle w:val="MainText"/>
        <w:rPr/>
      </w:pPr>
      <w:r>
        <w:rPr/>
        <w:t>3.2. Данные о суммах досрочно погашенных (частично или полностью) ипотечных жилищных кредитов (прав требования по ипотечным жилищным кредитам) отражаются следующим образом:</w:t>
      </w:r>
    </w:p>
    <w:p>
      <w:pPr>
        <w:pStyle w:val="MainText"/>
        <w:rPr/>
      </w:pPr>
      <w:r>
        <w:rPr/>
        <w:t>в строке 1 — независимо от даты выдачи ипотечных жилищных кредитов (приобретения прав требования по ипотечным жилищным кредитам);</w:t>
      </w:r>
    </w:p>
    <w:p>
      <w:pPr>
        <w:pStyle w:val="MainText"/>
        <w:rPr/>
      </w:pPr>
      <w:r>
        <w:rPr/>
        <w:t>в строке 1.1 — по ипотечным жилищным кредитам (правам требования по ипотечным жилищным кредитам), выданным (приобретенным) в отчетном периоде.</w:t>
      </w:r>
    </w:p>
    <w:p>
      <w:pPr>
        <w:pStyle w:val="MainText"/>
        <w:rPr/>
      </w:pPr>
      <w:r>
        <w:rPr/>
        <w:t>Данные указываются в тысячах рублей без десятичных знаков.</w:t>
      </w:r>
    </w:p>
    <w:p>
      <w:pPr>
        <w:pStyle w:val="MainText"/>
        <w:rPr/>
      </w:pPr>
      <w:r>
        <w:rPr/>
        <w:t>3.3. В графах 5 и 9 указывается сумма внесенных заемщиками средств, превышающая предусмотренную договором на предоставление ипотечного жилищного кредита (дополнительным соглашением) величину ежегодных (полугодовых) выплат в счет погашения основной ссудной задолженности по ипотечному жилищному кредиту, не включая суммы, погашенные за счет субсидий, перечисленных на счета заемщиков (балансовый счет № 40817 “Физические лица”) из федерального и (или) местного бюджетов (далее — государственные субсидии) в счет погашения основной ссудной задолженности по ипотечному жилищному кредиту.</w:t>
      </w:r>
    </w:p>
    <w:p>
      <w:pPr>
        <w:pStyle w:val="MainText"/>
        <w:rPr/>
      </w:pPr>
      <w:r>
        <w:rPr/>
        <w:t>В случае изменения графика выплат фактические выплаты следует сравнивать с графиком погашения, действовавшим на начало отчетного периода.</w:t>
      </w:r>
    </w:p>
    <w:p>
      <w:pPr>
        <w:pStyle w:val="MainText"/>
        <w:rPr/>
      </w:pPr>
      <w:r>
        <w:rPr/>
        <w:t>3.4. В графах 6 и 10 указывается сумма, погашенная за счет ипотечного жилищного кредита, полученного в другой кредитной организации. В случае досрочного погашения ипотечных жилищных кредитов (прав требования по ипотечным жилищным кредитам) заемщиками, проживающими на территории одного субъекта Российской Федерации, за счет средств, полученных в разных кредитных организациях, данные по каждой кредитной организации заполняются отдельной строкой.</w:t>
      </w:r>
    </w:p>
    <w:p>
      <w:pPr>
        <w:pStyle w:val="MainText"/>
        <w:rPr/>
      </w:pPr>
      <w:r>
        <w:rPr/>
        <w:t>В случае конвертации кредитной организацией ранее выданных в иностранной валюте ипотечных жилищных кредитов сумма ипотечного жилищного кредита, предоставленного заемщику в рублях, отражается в разделе 1 Отчета как вновь выданный кредит, сумма погашенного ипотечного жилищного кредита в иностранной валюте указывается в графе 10.</w:t>
      </w:r>
    </w:p>
    <w:p>
      <w:pPr>
        <w:pStyle w:val="MainText"/>
        <w:rPr/>
      </w:pPr>
      <w:r>
        <w:rPr/>
        <w:t>3.5. В графах 7 и 11 указывается сумма, погашенная за счет средств, полученных от реализации заложенной недвижимости.</w:t>
      </w:r>
    </w:p>
    <w:p>
      <w:pPr>
        <w:pStyle w:val="MainText"/>
        <w:rPr/>
      </w:pPr>
      <w:r>
        <w:rPr/>
        <w:t>3.6. В графах 8 и 12 указываются прочие источники досрочного погашения ипотечных жилищных кредитов (прав требования по ипотечным жилищным кредитам), в том числе государственные субсидии.</w:t>
      </w:r>
    </w:p>
    <w:p>
      <w:pPr>
        <w:pStyle w:val="MainText"/>
        <w:rPr/>
      </w:pPr>
      <w:r>
        <w:rPr/>
        <w:t>4. Раздел 3 Отчета заполняется в следующем порядке.</w:t>
      </w:r>
    </w:p>
    <w:p>
      <w:pPr>
        <w:pStyle w:val="MainText"/>
        <w:rPr/>
      </w:pPr>
      <w:r>
        <w:rPr/>
        <w:t>4.1. В строке 1 отражается информация об осуществлении кредитной организацией эмиссии облигаций с ипотечным покрытием в порядке, установленном Федеральным законом от 11 ноября 2003 года № 152-ФЗ “Об ипотечных ценных бумагах” (Собрание законодательства Российской Федерации, 2003, № 46, ст. 4448; 2005, № 1, ст. 19; 2006, № 31, ст. 3440).</w:t>
      </w:r>
    </w:p>
    <w:p>
      <w:pPr>
        <w:pStyle w:val="MainText"/>
        <w:rPr/>
      </w:pPr>
      <w:r>
        <w:rPr/>
        <w:t>4.2. В строке 2 отражается информация о продаже кредитной организацией ипотечных жилищных кредитов (уступке прав требования по ипотечным жилищным кредитам) другой организации. В случае рефинансирования ипотечных жилищных кредитов путем продажи пула кредитов нескольким организациям данные по каждой организации заполняются отдельной строкой.</w:t>
      </w:r>
    </w:p>
    <w:p>
      <w:pPr>
        <w:pStyle w:val="MainText"/>
        <w:rPr/>
      </w:pPr>
      <w:r>
        <w:rPr/>
        <w:t>4.3. В строке 3 отражается информация о сделках по переуступке прав требования по ипотечным жилищным кредитам специализированным организациям с выпуском на их основе облигаций с ипотечным покрытием или ценных бумаг в соответствии с законодательством страны места нахождения специализированной организации.</w:t>
      </w:r>
    </w:p>
    <w:p>
      <w:pPr>
        <w:pStyle w:val="MainText"/>
        <w:rPr/>
      </w:pPr>
      <w:r>
        <w:rPr/>
        <w:t>4.4. В строке 4 отражается информация о сделках по переуступке прав требования по ипотечным жилищным кредитам управляющим компаниям паевых инвестиционных фондов (УК ПИФов) и Общим фондам банковского управления (далее — ОФБУ).</w:t>
      </w:r>
    </w:p>
    <w:p>
      <w:pPr>
        <w:pStyle w:val="MainText"/>
        <w:rPr/>
      </w:pPr>
      <w:r>
        <w:rPr/>
        <w:t>4.5. В строке 5 отражается информация о сделке, связанной с хеджированием кредитного риска по определенному пулу ипотечных жилищных кредитов с помощью производных финансовых инструментов.</w:t>
      </w:r>
    </w:p>
    <w:p>
      <w:pPr>
        <w:pStyle w:val="MainText"/>
        <w:rPr/>
      </w:pPr>
      <w:r>
        <w:rPr/>
        <w:t>4.6. Графы 3 и 4 (за исключением строки 4) заполняются по организациям, получившим права требования в результате уступки прав требования по договору на предоставление ипотечного жилищного кредита:</w:t>
      </w:r>
    </w:p>
    <w:p>
      <w:pPr>
        <w:pStyle w:val="MainText"/>
        <w:rPr/>
      </w:pPr>
      <w:r>
        <w:rPr/>
        <w:t>в графе 3 — полное фирменное наименование организации, соответствующее указанному в учредительных документах;</w:t>
      </w:r>
    </w:p>
    <w:p>
      <w:pPr>
        <w:pStyle w:val="MainText"/>
        <w:rPr/>
      </w:pPr>
      <w:r>
        <w:rPr/>
        <w:t>в графе 4 указывается:</w:t>
      </w:r>
    </w:p>
    <w:p>
      <w:pPr>
        <w:pStyle w:val="MainText"/>
        <w:rPr/>
      </w:pPr>
      <w:r>
        <w:rPr/>
        <w:t>для юридических лиц (кроме кредитных организаций), зарегистрированных на территории Российской Федерации, — основной государственный регистрационный номер (ОГРН);</w:t>
      </w:r>
    </w:p>
    <w:p>
      <w:pPr>
        <w:pStyle w:val="MainText"/>
        <w:rPr/>
      </w:pPr>
      <w:r>
        <w:rPr/>
        <w:t>для кредитных организаций (кроме кредитных организаций — доверительных управляющих) — регистрационный номер кредитной организации в соответствии с Книгой государственной регистрации кредитных организаций;</w:t>
      </w:r>
    </w:p>
    <w:p>
      <w:pPr>
        <w:pStyle w:val="MainText"/>
        <w:rPr/>
      </w:pPr>
      <w:r>
        <w:rPr/>
        <w:t>для кредитных организаций — доверительных управляющих — регистрационный номер ОФБУ в соответствии с Реестром общих фондов банковского управления;</w:t>
      </w:r>
    </w:p>
    <w:p>
      <w:pPr>
        <w:pStyle w:val="MainText"/>
        <w:rPr/>
      </w:pPr>
      <w:r>
        <w:rPr/>
        <w:t>для юридических лиц, зарегистрированных на территории иностранных государств, — код страны по Общероссийскому классификатору стран мира (ОКСМ).</w:t>
      </w:r>
    </w:p>
    <w:p>
      <w:pPr>
        <w:pStyle w:val="MainText"/>
        <w:rPr/>
      </w:pPr>
      <w:r>
        <w:rPr/>
        <w:t>В графах 3 и 4 строки 4 отражается информация об организациях — продавцах защиты от кредитного риска.</w:t>
      </w:r>
    </w:p>
    <w:p>
      <w:pPr>
        <w:pStyle w:val="MainText"/>
        <w:rPr/>
      </w:pPr>
      <w:r>
        <w:rPr/>
        <w:t>4.7. В графах 5 и 6 отражаются ипотечные жилищные кредиты (права требования по ипотечным жилищным кредитам), которые использовались в качестве обеспечения выпуска облигаций с ипотечным покрытием (строка 1), были проданы в отчетном периоде другой организации (строки 2—4) или кредитный риск по которым был передан третьему лицу (строка 5).</w:t>
      </w:r>
    </w:p>
    <w:p>
      <w:pPr>
        <w:pStyle w:val="MainText"/>
        <w:rPr/>
      </w:pPr>
      <w:r>
        <w:rPr/>
        <w:t>4.8. В графах 7 и 8 отражается номинальная стоимость выпуска ценных бумаг на дату размещения.</w:t>
      </w:r>
    </w:p>
    <w:p>
      <w:pPr>
        <w:pStyle w:val="MainText"/>
        <w:rPr/>
      </w:pPr>
      <w:r>
        <w:rPr/>
        <w:t>4.9. В графах 10 и 11 отражается средневзвешенный срок или средневзвешенная ставка по привлеченным кредитной организацией денежным средствам.</w:t>
      </w:r>
    </w:p>
    <w:p>
      <w:pPr>
        <w:pStyle w:val="MainText"/>
        <w:rPr/>
      </w:pPr>
      <w:r>
        <w:rPr/>
        <w:t>При расчете средневзвешенной ставки и средневзвешенного срока следует руководствоваться приведенными в подпунктах 2.8 и 2.9 пункта 2 настоящего Порядка формулами. При этом в качестве весов используется объем привлеченных кредитной организацией средств.</w:t>
      </w:r>
    </w:p>
    <w:p>
      <w:pPr>
        <w:pStyle w:val="MainText"/>
        <w:rPr/>
      </w:pPr>
      <w:r>
        <w:rPr/>
        <w:t>В качестве процентной ставки при размещении облигаций с ипотечным покрытием по номинальной стоимости используется ставка купона на дату размещения или доходность к ожидаемому сроку погашения облигаций при их размещении по цене, отличной от номинала.</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ПРОЦЕНТНЫЕ СТАВКИ ПО МЕЖБАНКОВСКИМ КРЕДИТАМ </w:t>
        <w:br/>
        <w:t>по состоянию на “</w:t>
      </w:r>
      <w:r>
        <w:rPr/>
        <w:t>___” __________ _____</w:t>
      </w:r>
      <w:r>
        <w:rPr>
          <w:b w:val="false"/>
        </w:rPr>
        <w:t xml:space="preserve"> </w:t>
      </w:r>
      <w:r>
        <w:rPr/>
        <w:t>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0409325</w:t>
        <w:br/>
        <w:t>Суточная</w:t>
      </w:r>
    </w:p>
    <w:tbl>
      <w:tblPr>
        <w:tblW w:w="10986" w:type="dxa"/>
        <w:jc w:val="center"/>
        <w:tblInd w:w="0" w:type="dxa"/>
        <w:tblLayout w:type="fixed"/>
        <w:tblCellMar>
          <w:top w:w="0" w:type="dxa"/>
          <w:start w:w="28" w:type="dxa"/>
          <w:bottom w:w="0" w:type="dxa"/>
          <w:end w:w="28" w:type="dxa"/>
        </w:tblCellMar>
      </w:tblPr>
      <w:tblGrid>
        <w:gridCol w:w="1831"/>
        <w:gridCol w:w="1831"/>
        <w:gridCol w:w="1831"/>
        <w:gridCol w:w="1831"/>
        <w:gridCol w:w="2281"/>
        <w:gridCol w:w="1381"/>
      </w:tblGrid>
      <w:tr>
        <w:trPr>
          <w:cantSplit/>
        </w:trPr>
        <w:tc>
          <w:tcPr>
            <w:tcW w:w="10986" w:type="dxa"/>
            <w:gridSpan w:val="6"/>
            <w:tcBorders>
              <w:top w:val="single" w:sz="6" w:space="0" w:color="000000"/>
              <w:start w:val="single" w:sz="6" w:space="0" w:color="000000"/>
              <w:end w:val="single" w:sz="6" w:space="0" w:color="000000"/>
            </w:tcBorders>
          </w:tcPr>
          <w:p>
            <w:pPr>
              <w:pStyle w:val="MainText"/>
              <w:ind w:hanging="0" w:end="0"/>
              <w:jc w:val="center"/>
              <w:rPr/>
            </w:pPr>
            <w:r>
              <w:rPr/>
              <w:t>Для межбанковских кредитов в российских рублях</w:t>
            </w:r>
          </w:p>
        </w:tc>
      </w:tr>
      <w:tr>
        <w:trPr>
          <w:cantSplit/>
        </w:trPr>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Срок кредита</w:t>
            </w:r>
          </w:p>
        </w:tc>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Заявленная ставка</w:t>
            </w:r>
          </w:p>
        </w:tc>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Заявленная ставка</w:t>
            </w:r>
          </w:p>
        </w:tc>
        <w:tc>
          <w:tcPr>
            <w:tcW w:w="5493"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Фактическое предоставление кредитов за отчетный день</w:t>
            </w:r>
          </w:p>
        </w:tc>
      </w:tr>
      <w:tr>
        <w:trPr>
          <w:cantSplit/>
        </w:trPr>
        <w:tc>
          <w:tcPr>
            <w:tcW w:w="183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831"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привлечения кредитов на рабочий день, следующий за отчетным, процент годовых</w:t>
            </w:r>
          </w:p>
        </w:tc>
        <w:tc>
          <w:tcPr>
            <w:tcW w:w="1831"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предоставления кредитов на рабочий день, следующий за отчетным, процент годовых</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средняя ставка, процент годовых</w:t>
            </w:r>
          </w:p>
        </w:tc>
        <w:tc>
          <w:tcPr>
            <w:tcW w:w="22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общий объем кредитования, млн. руб.</w:t>
            </w:r>
          </w:p>
        </w:tc>
        <w:tc>
          <w:tcPr>
            <w:tcW w:w="13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средний срок, дней</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22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3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день</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2 до 7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8 до 30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31 до 90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91 до 180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181 дня до 1 года</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6" w:type="dxa"/>
            <w:gridSpan w:val="6"/>
            <w:tcBorders>
              <w:top w:val="single" w:sz="6" w:space="0" w:color="000000"/>
              <w:start w:val="single" w:sz="6" w:space="0" w:color="000000"/>
              <w:end w:val="single" w:sz="6" w:space="0" w:color="000000"/>
            </w:tcBorders>
          </w:tcPr>
          <w:p>
            <w:pPr>
              <w:pStyle w:val="MainText"/>
              <w:ind w:hanging="0" w:end="0"/>
              <w:jc w:val="center"/>
              <w:rPr/>
            </w:pPr>
            <w:r>
              <w:rPr/>
              <w:t>Для межбанковских кредитов в долларах США</w:t>
            </w:r>
          </w:p>
        </w:tc>
      </w:tr>
      <w:tr>
        <w:trPr>
          <w:cantSplit/>
        </w:trPr>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Срок кредита</w:t>
            </w:r>
          </w:p>
        </w:tc>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Заявленная ставка</w:t>
            </w:r>
          </w:p>
        </w:tc>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Заявленная ставка</w:t>
            </w:r>
          </w:p>
        </w:tc>
        <w:tc>
          <w:tcPr>
            <w:tcW w:w="5493"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Фактическое предоставление кредитов за отчетный день</w:t>
            </w:r>
          </w:p>
        </w:tc>
      </w:tr>
      <w:tr>
        <w:trPr>
          <w:cantSplit/>
        </w:trPr>
        <w:tc>
          <w:tcPr>
            <w:tcW w:w="183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831"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привлечения кредитов на рабочий день, следующий за отчетным, процент годовых</w:t>
            </w:r>
          </w:p>
        </w:tc>
        <w:tc>
          <w:tcPr>
            <w:tcW w:w="1831"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предоставления кредитов на рабочий день, следующий за отчетным, процент годовых</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средняя ставка, процент годовых</w:t>
            </w:r>
          </w:p>
        </w:tc>
        <w:tc>
          <w:tcPr>
            <w:tcW w:w="22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общий объем кредитования, тыс. долл. США</w:t>
            </w:r>
          </w:p>
        </w:tc>
        <w:tc>
          <w:tcPr>
            <w:tcW w:w="13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средний срок, дней</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22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3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день</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2 до 7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8 до 30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31 до 90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91 до 180 дней</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181 дня до 1 года</w:t>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0409325 “Процентные ставки по межбанковским кредитам”</w:t>
      </w:r>
    </w:p>
    <w:p>
      <w:pPr>
        <w:pStyle w:val="MainText"/>
        <w:rPr/>
      </w:pPr>
      <w:r>
        <w:rPr/>
        <w:t>1. Отчетность по форме 0409325 “Процентные ставки по межбанковским кредитам” (далее — Отчет) представляется кредитными организациями, являющимися ведущими операторами межбанковского кредитного рынка, ежедневно в Банк России не позднее 18 часов 00 минут по московскому времени дня представления отчетности. Отчет составляется в установленном Банком России порядке также в случае, когда межбанковские кредиты не предоставлялись. Перечень кредитных организаций, представляющих Отчет, утверждается Комитетом по денежно-кредитной политике Банка России и доводится до сведения кредитных организаций.</w:t>
      </w:r>
    </w:p>
    <w:p>
      <w:pPr>
        <w:pStyle w:val="MainText"/>
        <w:rPr/>
      </w:pPr>
      <w:r>
        <w:rPr/>
        <w:t>2. Ставки межбанковских кредитов устанавливаются (рассчитываются) по отдельным срокам кредитования, соответствующим балансовым группировкам по срокам данных операций (1 день, от 2 до 7 дней, от 8 до 30 дней, от 31 до 90 дней, от 91 до 180 дней, от 181 дня до 1 года).</w:t>
      </w:r>
    </w:p>
    <w:p>
      <w:pPr>
        <w:pStyle w:val="MainText"/>
        <w:rPr/>
      </w:pPr>
      <w:r>
        <w:rPr/>
        <w:t>Для каждого из этих сроков средняя ставка по фактически предоставленным межбанковским кредитам рассчитывается как средневзвешенная по объемам предоставленных межбанковских кредитов по формуле:</w:t>
      </w:r>
    </w:p>
    <w:p>
      <w:pPr>
        <w:pStyle w:val="MainTextBezOtstupa"/>
        <w:spacing w:before="120" w:after="120"/>
        <w:ind w:start="567" w:end="0"/>
        <w:jc w:val="start"/>
        <w:rPr/>
      </w:pPr>
      <w:r>
        <w:rPr/>
        <w:t>Pav = (P1 x V1 + P2 x V2 + … + Pn x Vn) : (V1 + V2 + ... + Vn),</w:t>
      </w:r>
    </w:p>
    <w:p>
      <w:pPr>
        <w:pStyle w:val="MainText"/>
        <w:rPr/>
      </w:pPr>
      <w:r>
        <w:rPr/>
        <w:t>где:</w:t>
      </w:r>
    </w:p>
    <w:p>
      <w:pPr>
        <w:pStyle w:val="MainText"/>
        <w:rPr/>
      </w:pPr>
      <w:r>
        <w:rPr/>
        <w:t>P1, P2, ... Pn — номинальная процентная ставка по n-й сделке межбанковского кредитования;</w:t>
      </w:r>
    </w:p>
    <w:p>
      <w:pPr>
        <w:pStyle w:val="MainText"/>
        <w:rPr/>
      </w:pPr>
      <w:r>
        <w:rPr/>
        <w:t>V1,V 2, ... Vn — объем кредита по n-й сделке межбанковского кредитования.</w:t>
      </w:r>
    </w:p>
    <w:p>
      <w:pPr>
        <w:pStyle w:val="MainText"/>
        <w:rPr/>
      </w:pPr>
      <w:r>
        <w:rPr/>
        <w:t>Величина средней ставки указывается в процентах годовых с точностью до двух десятичных знаков после запятой.</w:t>
      </w:r>
    </w:p>
    <w:p>
      <w:pPr>
        <w:pStyle w:val="MainText"/>
        <w:rPr/>
      </w:pPr>
      <w:r>
        <w:rPr/>
        <w:t>Для каждого из сроков кредитования средний срок по фактически предоставленным межбанковским кредитам рассчитывается как средневзвешенный по объемам предоставленных межбанковских кредитов показатель по формуле:</w:t>
      </w:r>
    </w:p>
    <w:p>
      <w:pPr>
        <w:pStyle w:val="MainTextBezOtstupa"/>
        <w:spacing w:before="120" w:after="120"/>
        <w:ind w:start="567" w:end="0"/>
        <w:jc w:val="start"/>
        <w:rPr/>
      </w:pPr>
      <w:r>
        <w:rPr/>
        <w:t>Tav = (T1 x V1 + T2 x V2 + ... + Tn x Vn) : (V1 + V2 + ... + Vn),</w:t>
      </w:r>
    </w:p>
    <w:p>
      <w:pPr>
        <w:pStyle w:val="MainText"/>
        <w:rPr/>
      </w:pPr>
      <w:r>
        <w:rPr/>
        <w:t>где:</w:t>
      </w:r>
    </w:p>
    <w:p>
      <w:pPr>
        <w:pStyle w:val="MainText"/>
        <w:rPr/>
      </w:pPr>
      <w:r>
        <w:rPr/>
        <w:t>T1, T2, ... Tn — срок, на который предоставлен межбанковский кредит по n-й сделке межбанковского кредитования;</w:t>
      </w:r>
    </w:p>
    <w:p>
      <w:pPr>
        <w:pStyle w:val="MainText"/>
        <w:rPr/>
      </w:pPr>
      <w:r>
        <w:rPr/>
        <w:t>V1, V 2, ... Vn — объем кредита по n-й сделке межбанковского кредитования.</w:t>
      </w:r>
    </w:p>
    <w:p>
      <w:pPr>
        <w:pStyle w:val="MainText"/>
        <w:rPr/>
      </w:pPr>
      <w:r>
        <w:rPr/>
        <w:t>3. Кредитная организация сообщает данные об объеме предоставленных межбанковских кредитов в рублях и долларах США в разрезе сроков кредитования, которые используются для расчетов средней ставки межбанковских кредитов по группе уполномоченных банков.</w:t>
      </w:r>
    </w:p>
    <w:p>
      <w:pPr>
        <w:pStyle w:val="MainText"/>
        <w:rPr/>
      </w:pPr>
      <w:r>
        <w:rPr/>
        <w:t>Объем межбанковских кредитов в рублях исчисляется в миллионах рублей с точностью до двух десятичных знаков после запятой.</w:t>
      </w:r>
    </w:p>
    <w:p>
      <w:pPr>
        <w:pStyle w:val="MainText"/>
        <w:rPr/>
      </w:pPr>
      <w:r>
        <w:rPr/>
        <w:t>Объем межбанковских кредитов в долларах США исчисляется в тысячах долларов США с точностью до двух десятичных знаков после запятой.</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ДАННЫЕ О ЕЖЕДНЕВНЫХ ОСТАТКАХ ПОДЛЕЖАЩИХ СТРАХОВАНИЮ ДЕНЕЖНЫХ СРЕДСТВ ФИЗИЧЕСКИХ ЛИЦ, РАЗМЕЩЕННЫХ ВО ВКЛАДЫ </w:t>
        <w:br/>
        <w:t>по состоянию на “</w:t>
      </w:r>
      <w:r>
        <w:rPr/>
        <w:t>___” __________ _____</w:t>
      </w:r>
      <w:r>
        <w:rPr>
          <w:b w:val="false"/>
        </w:rPr>
        <w:t xml:space="preserve"> </w:t>
      </w:r>
      <w:r>
        <w:rPr/>
        <w:t>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0" w:after="60"/>
        <w:jc w:val="end"/>
        <w:rPr/>
      </w:pPr>
      <w:r>
        <w:rPr/>
        <w:t>Код формы по ОКУД 0409345</w:t>
        <w:br/>
        <w:t>Квартальная</w:t>
        <w:br/>
        <w:t>тыс. руб.</w:t>
      </w:r>
    </w:p>
    <w:tbl>
      <w:tblPr>
        <w:tblW w:w="16235" w:type="dxa"/>
        <w:jc w:val="center"/>
        <w:tblInd w:w="0" w:type="dxa"/>
        <w:tblLayout w:type="fixed"/>
        <w:tblCellMar>
          <w:top w:w="0" w:type="dxa"/>
          <w:start w:w="28" w:type="dxa"/>
          <w:bottom w:w="0" w:type="dxa"/>
          <w:end w:w="28" w:type="dxa"/>
        </w:tblCellMar>
      </w:tblPr>
      <w:tblGrid>
        <w:gridCol w:w="2087"/>
        <w:gridCol w:w="786"/>
        <w:gridCol w:w="786"/>
        <w:gridCol w:w="786"/>
        <w:gridCol w:w="786"/>
        <w:gridCol w:w="786"/>
        <w:gridCol w:w="786"/>
        <w:gridCol w:w="786"/>
        <w:gridCol w:w="786"/>
        <w:gridCol w:w="786"/>
        <w:gridCol w:w="786"/>
        <w:gridCol w:w="786"/>
        <w:gridCol w:w="786"/>
        <w:gridCol w:w="786"/>
        <w:gridCol w:w="786"/>
        <w:gridCol w:w="786"/>
        <w:gridCol w:w="786"/>
        <w:gridCol w:w="786"/>
        <w:gridCol w:w="786"/>
      </w:tblGrid>
      <w:tr>
        <w:trPr>
          <w:tblHeader w:val="true"/>
          <w:cantSplit/>
        </w:trPr>
        <w:tc>
          <w:tcPr>
            <w:tcW w:w="208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Дата</w:t>
            </w:r>
          </w:p>
        </w:tc>
        <w:tc>
          <w:tcPr>
            <w:tcW w:w="13362" w:type="dxa"/>
            <w:gridSpan w:val="1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Перечень балансовых счетов</w:t>
            </w:r>
          </w:p>
        </w:tc>
        <w:tc>
          <w:tcPr>
            <w:tcW w:w="78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Итого</w:t>
            </w:r>
          </w:p>
        </w:tc>
      </w:tr>
      <w:tr>
        <w:trPr>
          <w:tblHeader w:val="true"/>
          <w:cantSplit/>
        </w:trPr>
        <w:tc>
          <w:tcPr>
            <w:tcW w:w="208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40803</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40806</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40809</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40812</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40813</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40814</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40815</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40817</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40818</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40819</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40820</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423</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426</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47603</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47605</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522</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52404</w:t>
            </w:r>
          </w:p>
        </w:tc>
        <w:tc>
          <w:tcPr>
            <w:tcW w:w="786"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вкладов</w:t>
            </w:r>
          </w:p>
        </w:tc>
      </w:tr>
      <w:tr>
        <w:trPr>
          <w:tblHeader w:val="true"/>
          <w:cantSplit/>
        </w:trPr>
        <w:tc>
          <w:tcPr>
            <w:tcW w:w="208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16</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17</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18</w:t>
            </w:r>
          </w:p>
        </w:tc>
        <w:tc>
          <w:tcPr>
            <w:tcW w:w="7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19</w:t>
            </w:r>
          </w:p>
        </w:tc>
      </w:tr>
      <w:tr>
        <w:trPr>
          <w:cantSplit/>
        </w:trPr>
        <w:tc>
          <w:tcPr>
            <w:tcW w:w="208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 01.хх.</w:t>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08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 02.хх.</w:t>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08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 —“—</w:t>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08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 1-е число квартала, следующего за отчетным</w:t>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8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rPr/>
      </w:pPr>
      <w:r>
        <w:rPr/>
        <w:t>Справочно:</w:t>
      </w:r>
    </w:p>
    <w:tbl>
      <w:tblPr>
        <w:tblW w:w="8250" w:type="dxa"/>
        <w:jc w:val="start"/>
        <w:tblInd w:w="0" w:type="dxa"/>
        <w:tblLayout w:type="fixed"/>
        <w:tblCellMar>
          <w:top w:w="0" w:type="dxa"/>
          <w:start w:w="28" w:type="dxa"/>
          <w:bottom w:w="0" w:type="dxa"/>
          <w:end w:w="28" w:type="dxa"/>
        </w:tblCellMar>
      </w:tblPr>
      <w:tblGrid>
        <w:gridCol w:w="3289"/>
        <w:gridCol w:w="1701"/>
        <w:gridCol w:w="3260"/>
      </w:tblGrid>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Группировка счетов по размеру остатка, тыс. руб.</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Количество счетов, шт.</w:t>
            </w:r>
          </w:p>
        </w:tc>
        <w:tc>
          <w:tcPr>
            <w:tcW w:w="32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Общая сумма обязательств по вкладам, тыс. руб.</w:t>
            </w:r>
          </w:p>
        </w:tc>
      </w:tr>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32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r>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 100 (включительно)</w:t>
            </w:r>
          </w:p>
        </w:tc>
        <w:tc>
          <w:tcPr>
            <w:tcW w:w="17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100 до 200 (включительно)</w:t>
            </w:r>
          </w:p>
        </w:tc>
        <w:tc>
          <w:tcPr>
            <w:tcW w:w="17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200 до 400 (включительно)</w:t>
            </w:r>
          </w:p>
        </w:tc>
        <w:tc>
          <w:tcPr>
            <w:tcW w:w="17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400 до 700 (включительно)</w:t>
            </w:r>
          </w:p>
        </w:tc>
        <w:tc>
          <w:tcPr>
            <w:tcW w:w="17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700 до 1000 (включительно)</w:t>
            </w:r>
          </w:p>
        </w:tc>
        <w:tc>
          <w:tcPr>
            <w:tcW w:w="17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2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Свыше 1000</w:t>
            </w:r>
          </w:p>
        </w:tc>
        <w:tc>
          <w:tcPr>
            <w:tcW w:w="17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Главный бухгалтер</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0409345 “Данные о ежедневных остатках подлежащих страхованию денежных средств физических лиц, размещенных во вклады”</w:t>
      </w:r>
    </w:p>
    <w:p>
      <w:pPr>
        <w:pStyle w:val="MainText"/>
        <w:rPr/>
      </w:pPr>
      <w:r>
        <w:rPr/>
        <w:t>1. В состав отчетности по форме 0409345 “Данные о ежедневных остатках подлежащих страхованию денежных средств физических лиц, размещенных во вклады” (далее — Отчет) не включаются следующие денежные средства:</w:t>
      </w:r>
    </w:p>
    <w:p>
      <w:pPr>
        <w:pStyle w:val="MainText"/>
        <w:rPr/>
      </w:pPr>
      <w:r>
        <w:rPr/>
        <w:t>размещенные на банковских счетах (во вкладах) физических лиц, занимающихся предпринимательской деятельностью без образования юридического лица, если такие счета (вклады) открыты для осуществления предусмотренной законодательством Российской Федерации предпринимательской деятельности, а также размещенные на банковских счетах (во вкладах) адвокатов, нотариусов и иных лиц, если такие счета (вклады) открыты для осуществления предусмотренной законодательством Российской Федерации профессиональной деятельности;</w:t>
      </w:r>
    </w:p>
    <w:p>
      <w:pPr>
        <w:pStyle w:val="MainText"/>
        <w:rPr/>
      </w:pPr>
      <w:r>
        <w:rPr/>
        <w:t>размещенные физическими лицами в банковские вклады на предъявителя, в том числе удостоверенные сберегательным сертификатом и (или) сберегательной книжкой на предъявителя;</w:t>
      </w:r>
    </w:p>
    <w:p>
      <w:pPr>
        <w:pStyle w:val="MainText"/>
        <w:rPr/>
      </w:pPr>
      <w:r>
        <w:rPr/>
        <w:t>переданные физическими лицами банкам в доверительное управление;</w:t>
      </w:r>
    </w:p>
    <w:p>
      <w:pPr>
        <w:pStyle w:val="MainText"/>
        <w:rPr/>
      </w:pPr>
      <w:r>
        <w:rPr/>
        <w:t>размещенные во вклады в находящихся за пределами территории Российской Федерации филиалах банков Российской Федерации.</w:t>
      </w:r>
    </w:p>
    <w:p>
      <w:pPr>
        <w:pStyle w:val="MainText"/>
        <w:rPr/>
      </w:pPr>
      <w:r>
        <w:rPr/>
        <w:t>2. Отчет представляется в территориальное учреждение Банка России:</w:t>
      </w:r>
    </w:p>
    <w:p>
      <w:pPr>
        <w:pStyle w:val="MainText"/>
        <w:rPr/>
      </w:pPr>
      <w:r>
        <w:rPr/>
        <w:t>по состоянию на 1 апреля, 1 июля и 1 октября:</w:t>
      </w:r>
    </w:p>
    <w:p>
      <w:pPr>
        <w:pStyle w:val="MainText"/>
        <w:rPr/>
      </w:pPr>
      <w:r>
        <w:rPr/>
        <w:t>кредитными организациями (за исключением крупных кредитных организаций с широкой сетью подразделений) — не позднее 11-го рабочего дня месяца, следующего за отчетным кварталом;</w:t>
      </w:r>
    </w:p>
    <w:p>
      <w:pPr>
        <w:pStyle w:val="MainText"/>
        <w:rPr/>
      </w:pPr>
      <w:r>
        <w:rPr/>
        <w:t>крупными кредитными организациями с широкой сетью подразделений — не позднее 18-го рабочего дня месяца, следующего за отчетным кварталом;</w:t>
      </w:r>
    </w:p>
    <w:p>
      <w:pPr>
        <w:pStyle w:val="MainText"/>
        <w:rPr/>
      </w:pPr>
      <w:r>
        <w:rPr/>
        <w:t>по состоянию на 1 января:</w:t>
      </w:r>
    </w:p>
    <w:p>
      <w:pPr>
        <w:pStyle w:val="MainText"/>
        <w:rPr/>
      </w:pPr>
      <w:r>
        <w:rPr/>
        <w:t>кредитными организациями (за исключением крупных кредитных организаций с широкой сетью подразделений) — не позднее 11-го рабочего дня месяца, следующего за отчетным кварталом;</w:t>
      </w:r>
    </w:p>
    <w:p>
      <w:pPr>
        <w:pStyle w:val="MainText"/>
        <w:rPr/>
      </w:pPr>
      <w:r>
        <w:rPr/>
        <w:t>крупными кредитными организациями с широкой сетью подразделений — не позднее 24 января года, следующего за отчетным.</w:t>
      </w:r>
    </w:p>
    <w:p>
      <w:pPr>
        <w:pStyle w:val="MainText"/>
        <w:rPr/>
      </w:pPr>
      <w:r>
        <w:rPr/>
        <w:t>3. В графе 1 Отчета указываются календарные дни отчетного периода.</w:t>
      </w:r>
    </w:p>
    <w:p>
      <w:pPr>
        <w:pStyle w:val="MainText"/>
        <w:rPr/>
      </w:pPr>
      <w:r>
        <w:rPr/>
        <w:t>4. Отчет составляется по данным ежедневных сводных бухгалтерских балансов кредитной организации.</w:t>
      </w:r>
    </w:p>
    <w:p>
      <w:pPr>
        <w:pStyle w:val="MainText"/>
        <w:rPr/>
      </w:pPr>
      <w:r>
        <w:rPr/>
        <w:t>При заполнении граф 2—18 Отчета по состоянию на выходной и нерабочий праздничный день, а также на следующий за ним рабочий день указываются остатки денежных средств на балансовых счетах за последний рабочий день. В случае проведения операций по вкладам в выходной и нерабочий праздничный день кредитная организация либо применяет указанный порядок, либо отражает остатки денежных средств на балансовых счетах с учетом произведенных в эти дни операций в соответствии с требованиями учетной политики кредитной организации.</w:t>
      </w:r>
    </w:p>
    <w:p>
      <w:pPr>
        <w:pStyle w:val="MainText"/>
        <w:rPr/>
      </w:pPr>
      <w:r>
        <w:rPr/>
        <w:t>Данные в графах 2—18 Отчета по состоянию на выходной и нерабочий праздничный день, а также следующий за ним рабочий день указываются с учетом следующего:</w:t>
      </w:r>
    </w:p>
    <w:p>
      <w:pPr>
        <w:pStyle w:val="MainText"/>
        <w:rPr/>
      </w:pPr>
      <w:r>
        <w:rPr/>
        <w:t>остатки денежных средств на балансовых счетах в иностранных валютах за выходной и нерабочий праздничный день пересчитываются в рублевый эквивалент по официальным курсам иностранных валют по отношению к рублю, устанавливаемым Банком России на указанный день.</w:t>
      </w:r>
    </w:p>
    <w:p>
      <w:pPr>
        <w:pStyle w:val="MainText"/>
        <w:rPr/>
      </w:pPr>
      <w:r>
        <w:rPr/>
        <w:t>5. При заполнении граф 3, 4, 5, 7, 8, 10 Отчета в расчет сумм, подлежащих страхованию, не включаются остатки денежных средств на лицевых счетах по учету денежных средств юридических лиц.</w:t>
      </w:r>
    </w:p>
    <w:p>
      <w:pPr>
        <w:pStyle w:val="MainText"/>
        <w:rPr/>
      </w:pPr>
      <w:r>
        <w:rPr/>
        <w:t>6. При заполнении граф 17 и 18 Отчета в расчет принимаются только лицевые счета по учету именных сберегательных сертификатов.</w:t>
      </w:r>
    </w:p>
    <w:p>
      <w:pPr>
        <w:pStyle w:val="MainText"/>
        <w:rPr/>
      </w:pPr>
      <w:r>
        <w:rPr/>
        <w:t>7. При заполнении раздела “Справочно” Отчета в графе 2 указывается общее количество счетов физических лиц без их объединения по вкладчикам и без учета счетов с нулевыми остатками, а в графе 3 отражаются суммы обязательств банка по вкладам без учета встречных требований банка к вкладчикам.</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 НАЛИЧИИ В КРЕДИТНОЙ ОРГАНИЗАЦИИ НЕУДОВЛЕТВОРЕННЫХ ТРЕБОВАНИЙ ОТДЕЛЬНЫХ КРЕДИТОРОВ </w:t>
        <w:br/>
        <w:t xml:space="preserve">ПО ДЕНЕЖНЫМ ОБЯЗАТЕЛЬСТВАМ И НЕИСПОЛНЕНИИ ОБЯЗАННОСТИ ПО УПЛАТЕ ОБЯЗАТЕЛЬНЫХ ПЛАТЕЖЕЙ </w:t>
        <w:br/>
        <w:t xml:space="preserve">В СВЯЗИ С ОТСУТСТВИЕМ ИЛИ НЕДОСТАТОЧНОСТЬЮ ДЕНЕЖНЫХ СРЕДСТВ НА КОРРЕСПОНДЕНТСКИХ СЧЕТАХ КРЕДИТНОЙ ОРГАНИЗАЦИИ </w:t>
        <w:br/>
        <w:t>по состоянию на “</w:t>
      </w:r>
      <w:r>
        <w:rPr/>
        <w:t>___” 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0" w:after="60"/>
        <w:jc w:val="end"/>
        <w:rPr/>
      </w:pPr>
      <w:r>
        <w:rPr/>
        <w:t>Код формы по ОКУД 0409350</w:t>
        <w:br/>
        <w:t>Декадная</w:t>
      </w:r>
    </w:p>
    <w:tbl>
      <w:tblPr>
        <w:tblW w:w="16258" w:type="dxa"/>
        <w:jc w:val="center"/>
        <w:tblInd w:w="0" w:type="dxa"/>
        <w:tblLayout w:type="fixed"/>
        <w:tblCellMar>
          <w:top w:w="0" w:type="dxa"/>
          <w:start w:w="28" w:type="dxa"/>
          <w:bottom w:w="0" w:type="dxa"/>
          <w:end w:w="28" w:type="dxa"/>
        </w:tblCellMar>
      </w:tblPr>
      <w:tblGrid>
        <w:gridCol w:w="530"/>
        <w:gridCol w:w="4538"/>
        <w:gridCol w:w="1846"/>
        <w:gridCol w:w="1168"/>
        <w:gridCol w:w="1168"/>
        <w:gridCol w:w="640"/>
        <w:gridCol w:w="1842"/>
        <w:gridCol w:w="1277"/>
        <w:gridCol w:w="1275"/>
        <w:gridCol w:w="567"/>
        <w:gridCol w:w="1407"/>
      </w:tblGrid>
      <w:tr>
        <w:trPr>
          <w:cantSplit/>
        </w:trPr>
        <w:tc>
          <w:tcPr>
            <w:tcW w:w="53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w:t>
            </w:r>
          </w:p>
        </w:tc>
        <w:tc>
          <w:tcPr>
            <w:tcW w:w="4538"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Наименование показателя</w:t>
            </w:r>
          </w:p>
        </w:tc>
        <w:tc>
          <w:tcPr>
            <w:tcW w:w="4822"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Количество требований и (или) неисполненных платежей, ед.</w:t>
            </w:r>
          </w:p>
        </w:tc>
        <w:tc>
          <w:tcPr>
            <w:tcW w:w="4961"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Сумма требований (обязанности по уплате), руб. коп.</w:t>
            </w:r>
          </w:p>
        </w:tc>
        <w:tc>
          <w:tcPr>
            <w:tcW w:w="1407"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Примечание</w:t>
            </w:r>
          </w:p>
        </w:tc>
      </w:tr>
      <w:tr>
        <w:trPr>
          <w:cantSplit/>
        </w:trPr>
        <w:tc>
          <w:tcPr>
            <w:tcW w:w="530" w:type="dxa"/>
            <w:tcBorders>
              <w:start w:val="single" w:sz="6" w:space="0" w:color="000000"/>
              <w:end w:val="single" w:sz="6" w:space="0" w:color="000000"/>
            </w:tcBorders>
          </w:tcPr>
          <w:p>
            <w:pPr>
              <w:pStyle w:val="MainText"/>
              <w:ind w:hanging="0" w:end="0"/>
              <w:jc w:val="center"/>
              <w:rPr>
                <w:sz w:val="14"/>
              </w:rPr>
            </w:pPr>
            <w:r>
              <w:rPr>
                <w:sz w:val="14"/>
              </w:rPr>
              <w:t>строки</w:t>
            </w:r>
          </w:p>
        </w:tc>
        <w:tc>
          <w:tcPr>
            <w:tcW w:w="4538"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184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учтенных на внебалансовом счете № 90903 “Расчетные документы клиентов, не оплаченные в срок из-за отсутствия средств на</w:t>
            </w:r>
          </w:p>
        </w:tc>
        <w:tc>
          <w:tcPr>
            <w:tcW w:w="233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учтенных на внебалансовом счете № 90904 “Не оплаченные в срок расчетные документы из-за отсутствия средств на корреспондентских счетах кредитной организации”</w:t>
            </w:r>
          </w:p>
        </w:tc>
        <w:tc>
          <w:tcPr>
            <w:tcW w:w="64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прочие</w:t>
            </w:r>
          </w:p>
        </w:tc>
        <w:tc>
          <w:tcPr>
            <w:tcW w:w="1842"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учтенных на внебалансовом счете № 90903 “Расчетные документы клиентов, не оплаченные в срок из-за отсутствия средств на”</w:t>
            </w:r>
          </w:p>
        </w:tc>
        <w:tc>
          <w:tcPr>
            <w:tcW w:w="255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учтенных на внебалансовом счете № 90904 “Не оплаченные в срок расчетные документы из-за отсутствия средств на корреспондентских счетах кредитной организации”</w:t>
            </w:r>
          </w:p>
        </w:tc>
        <w:tc>
          <w:tcPr>
            <w:tcW w:w="567"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прочие</w:t>
            </w:r>
          </w:p>
        </w:tc>
        <w:tc>
          <w:tcPr>
            <w:tcW w:w="1407" w:type="dxa"/>
            <w:tcBorders>
              <w:start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4538"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846"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корреспондентских счетах кредитной организации”</w:t>
            </w:r>
          </w:p>
        </w:tc>
        <w:tc>
          <w:tcPr>
            <w:tcW w:w="11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расчетной сети Банка России</w:t>
            </w:r>
          </w:p>
        </w:tc>
        <w:tc>
          <w:tcPr>
            <w:tcW w:w="11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кредитных организациях — корреспондентах</w:t>
            </w:r>
          </w:p>
        </w:tc>
        <w:tc>
          <w:tcPr>
            <w:tcW w:w="640"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корреспондентских счетах кредитной организации</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расчетной сети Банка России</w:t>
            </w:r>
          </w:p>
        </w:tc>
        <w:tc>
          <w:tcPr>
            <w:tcW w:w="12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 кредитных организациях — корреспондентах</w:t>
            </w:r>
          </w:p>
        </w:tc>
        <w:tc>
          <w:tcPr>
            <w:tcW w:w="56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453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18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11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w:t>
            </w:r>
          </w:p>
        </w:tc>
        <w:tc>
          <w:tcPr>
            <w:tcW w:w="11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w:t>
            </w:r>
          </w:p>
        </w:tc>
        <w:tc>
          <w:tcPr>
            <w:tcW w:w="6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w:t>
            </w:r>
          </w:p>
        </w:tc>
        <w:tc>
          <w:tcPr>
            <w:tcW w:w="184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w:t>
            </w:r>
          </w:p>
        </w:tc>
        <w:tc>
          <w:tcPr>
            <w:tcW w:w="12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w:t>
            </w:r>
          </w:p>
        </w:tc>
        <w:tc>
          <w:tcPr>
            <w:tcW w:w="5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w:t>
            </w:r>
          </w:p>
        </w:tc>
        <w:tc>
          <w:tcPr>
            <w:tcW w:w="1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r>
      <w:tr>
        <w:trPr>
          <w:cantSplit/>
        </w:trPr>
        <w:tc>
          <w:tcPr>
            <w:tcW w:w="53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1</w:t>
            </w:r>
          </w:p>
        </w:tc>
        <w:tc>
          <w:tcPr>
            <w:tcW w:w="4538" w:type="dxa"/>
            <w:tcBorders>
              <w:top w:val="single" w:sz="6" w:space="0" w:color="000000"/>
              <w:start w:val="single" w:sz="6" w:space="0" w:color="000000"/>
              <w:end w:val="single" w:sz="6" w:space="0" w:color="000000"/>
            </w:tcBorders>
          </w:tcPr>
          <w:p>
            <w:pPr>
              <w:pStyle w:val="MainText"/>
              <w:ind w:hanging="0" w:end="0"/>
              <w:jc w:val="start"/>
              <w:rPr>
                <w:sz w:val="14"/>
              </w:rPr>
            </w:pPr>
            <w:r>
              <w:rPr>
                <w:sz w:val="14"/>
              </w:rPr>
              <w:t>Сведения о требованиях кредиторов (кредитора) по денежным обязательствам (обязательству) и (или) обязательных платежах, не исполненных в срок, не превышающий 3 дней со дня наступления даты их удовлетворения (исполнения)</w:t>
            </w:r>
          </w:p>
        </w:tc>
        <w:tc>
          <w:tcPr>
            <w:tcW w:w="1846"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640"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277"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275"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567"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2</w:t>
            </w:r>
          </w:p>
        </w:tc>
        <w:tc>
          <w:tcPr>
            <w:tcW w:w="4538" w:type="dxa"/>
            <w:tcBorders>
              <w:top w:val="single" w:sz="6" w:space="0" w:color="000000"/>
              <w:start w:val="single" w:sz="6" w:space="0" w:color="000000"/>
              <w:end w:val="single" w:sz="6" w:space="0" w:color="000000"/>
            </w:tcBorders>
          </w:tcPr>
          <w:p>
            <w:pPr>
              <w:pStyle w:val="MainText"/>
              <w:ind w:hanging="0" w:end="0"/>
              <w:jc w:val="start"/>
              <w:rPr>
                <w:sz w:val="14"/>
              </w:rPr>
            </w:pPr>
            <w:r>
              <w:rPr>
                <w:sz w:val="14"/>
              </w:rPr>
              <w:t>Сведения о требованиях кредиторов (кредитора) по денежным обязательствам (обязательству) и (или) обязательных платежах, не исполненных в срок, превышающий 3 дня со дня наступления даты их удовлетворения (исполнения), всего:</w:t>
            </w:r>
          </w:p>
        </w:tc>
        <w:tc>
          <w:tcPr>
            <w:tcW w:w="1846"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640"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277"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275"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567"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top w:val="single" w:sz="6" w:space="0" w:color="000000"/>
              <w:start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start w:val="single" w:sz="6" w:space="0" w:color="000000"/>
              <w:end w:val="single" w:sz="6" w:space="0" w:color="000000"/>
            </w:tcBorders>
          </w:tcPr>
          <w:p>
            <w:pPr>
              <w:pStyle w:val="MainText"/>
              <w:snapToGrid w:val="false"/>
              <w:ind w:hanging="0" w:end="0"/>
              <w:jc w:val="center"/>
              <w:rPr>
                <w:sz w:val="14"/>
              </w:rPr>
            </w:pPr>
            <w:r>
              <w:rPr>
                <w:rFonts w:cs="Arial"/>
                <w:sz w:val="14"/>
              </w:rPr>
            </w:r>
          </w:p>
        </w:tc>
        <w:tc>
          <w:tcPr>
            <w:tcW w:w="4538" w:type="dxa"/>
            <w:tcBorders>
              <w:start w:val="single" w:sz="6" w:space="0" w:color="000000"/>
              <w:end w:val="single" w:sz="6" w:space="0" w:color="000000"/>
            </w:tcBorders>
          </w:tcPr>
          <w:p>
            <w:pPr>
              <w:pStyle w:val="MainText"/>
              <w:ind w:hanging="0" w:end="0"/>
              <w:jc w:val="start"/>
              <w:rPr>
                <w:sz w:val="14"/>
              </w:rPr>
            </w:pPr>
            <w:r>
              <w:rPr>
                <w:sz w:val="14"/>
              </w:rPr>
              <w:t>из них:</w:t>
            </w:r>
          </w:p>
        </w:tc>
        <w:tc>
          <w:tcPr>
            <w:tcW w:w="184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640"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5"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start w:val="single" w:sz="6" w:space="0" w:color="000000"/>
              <w:end w:val="single" w:sz="6" w:space="0" w:color="000000"/>
            </w:tcBorders>
          </w:tcPr>
          <w:p>
            <w:pPr>
              <w:pStyle w:val="MainText"/>
              <w:ind w:hanging="0" w:end="0"/>
              <w:jc w:val="center"/>
              <w:rPr>
                <w:sz w:val="14"/>
              </w:rPr>
            </w:pPr>
            <w:r>
              <w:rPr>
                <w:sz w:val="14"/>
              </w:rPr>
              <w:t>2.1</w:t>
            </w:r>
          </w:p>
        </w:tc>
        <w:tc>
          <w:tcPr>
            <w:tcW w:w="4538" w:type="dxa"/>
            <w:tcBorders>
              <w:start w:val="single" w:sz="6" w:space="0" w:color="000000"/>
              <w:end w:val="single" w:sz="6" w:space="0" w:color="000000"/>
            </w:tcBorders>
          </w:tcPr>
          <w:p>
            <w:pPr>
              <w:pStyle w:val="MainText"/>
              <w:ind w:hanging="0" w:end="0"/>
              <w:jc w:val="start"/>
              <w:rPr>
                <w:sz w:val="14"/>
              </w:rPr>
            </w:pPr>
            <w:r>
              <w:rPr>
                <w:sz w:val="14"/>
              </w:rPr>
              <w:t>не исполненных в срок, превышающий 7 дней со дня наступления даты их удовлетворения (исполнения), но не более 14 дней;</w:t>
            </w:r>
          </w:p>
        </w:tc>
        <w:tc>
          <w:tcPr>
            <w:tcW w:w="18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6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2.2</w:t>
            </w:r>
          </w:p>
        </w:tc>
        <w:tc>
          <w:tcPr>
            <w:tcW w:w="4538" w:type="dxa"/>
            <w:tcBorders>
              <w:start w:val="single" w:sz="6" w:space="0" w:color="000000"/>
              <w:bottom w:val="single" w:sz="6" w:space="0" w:color="000000"/>
              <w:end w:val="single" w:sz="6" w:space="0" w:color="000000"/>
            </w:tcBorders>
          </w:tcPr>
          <w:p>
            <w:pPr>
              <w:pStyle w:val="MainText"/>
              <w:ind w:hanging="0" w:end="0"/>
              <w:jc w:val="start"/>
              <w:rPr>
                <w:sz w:val="14"/>
              </w:rPr>
            </w:pPr>
            <w:r>
              <w:rPr>
                <w:sz w:val="14"/>
              </w:rPr>
              <w:t>не исполненных в срок, превышающий 14 дней со дня наступления даты их удовлетворения (исполнения)</w:t>
            </w:r>
          </w:p>
        </w:tc>
        <w:tc>
          <w:tcPr>
            <w:tcW w:w="18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6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453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ИТОГО (стр.1 + стр. 2)</w:t>
            </w:r>
          </w:p>
        </w:tc>
        <w:tc>
          <w:tcPr>
            <w:tcW w:w="18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6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45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4"/>
              </w:rPr>
            </w:pPr>
            <w:r>
              <w:rPr>
                <w:sz w:val="14"/>
              </w:rPr>
              <w:t>Сведения о неоднократном неисполнении требований кредиторов (кредитора) по денежным обязательствам (обязательству) на протяжении последних 6 месяцев</w:t>
            </w:r>
          </w:p>
        </w:tc>
        <w:tc>
          <w:tcPr>
            <w:tcW w:w="184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6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8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bl>
    <w:p>
      <w:pPr>
        <w:pStyle w:val="MainTextBezOtstupa"/>
        <w:spacing w:before="240" w:after="0"/>
        <w:rPr/>
      </w:pPr>
      <w:r>
        <w:rPr/>
        <w:t>Справочно: максимальный срок неисполнения требований отдельных кредиторов по денежным обязательствам и (или) об обязанности по уплате обязательных платежей (количество непрерывных календарных дней до отчетной даты) ______________ дн.</w:t>
      </w:r>
    </w:p>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0409350 “Отчет о наличии в кредитной организации неудовлетворенных требований отдельных кредиторов по денежным обязательствам и неисполнении обязанности по уплате обязательных платежей в связи с отсутствием или недостаточностью денежных средств на корреспондентских счетах кредитной организации”</w:t>
      </w:r>
    </w:p>
    <w:p>
      <w:pPr>
        <w:pStyle w:val="MainText"/>
        <w:rPr/>
      </w:pPr>
      <w:r>
        <w:rPr/>
        <w:t>1. Отчетность по форме 0409350 “Отчет о наличии в кредитной организации неудовлетворенных требований отдельных кредиторов по денежным обязательствам и неисполнении обязанности по уплате обязательных платежей в связи с отсутствием или недостаточностью денежных средств на корреспондентских счетах кредитной организации” (далее — Отчет) кредитные организации (их филиалы), включая небанковские кредитные организации (их филиалы), представляют в территориальные учреждения Банка России, осуществляющие надзор за их деятельностью, по состоянию на 1, 11, 21-е числа каждого месяца не позднее 2-го рабочего дня, следующего за отчетным. Сводный Отчет по головному офису кредитной организации и филиалам представляется не позднее 3-го рабочего дня, следующего за отчетным. По состоянию на 1 января Отчет представляется не позднее 20 января года, следующего за отчетным, по состоянию на 11 января — не позднее 23 января года, следующего за отчетным. Филиалы кредитных организаций, не имеющие корреспондентских субсчетов, не представляют Отчет в территориальное учреждение Банка России.</w:t>
      </w:r>
    </w:p>
    <w:p>
      <w:pPr>
        <w:pStyle w:val="MainText"/>
        <w:rPr/>
      </w:pPr>
      <w:r>
        <w:rPr/>
        <w:t>Отчеты зарубежных филиалов кредитной организации — резидента представляются головным офисом кредитной организации в территориальное учреждение Банка России, осуществляющее надзор за его деятельностью.</w:t>
      </w:r>
    </w:p>
    <w:p>
      <w:pPr>
        <w:pStyle w:val="MainText"/>
        <w:rPr/>
      </w:pPr>
      <w:r>
        <w:rPr/>
        <w:t>Территориальное учреждение Банка России вправе потребовать от кредитной организации представления Отчета на внутридекадные даты в установленный им срок.</w:t>
      </w:r>
    </w:p>
    <w:p>
      <w:pPr>
        <w:pStyle w:val="MainText"/>
        <w:rPr/>
      </w:pPr>
      <w:r>
        <w:rPr/>
        <w:t>2. По строкам 1 и 2 Отчета включаются все требования кредиторов, предъявленные к кредитной организации, и (или) обязательные платежи (графы 3—10 Отчета), а также общая сумма денежных обязательств (графа 11 Отчета), не исполненных в срок в соответствии с условиями заключенных договоров (соглашений) в связи с отсутствием или недостаточностью денежных средств на корреспондентских счетах (субсчетах) кредитной организации начиная со дня наступления даты исполнения. В Отчет не включаются требования кредиторов и денежные обязательства, по которым не наступила дата исполнения в соответствии с гражданским законодательством Российской Федерации либо в соответствии с условиями заключенного договора.</w:t>
      </w:r>
    </w:p>
    <w:p>
      <w:pPr>
        <w:pStyle w:val="MainText"/>
        <w:rPr/>
      </w:pPr>
      <w:r>
        <w:rPr/>
        <w:t>3. Строки 1—3 Отчета заполняются на основании предъявленных в установленном порядке требований кредиторов и (или) неисполненных обязательных платежей (графы 3—10 Отчета), а также суммы денежных обязательств кредитной организации в соответствии с условиями заключенных договоров (соглашений) (графа 11 Отчета), отраженных на следующих счетах бухгалтерского учета:</w:t>
      </w:r>
    </w:p>
    <w:p>
      <w:pPr>
        <w:pStyle w:val="MainText"/>
        <w:rPr/>
      </w:pPr>
      <w:r>
        <w:rPr/>
        <w:t>№ </w:t>
      </w:r>
      <w:r>
        <w:rPr/>
        <w:t>47418 — в разрезе отдельных платежей;</w:t>
      </w:r>
    </w:p>
    <w:p>
      <w:pPr>
        <w:pStyle w:val="MainText"/>
        <w:rPr/>
      </w:pPr>
      <w:r>
        <w:rPr/>
        <w:t>№№ </w:t>
      </w:r>
      <w:r>
        <w:rPr/>
        <w:t>317, 318, 47403, 47405, 47407, 47409, 47411, 47412, 47416, 47422, 47426, 476, 52406, 60301, 60305, 60307, 60309, 60311, 60313, 60322 — в разрезе отдельных платежей и заключенных договоров;</w:t>
      </w:r>
    </w:p>
    <w:p>
      <w:pPr>
        <w:pStyle w:val="MainText"/>
        <w:rPr/>
      </w:pPr>
      <w:r>
        <w:rPr/>
        <w:t>№№ </w:t>
      </w:r>
      <w:r>
        <w:rPr/>
        <w:t>30220, 30223 — в разрезе отдельных платежей в части своевременности отнесения на балансовый счет № 47418 средств, списанных со счетов клиентов и не проведенных по корреспондентскому счету в срок, предусмотренный гражданским законодательством Российской Федерации либо в соответствии с заключенным договором банковского счета;</w:t>
      </w:r>
    </w:p>
    <w:p>
      <w:pPr>
        <w:pStyle w:val="MainText"/>
        <w:rPr/>
      </w:pPr>
      <w:r>
        <w:rPr/>
        <w:t>№ </w:t>
      </w:r>
      <w:r>
        <w:rPr/>
        <w:t>90903 — в разрезе отдельных платежей;</w:t>
      </w:r>
    </w:p>
    <w:p>
      <w:pPr>
        <w:pStyle w:val="MainText"/>
        <w:rPr/>
      </w:pPr>
      <w:r>
        <w:rPr/>
        <w:t>№ </w:t>
      </w:r>
      <w:r>
        <w:rPr/>
        <w:t>90904 в расчетно-кассовом центре и кредитных организациях (филиалах кредитных организаций), ведущих счета “ЛОРО”, — в разрезе отдельных платежей;</w:t>
      </w:r>
    </w:p>
    <w:p>
      <w:pPr>
        <w:pStyle w:val="MainText"/>
        <w:rPr/>
      </w:pPr>
      <w:r>
        <w:rPr/>
        <w:t>иным счетам бухгалтерского учета в части собственных платежей кредитной организации (ее филиалов), не оплаченных в срок из-за отсутствия или недостаточности денежных средств на корреспондентских счетах кредитной организации (корреспондентских субсчетах ее филиалов) в случае нарушения договорных отношений.</w:t>
      </w:r>
    </w:p>
    <w:p>
      <w:pPr>
        <w:pStyle w:val="MainText"/>
        <w:rPr/>
      </w:pPr>
      <w:r>
        <w:rPr/>
        <w:t>4. По строке 3 Отчета указываются сведения о неоднократном неисполнении требований кредиторов на протяжении последних 6 месяцев из-за отсутствия или недостаточности денежных средств на корреспондентских счетах (субсчетах) кредитной организации независимо от их отнесения по строкам 1 и 2 Отчета и независимо от наличия неудовлетворенных требований на отчетную дату.</w:t>
      </w:r>
    </w:p>
    <w:p>
      <w:pPr>
        <w:pStyle w:val="MainText"/>
        <w:rPr/>
      </w:pPr>
      <w:r>
        <w:rPr/>
        <w:t>5. В случае частичного списания задолженности в графах 7—10 Отчета указывается оставшаяся сумма неисполненных требований кредиторов по денежным обязательствам и (или) обязательных платежей.</w:t>
      </w:r>
    </w:p>
    <w:p>
      <w:pPr>
        <w:pStyle w:val="MainText"/>
        <w:rPr/>
      </w:pPr>
      <w:r>
        <w:rPr/>
        <w:t>6. В графах 3—10 по строкам 1 и 2 Отчета указываются количество и сумма остатка требований данной группы кредиторов по состоянию на отчетную дату.</w:t>
      </w:r>
    </w:p>
    <w:p>
      <w:pPr>
        <w:pStyle w:val="MainText"/>
        <w:rPr/>
      </w:pPr>
      <w:r>
        <w:rPr/>
        <w:t>7. В графах 7—10 по строке 3 Отчета указывается сумма остатка требований данной группы кредиторов по состоянию на отчетную дату.</w:t>
      </w:r>
    </w:p>
    <w:p>
      <w:pPr>
        <w:pStyle w:val="MainText"/>
        <w:rPr/>
      </w:pPr>
      <w:r>
        <w:rPr/>
        <w:t>8. Значения в графах 4 и 8 Отчета должны соответствовать данным расчетной сети Банка России.</w:t>
      </w:r>
    </w:p>
    <w:p>
      <w:pPr>
        <w:pStyle w:val="MainText"/>
        <w:rPr/>
      </w:pPr>
      <w:r>
        <w:rPr/>
        <w:t>9. В графе 11 по строкам 1 и 2 Отчета указываются:</w:t>
      </w:r>
    </w:p>
    <w:p>
      <w:pPr>
        <w:pStyle w:val="MainText"/>
        <w:rPr/>
      </w:pPr>
      <w:r>
        <w:rPr/>
        <w:t>общая сумма денежных обязательств (руб. коп.) данной группы кредиторов, не исполненных в срок в связи с отсутствием (недостаточностью) денежных средств на корреспондентских счетах;</w:t>
      </w:r>
    </w:p>
    <w:p>
      <w:pPr>
        <w:pStyle w:val="MainText"/>
        <w:rPr/>
      </w:pPr>
      <w:r>
        <w:rPr/>
        <w:t>количество требований данной группы кредиторов в случае их наличия на внутридекадные даты.</w:t>
      </w:r>
    </w:p>
    <w:p>
      <w:pPr>
        <w:pStyle w:val="MainText"/>
        <w:rPr/>
      </w:pPr>
      <w:r>
        <w:rPr/>
        <w:t>10. При наличии неоплаченных платежных документов, предъявленных к счету “ЛОРО”, открытому банком-респондентом в банке-корреспонденте в связи с отсутствием (недостаточностью) на этом счете денежных средств, данные требования подлежат отражению в Отчете банка-респондента по графам 5 и 9 Отчета.</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 ВЫПОЛНЕНИИ ПЛАНА МЕР ПО ФИНАНСОВОМУ ОЗДОРОВЛЕНИЮ КРЕДИТНОЙ ОРГАНИЗАЦИИ </w:t>
        <w:br/>
        <w:t>по состоянию на “</w:t>
      </w:r>
      <w:r>
        <w:rPr/>
        <w:t>___” __________ _____</w:t>
      </w:r>
      <w:r>
        <w:rPr>
          <w:b w:val="false"/>
        </w:rPr>
        <w:t xml:space="preserve"> </w:t>
      </w:r>
      <w:r>
        <w:rPr/>
        <w:t>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0" w:after="60"/>
        <w:jc w:val="end"/>
        <w:rPr/>
      </w:pPr>
      <w:r>
        <w:rPr/>
        <w:t>Код формы по ОКУД 0409354</w:t>
        <w:br/>
        <w:t>Месячная</w:t>
        <w:br/>
        <w:t>тыс. руб.</w:t>
      </w:r>
    </w:p>
    <w:tbl>
      <w:tblPr>
        <w:tblW w:w="16254" w:type="dxa"/>
        <w:jc w:val="center"/>
        <w:tblInd w:w="0" w:type="dxa"/>
        <w:tblLayout w:type="fixed"/>
        <w:tblCellMar>
          <w:top w:w="0" w:type="dxa"/>
          <w:start w:w="28" w:type="dxa"/>
          <w:bottom w:w="0" w:type="dxa"/>
          <w:end w:w="28" w:type="dxa"/>
        </w:tblCellMar>
      </w:tblPr>
      <w:tblGrid>
        <w:gridCol w:w="672"/>
        <w:gridCol w:w="6271"/>
        <w:gridCol w:w="567"/>
        <w:gridCol w:w="1221"/>
        <w:gridCol w:w="1221"/>
        <w:gridCol w:w="1418"/>
        <w:gridCol w:w="1221"/>
        <w:gridCol w:w="1221"/>
        <w:gridCol w:w="1221"/>
        <w:gridCol w:w="1221"/>
      </w:tblGrid>
      <w:tr>
        <w:trPr>
          <w:tblHeader w:val="true"/>
          <w:cantSplit/>
        </w:trPr>
        <w:tc>
          <w:tcPr>
            <w:tcW w:w="67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6271"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мер</w:t>
            </w:r>
          </w:p>
        </w:tc>
        <w:tc>
          <w:tcPr>
            <w:tcW w:w="56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w:t>
            </w:r>
          </w:p>
        </w:tc>
        <w:tc>
          <w:tcPr>
            <w:tcW w:w="1221"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Планируемый</w:t>
            </w:r>
          </w:p>
        </w:tc>
        <w:tc>
          <w:tcPr>
            <w:tcW w:w="1221"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Фактический</w:t>
            </w:r>
          </w:p>
        </w:tc>
        <w:tc>
          <w:tcPr>
            <w:tcW w:w="141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Предполагаемый</w:t>
            </w:r>
          </w:p>
        </w:tc>
        <w:tc>
          <w:tcPr>
            <w:tcW w:w="1221"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Фактический</w:t>
            </w:r>
          </w:p>
        </w:tc>
        <w:tc>
          <w:tcPr>
            <w:tcW w:w="244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Календарные сроки</w:t>
            </w:r>
          </w:p>
        </w:tc>
        <w:tc>
          <w:tcPr>
            <w:tcW w:w="1221"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Примечание</w:t>
            </w:r>
          </w:p>
        </w:tc>
      </w:tr>
      <w:tr>
        <w:trPr>
          <w:tblHeader w:val="true"/>
          <w:cantSplit/>
        </w:trPr>
        <w:tc>
          <w:tcPr>
            <w:tcW w:w="672"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w:t>
            </w:r>
          </w:p>
        </w:tc>
        <w:tc>
          <w:tcPr>
            <w:tcW w:w="627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56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21"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размер</w:t>
            </w:r>
          </w:p>
        </w:tc>
        <w:tc>
          <w:tcPr>
            <w:tcW w:w="1221"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размер</w:t>
            </w:r>
          </w:p>
        </w:tc>
        <w:tc>
          <w:tcPr>
            <w:tcW w:w="141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результат</w:t>
            </w:r>
          </w:p>
        </w:tc>
        <w:tc>
          <w:tcPr>
            <w:tcW w:w="1221"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результат</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плану</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фактически</w:t>
            </w:r>
          </w:p>
        </w:tc>
        <w:tc>
          <w:tcPr>
            <w:tcW w:w="122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62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56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22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Оказание финансовой помощи кредитной организации ее учредителями (участниками), кредиторами и иными лицами: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внесение дополнительных взносов в уставный капитал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отказ от распределения прибыли кредитной организации в качестве дивидендов и направление ее на осуществление мер по финансовому оздоровлению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предоставление поручительств (банковских гарантий) по кредитам для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прощение долга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перевод долга кредитной организации с согласия ее кредиторов</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предоставление отсрочки и (или) рассрочки платежа</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размещение денежных средств на депозите в кредитной организации со сроком возврата не менее 6 месяцев и c начислением процентов по ставке, не превышающей процентной ставки рефинансирования (учетной ставки) Банка России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использование денежных средств на банковских счетах и во вкладах в кредитной организации ее кредиторами для увеличения уставного капитала кредитной организации в порядке, установленном нормативными актами Банка России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оказание финансовой помощи в форме новации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1.10</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формы оказания финансовой помощи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структуры активов и структуры пассивов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части активов:</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2.1.1</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улучшение качества кредитного портфеля, включая замену неликвидных активов ликвидными активами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приведение структуры активов по срочности в соответствие со сроками обязательств, обеспечивающее их исполнение</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2.1.3</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сокращение расходов кредитной организации, в том числе на обслуживание долга кредитной организации, и расходов на ее управление</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2.1.4</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продажа активов, не приносящих дохода, а также активов, продажа которых не будет препятствовать выполнению банковских операций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2.1.5</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меры по изменению структуры активов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части пассивов:</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2.2.1</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увеличение собственных средств (капитала)</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2.2.2</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снижение размера и (или) удельного веса текущих и краткосрочных обязательств в общей структуре пассивов</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2.2.3</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увеличение удельного веса среднесрочных и долгосрочных обязательств в общей структуре пассивов</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2.2.4</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меры по изменению структуры пассивов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организационной структуры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состава и численности работников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структуры, сокращение и ликвидация обособленных и иных структурных подразделений кредитной организации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меры по совершенствованию организационной структуры</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Приведение в соответствие размера уставного капитала кредитной организации и величины ее собственных средств (капитала)</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меры, осуществляемые в соответствии с федеральными законами</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627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Общие итоги осуществления мер по финансовому оздоровлению</w:t>
            </w:r>
          </w:p>
        </w:tc>
        <w:tc>
          <w:tcPr>
            <w:tcW w:w="56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0409354 “Отчет о выполнении плана мер по финансовому оздоровлению кредитной организации”</w:t>
      </w:r>
    </w:p>
    <w:p>
      <w:pPr>
        <w:pStyle w:val="MainText"/>
        <w:rPr/>
      </w:pPr>
      <w:r>
        <w:rPr/>
        <w:t>1. Отчетность по форме 0409354 “Отчет о выполнении плана мер по финансовому оздоровлению кредитной организации” (далее — Отчет) составляется в соответствии с Инструкцией Банка России от 11 ноября 2005 года № 126-И “О порядке регулирования отношений, связанных с осуществлением мер по предупреждению несостоятельности (банкротства) кредитных организаций”, зарегистрированной Министерством юстиции Российской Федерации 13 декабря 2005 года № 7266, 13 декабря 2007 года № 10694, 31 октября 2008 года № 12556 (“Вестник Банка России” от 21 декабря 2005 года № 68, от 26 декабря 2007 года № 71, от 1 ноября 2008 года № 62). В Отчете отражаются сведения о мерах, срок реализации которых в соответствии с планом мер по финансовому оздоровлению кредитной организации наступил в отчетном периоде.</w:t>
      </w:r>
    </w:p>
    <w:p>
      <w:pPr>
        <w:pStyle w:val="MainText"/>
        <w:rPr/>
      </w:pPr>
      <w:r>
        <w:rPr/>
        <w:t>2. Отчет представляется кредитными организациями (включая небанковские кредитные организации) по состоянию на 1-е число месяца, следующего за отчетным, в территориальное учреждение Банка России не позднее 8-го рабочего дня месяца, следующего за отчетным.</w:t>
      </w:r>
    </w:p>
    <w:p>
      <w:pPr>
        <w:pStyle w:val="MainText"/>
        <w:rPr/>
      </w:pPr>
      <w:r>
        <w:rPr/>
        <w:t>По состоянию на 1 января Отчет представляется в срок не позднее 5 февраля года, следующего за отчетным.</w:t>
      </w:r>
    </w:p>
    <w:p>
      <w:pPr>
        <w:pStyle w:val="MainText"/>
        <w:rPr/>
      </w:pPr>
      <w:r>
        <w:rPr/>
        <w:t>3. В графе 1 Отчета внутри каждого комплекса мер по финансовому оздоровлению кредитной организации производится порядковая нумерация строк.</w:t>
      </w:r>
    </w:p>
    <w:p>
      <w:pPr>
        <w:pStyle w:val="MainText"/>
        <w:rPr/>
      </w:pPr>
      <w:r>
        <w:rPr/>
        <w:t>4. В графе 3 Отчета указывается код, соответствующий порядковому номеру комплекса аналогичных мер. Так, например, все меры по продаже активов, не приносящих дохода (включая реализацию зданий, незавершенного строительства, продажу ценных бумаг, эмитированных третьими лицами, и другие подобные меры), будут иметь код “2.1.4”.</w:t>
      </w:r>
    </w:p>
    <w:p>
      <w:pPr>
        <w:pStyle w:val="MainText"/>
        <w:rPr/>
      </w:pPr>
      <w:r>
        <w:rPr/>
        <w:t>5. В графе 4 Отчета указывается планируемое значение реализуемой меры (комплекса мер).</w:t>
      </w:r>
    </w:p>
    <w:p>
      <w:pPr>
        <w:pStyle w:val="MainText"/>
        <w:rPr/>
      </w:pPr>
      <w:r>
        <w:rPr/>
        <w:t>6. В графе 5 Отчета указывается суммарное фактическое значение реализованной меры (комплекса мер).</w:t>
      </w:r>
    </w:p>
    <w:p>
      <w:pPr>
        <w:pStyle w:val="MainText"/>
        <w:rPr/>
      </w:pPr>
      <w:r>
        <w:rPr/>
        <w:t>7. В графе 6 Отчета указывается суммарное значение ожидаемого изменения величины собственных средств (капитала) по итогам реализации каждой меры (комплекса мер).</w:t>
      </w:r>
    </w:p>
    <w:p>
      <w:pPr>
        <w:pStyle w:val="MainText"/>
        <w:rPr/>
      </w:pPr>
      <w:r>
        <w:rPr/>
        <w:t>8. В графе 7 Отчета указывается суммарное значение фактического изменения величины собственных средств (капитала) по итогам реализации каждой меры (комплекса мер).</w:t>
      </w:r>
    </w:p>
    <w:p>
      <w:pPr>
        <w:pStyle w:val="MainText"/>
        <w:rPr/>
      </w:pPr>
      <w:r>
        <w:rPr/>
        <w:t>9. В графах 8 и 9 Отчета указываются календарные даты в формате “дд.мм.гггг”, где “дд” — день, “мм” — месяц, “гггг” — год.</w:t>
      </w:r>
    </w:p>
    <w:p>
      <w:pPr>
        <w:pStyle w:val="MainText"/>
        <w:rPr/>
      </w:pPr>
      <w:r>
        <w:rPr/>
        <w:t>10. В случае если невозможно определить влияние реализации мер на изменение величины собственных средств (капитала), в графе 10 Отчета указывается иной предполагаемый результат.</w:t>
      </w:r>
    </w:p>
    <w:p>
      <w:pPr>
        <w:pStyle w:val="MainText"/>
        <w:rPr/>
      </w:pPr>
      <w:r>
        <w:rPr/>
        <w:t>11. Величина собственных средств (капитала) рассчитывается в соответствии с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17 июля 2006 года № 8091, 7 марта 2007 года № 9072, 26 июля 2007 года № 9910, 20 декабря 2007 года № 10778, 12 декабря 2008 года № 12840, 19 декабря 2008 года № 12905, 29 июня 2009 года № 14161 (“Вестник Банка России” от 20 марта 2003 года № 15, от 26 июля 2006 года № 41, от 14 марта 2007 года № 14, от 2 августа 2007 года № 44, от 26 декабря 2007 года № 71, от 17 декабря 2008 года № 73, от 24 декабря 2008 года № 74, от 8 июля 2009 года № 40).</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УПОЛНОМОЧЕННОГО БАНКА ОБ ИНОСТРАННЫХ ОПЕРАЦИЯХ </w:t>
        <w:br/>
        <w:t xml:space="preserve">за </w:t>
      </w:r>
      <w:r>
        <w:rPr/>
        <w:t>___________ (месяц) ______ г.</w:t>
      </w:r>
    </w:p>
    <w:p>
      <w:pPr>
        <w:pStyle w:val="MainTextLine155"/>
        <w:tabs>
          <w:tab w:val="clear" w:pos="8787"/>
          <w:tab w:val="right" w:pos="8220" w:leader="underscore"/>
        </w:tabs>
        <w:rPr/>
      </w:pPr>
      <w:r>
        <w:rPr/>
        <w:t>Сокращенное фирменное наименование кредитной организации</w:t>
        <w:tab/>
      </w:r>
    </w:p>
    <w:p>
      <w:pPr>
        <w:pStyle w:val="MainTextLine155"/>
        <w:tabs>
          <w:tab w:val="clear" w:pos="8787"/>
          <w:tab w:val="right" w:pos="8220" w:leader="underscore"/>
        </w:tabs>
        <w:rPr/>
      </w:pPr>
      <w:r>
        <w:rPr/>
        <w:t>Почтовый адрес</w:t>
        <w:tab/>
      </w:r>
    </w:p>
    <w:p>
      <w:pPr>
        <w:pStyle w:val="MainTextBezOtstupa"/>
        <w:spacing w:before="120" w:after="0"/>
        <w:jc w:val="end"/>
        <w:rPr/>
      </w:pPr>
      <w:r>
        <w:rPr/>
        <w:t>Код формы по ОКУД 0409401</w:t>
        <w:br/>
        <w:t>Месячная</w:t>
      </w:r>
    </w:p>
    <w:p>
      <w:pPr>
        <w:pStyle w:val="Rasshifrovka"/>
        <w:spacing w:before="0" w:after="120"/>
        <w:jc w:val="start"/>
        <w:rPr/>
      </w:pPr>
      <w:r>
        <w:rPr/>
        <w:t>Перечень направляемых на _______ листах (включая титульный лист) отчетов:</w:t>
      </w:r>
    </w:p>
    <w:tbl>
      <w:tblPr>
        <w:tblW w:w="10986" w:type="dxa"/>
        <w:jc w:val="center"/>
        <w:tblInd w:w="0" w:type="dxa"/>
        <w:tblLayout w:type="fixed"/>
        <w:tblCellMar>
          <w:top w:w="0" w:type="dxa"/>
          <w:start w:w="28" w:type="dxa"/>
          <w:bottom w:w="0" w:type="dxa"/>
          <w:end w:w="28" w:type="dxa"/>
        </w:tblCellMar>
      </w:tblPr>
      <w:tblGrid>
        <w:gridCol w:w="1831"/>
        <w:gridCol w:w="1831"/>
        <w:gridCol w:w="1831"/>
        <w:gridCol w:w="1831"/>
        <w:gridCol w:w="1831"/>
        <w:gridCol w:w="1831"/>
      </w:tblGrid>
      <w:tr>
        <w:trPr>
          <w:cantSplit/>
        </w:trPr>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 раздела</w:t>
            </w:r>
          </w:p>
        </w:tc>
        <w:tc>
          <w:tcPr>
            <w:tcW w:w="9155"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Вид отчета</w:t>
            </w:r>
          </w:p>
        </w:tc>
      </w:tr>
      <w:tr>
        <w:trPr>
          <w:cantSplit/>
        </w:trPr>
        <w:tc>
          <w:tcPr>
            <w:tcW w:w="183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9155"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отчеты по странам</w:t>
            </w:r>
          </w:p>
        </w:tc>
      </w:tr>
      <w:tr>
        <w:trPr>
          <w:cantSplit/>
        </w:trPr>
        <w:tc>
          <w:tcPr>
            <w:tcW w:w="1831"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 по странам дальнего зарубежья</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 по странам СНГ</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 по Германии</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 по Украине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 по Казахстану</w:t>
            </w:r>
          </w:p>
        </w:tc>
      </w:tr>
      <w:tr>
        <w:trPr>
          <w:cantSplit/>
        </w:trPr>
        <w:tc>
          <w:tcPr>
            <w:tcW w:w="183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9155"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Ненужное зачеркнуть</w:t>
            </w:r>
            <w:r>
              <w:rPr>
                <w:sz w:val="16"/>
                <w:vertAlign w:val="superscript"/>
              </w:rPr>
              <w:t>1</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1</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2</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r>
      <w:tr>
        <w:trPr>
          <w:cantSplit/>
        </w:trPr>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Раздел 3</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r>
      <w:tr>
        <w:trPr>
          <w:cantSplit/>
        </w:trPr>
        <w:tc>
          <w:tcPr>
            <w:tcW w:w="18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Раздел 4</w:t>
            </w:r>
          </w:p>
        </w:tc>
        <w:tc>
          <w:tcPr>
            <w:tcW w:w="9155"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Движение иностранных активов и обязательств отчитывающегося банка по операциям, совершаемым с ценными бумагами на возвратной основе</w:t>
            </w:r>
          </w:p>
        </w:tc>
      </w:tr>
      <w:tr>
        <w:trPr>
          <w:cantSplit/>
        </w:trPr>
        <w:tc>
          <w:tcPr>
            <w:tcW w:w="183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9155"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Данные нулевые (данные ненулевые)</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5</w:t>
            </w:r>
          </w:p>
        </w:tc>
        <w:tc>
          <w:tcPr>
            <w:tcW w:w="9155"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Отчет об активах и обязательствах по видам валют</w:t>
            </w:r>
          </w:p>
        </w:tc>
      </w:tr>
      <w:tr>
        <w:trPr>
          <w:cantSplit/>
        </w:trPr>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6</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c>
          <w:tcPr>
            <w:tcW w:w="183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Данные нулевые (данные ненулевые)</w:t>
            </w:r>
          </w:p>
        </w:tc>
      </w:tr>
    </w:tbl>
    <w:p>
      <w:pPr>
        <w:pStyle w:val="MainTextBezOtstupa"/>
        <w:tabs>
          <w:tab w:val="clear" w:pos="720"/>
          <w:tab w:val="left" w:pos="4564" w:leader="none"/>
        </w:tabs>
        <w:spacing w:before="120" w:after="0"/>
        <w:rPr/>
      </w:pPr>
      <w:r>
        <w:rPr/>
        <w:t>Руководитель</w:t>
        <w:tab/>
        <w:t>(Ф.И.О.)</w:t>
      </w:r>
    </w:p>
    <w:p>
      <w:pPr>
        <w:pStyle w:val="MainTextBezOtstupa"/>
        <w:spacing w:before="57" w:after="0"/>
        <w:rPr/>
      </w:pPr>
      <w:r>
        <w:rPr/>
        <w:t>М.П.</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240"/>
        <w:rPr/>
      </w:pPr>
      <w:r>
        <w:rPr/>
        <w:t>“</w:t>
      </w:r>
      <w:r>
        <w:rPr/>
        <w:t>___” __________ _____ г.</w:t>
      </w:r>
    </w:p>
    <w:p>
      <w:pPr>
        <w:pStyle w:val="SnoskaLineTab"/>
        <w:keepLines w:val="false"/>
        <w:pBdr>
          <w:top w:val="single" w:sz="6" w:space="1" w:color="000000"/>
        </w:pBdr>
        <w:rPr/>
      </w:pPr>
      <w:r>
        <w:rPr>
          <w:vertAlign w:val="superscript"/>
        </w:rPr>
        <w:t>1</w:t>
      </w:r>
      <w:r>
        <w:rPr/>
        <w:t> Отчеты с нулевыми данными по разделам 1—4 и 6 могут не направляться отчитывающимся банком, если в данной таблице сделана соответствующая пометка. Данные по разделу 5 направляются каждым отчитывающимся банком.</w:t>
      </w:r>
    </w:p>
    <w:p>
      <w:pPr>
        <w:pStyle w:val="MainText"/>
        <w:rPr/>
      </w:pPr>
      <w:r>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ZagolovokCenter"/>
        <w:rPr>
          <w:b w:val="false"/>
        </w:rPr>
      </w:pPr>
      <w:r>
        <w:rPr>
          <w:b w:val="false"/>
          <w:color w:val="000000"/>
        </w:rPr>
        <w:t>Раздел 1. Движение иностранных активов и пассивов отчитывающегося банка и доходы, начисленные к получению (выплате) по ним</w:t>
      </w:r>
    </w:p>
    <w:p>
      <w:pPr>
        <w:pStyle w:val="MainTextBezOtstupa"/>
        <w:jc w:val="start"/>
        <w:rPr>
          <w:sz w:val="16"/>
        </w:rPr>
      </w:pPr>
      <w:r>
        <w:rPr>
          <w:sz w:val="16"/>
        </w:rPr>
        <w:t>Отчет по ___________________________________________________________________________________________ за _________________ г.</w:t>
      </w:r>
    </w:p>
    <w:p>
      <w:pPr>
        <w:pStyle w:val="Rasshifrovka"/>
        <w:tabs>
          <w:tab w:val="clear" w:pos="720"/>
          <w:tab w:val="center" w:pos="4678" w:leader="none"/>
          <w:tab w:val="center" w:pos="9781" w:leader="none"/>
        </w:tabs>
        <w:jc w:val="start"/>
        <w:rPr/>
      </w:pPr>
      <w:r>
        <w:rPr/>
        <w:tab/>
        <w:t>(указать вид отчета: по странам дальнего зарубежья, странам СНГ, Германии, Украине, Казахстану)</w:t>
        <w:tab/>
        <w:t>(отчетный период)</w:t>
      </w:r>
    </w:p>
    <w:p>
      <w:pPr>
        <w:pStyle w:val="MGlavaCenter"/>
        <w:keepLines w:val="false"/>
        <w:spacing w:before="120" w:after="0"/>
        <w:rPr>
          <w:b w:val="false"/>
        </w:rPr>
      </w:pPr>
      <w:r>
        <w:rPr>
          <w:b w:val="false"/>
        </w:rPr>
        <w:t>Подраздел 1А. Движение иностранных активов (требований к нерезидентам) и доходы, начисленные к получению по ним</w:t>
      </w:r>
    </w:p>
    <w:p>
      <w:pPr>
        <w:pStyle w:val="MainTextBezOtstupa"/>
        <w:spacing w:before="0" w:after="60"/>
        <w:jc w:val="end"/>
        <w:rPr>
          <w:sz w:val="16"/>
        </w:rPr>
      </w:pPr>
      <w:r>
        <w:rPr>
          <w:sz w:val="16"/>
        </w:rPr>
        <w:t>тыс. долларов США</w:t>
      </w:r>
    </w:p>
    <w:tbl>
      <w:tblPr>
        <w:tblW w:w="10987" w:type="dxa"/>
        <w:jc w:val="center"/>
        <w:tblInd w:w="0" w:type="dxa"/>
        <w:tblLayout w:type="fixed"/>
        <w:tblCellMar>
          <w:top w:w="0" w:type="dxa"/>
          <w:start w:w="28" w:type="dxa"/>
          <w:bottom w:w="0" w:type="dxa"/>
          <w:end w:w="28" w:type="dxa"/>
        </w:tblCellMar>
      </w:tblPr>
      <w:tblGrid>
        <w:gridCol w:w="674"/>
        <w:gridCol w:w="3827"/>
        <w:gridCol w:w="1081"/>
        <w:gridCol w:w="1081"/>
        <w:gridCol w:w="1081"/>
        <w:gridCol w:w="1081"/>
        <w:gridCol w:w="1081"/>
        <w:gridCol w:w="1081"/>
      </w:tblGrid>
      <w:tr>
        <w:trPr>
          <w:tblHeader w:val="true"/>
          <w:cantSplit/>
        </w:trPr>
        <w:tc>
          <w:tcPr>
            <w:tcW w:w="67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Наличная иностранная валюта</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Чеки (в том числе дорожные чеки), выпущенные нерезидентами</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1А3</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корреспондентских счетах и депозиты до востребования в банках-нерезидентах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1А4</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Залоговые депозиты и покрытия по аккредитивам в банках-нерезидентах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Срочные и сберегательные депозиты в банках-нерезидентах (непросроченные)</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Ссуды (непросроченные), предоставленные нерезидентам</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1А7</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предоставленные по операциям, совершаемым с ценными бумагами на возвратной основе с нерезидентами без признания получаемых ценных бумаг</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(непросроченные), эмитированные нерезидентами</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в капитале нерезидентов</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1А10</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Недвижимое имущество филиалов и представительств на территориях иностранных государств</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погашенный в срок основной долг</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требования к нерезидентам</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(сумма строк 1А1—1А50.2)</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rPr/>
      </w:pPr>
      <w:r>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GlavaCenter"/>
        <w:spacing w:before="120" w:after="0"/>
        <w:rPr>
          <w:b w:val="false"/>
        </w:rPr>
      </w:pPr>
      <w:r>
        <w:rPr>
          <w:b w:val="false"/>
        </w:rPr>
        <w:t>Подраздел 1П. Движение иностранных пассивов (обязательств перед нерезидентами) и доходы, начисленные к выплате по ним</w:t>
      </w:r>
    </w:p>
    <w:p>
      <w:pPr>
        <w:pStyle w:val="MainTextBezOtstupa"/>
        <w:spacing w:before="0" w:after="60"/>
        <w:jc w:val="end"/>
        <w:rPr>
          <w:sz w:val="16"/>
        </w:rPr>
      </w:pPr>
      <w:r>
        <w:rPr>
          <w:sz w:val="16"/>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корреспондентских счетах и депозиты до востребования банков-нерезидентов</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текущих счетах и депозиты до востребования нерезидентов, кроме банков</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1П3</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Залоговые депозиты нерезидентов и покрытия по аккредитивам, перечисленные нерезидентами</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1П4</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Срочные и сберегательные депозиты,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1П4.1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1П4.2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1П6</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привлеченные по операциям, совершаемым с ценными бумагами на возвратной основе от нерезидентов без прекращения признания передаваемых ценных бумаг</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1П7</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выпущенные отчитывающимся банком (непросроченные) и приобретенные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1П7.1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1П7.2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1П8</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нерезидентов в капитале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1П8.1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1П8.2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1П9</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Просроченная задолженность перед нерезидентами (обязательства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1П9.1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погашенный в срок основной долг</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1П9.2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1П50</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обязательства перед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1П50.1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1П50.2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(сумма строк 1П1—1П50.2)</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rPr/>
      </w:pPr>
      <w:r>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ZagolovokCenter"/>
        <w:rPr>
          <w:b w:val="false"/>
        </w:rPr>
      </w:pPr>
      <w:r>
        <w:rPr>
          <w:b w:val="false"/>
          <w:color w:val="000000"/>
        </w:rPr>
        <w:t>Раздел 2. Отдельные иностранные активы и обязательства отчитывающегося банка в разбивке по секторам кредиторов и дебиторов</w:t>
      </w:r>
    </w:p>
    <w:p>
      <w:pPr>
        <w:pStyle w:val="MainTextBezOtstupa"/>
        <w:jc w:val="start"/>
        <w:rPr>
          <w:sz w:val="16"/>
        </w:rPr>
      </w:pPr>
      <w:r>
        <w:rPr>
          <w:sz w:val="16"/>
        </w:rPr>
        <w:t>Отчет по ___________________________________________________________________________________________ за _________________ г.</w:t>
      </w:r>
    </w:p>
    <w:p>
      <w:pPr>
        <w:pStyle w:val="Rasshifrovka"/>
        <w:tabs>
          <w:tab w:val="clear" w:pos="720"/>
          <w:tab w:val="center" w:pos="4678" w:leader="none"/>
          <w:tab w:val="center" w:pos="9781" w:leader="none"/>
        </w:tabs>
        <w:jc w:val="start"/>
        <w:rPr/>
      </w:pPr>
      <w:r>
        <w:rPr/>
        <w:tab/>
        <w:t>(указать вид отчета: по странам дальнего зарубежья, странам СНГ, Германии, Украине, Казахстану)</w:t>
        <w:tab/>
        <w:t>(отчетный период)</w:t>
      </w:r>
    </w:p>
    <w:p>
      <w:pPr>
        <w:pStyle w:val="MGlavaCenter"/>
        <w:keepLines w:val="false"/>
        <w:spacing w:before="120" w:after="0"/>
        <w:rPr>
          <w:b w:val="false"/>
        </w:rPr>
      </w:pPr>
      <w:r>
        <w:rPr>
          <w:b w:val="false"/>
        </w:rPr>
        <w:t>Подраздел 2А. Иностранные активы по секторам дебиторов</w:t>
      </w:r>
    </w:p>
    <w:p>
      <w:pPr>
        <w:pStyle w:val="MainTextBezOtstupa"/>
        <w:spacing w:before="0" w:after="60"/>
        <w:jc w:val="end"/>
        <w:rPr>
          <w:sz w:val="16"/>
        </w:rPr>
      </w:pPr>
      <w:r>
        <w:rPr>
          <w:sz w:val="16"/>
        </w:rPr>
        <w:t>тыс. долларов США</w:t>
      </w:r>
    </w:p>
    <w:tbl>
      <w:tblPr>
        <w:tblW w:w="10991" w:type="dxa"/>
        <w:jc w:val="center"/>
        <w:tblInd w:w="0" w:type="dxa"/>
        <w:tblLayout w:type="fixed"/>
        <w:tblCellMar>
          <w:top w:w="0" w:type="dxa"/>
          <w:start w:w="28" w:type="dxa"/>
          <w:bottom w:w="0" w:type="dxa"/>
          <w:end w:w="28" w:type="dxa"/>
        </w:tblCellMar>
      </w:tblPr>
      <w:tblGrid>
        <w:gridCol w:w="675"/>
        <w:gridCol w:w="6664"/>
        <w:gridCol w:w="1826"/>
        <w:gridCol w:w="1826"/>
      </w:tblGrid>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666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666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2А1</w:t>
            </w:r>
          </w:p>
        </w:tc>
        <w:tc>
          <w:tcPr>
            <w:tcW w:w="1031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Краткосрочные ссуды (непросроченные), предоставленные нерезидентам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2А1.1</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2А1.2</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Прочим нерезидентам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2А2</w:t>
            </w:r>
          </w:p>
        </w:tc>
        <w:tc>
          <w:tcPr>
            <w:tcW w:w="1031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Долгосрочные ссуды (непросроченные), предоставленные нерезидентам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2А2.1</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2А2.2</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Прочим нерезидентам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2А3</w:t>
            </w:r>
          </w:p>
        </w:tc>
        <w:tc>
          <w:tcPr>
            <w:tcW w:w="1031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(непросроченные), эмитированные нерезидентами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2А3.1</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Банками</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2А3.2</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Органами государственной власти и местными органами власти других стран</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2А3.3</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Прочими нерезидентами</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2А4</w:t>
            </w:r>
          </w:p>
        </w:tc>
        <w:tc>
          <w:tcPr>
            <w:tcW w:w="1031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в капитале нерезидентов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2А4.1</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2А4.2</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Прочих нерезидентов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2А5</w:t>
            </w:r>
          </w:p>
        </w:tc>
        <w:tc>
          <w:tcPr>
            <w:tcW w:w="1031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Средства, предоставленные по операциям, совершаемым с ценными бумагами на возвратной основе с нерезидентами без признания получаемых ценных бумаг</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2А5.1</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2А5.2</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Прочим нерезидентам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2А10</w:t>
            </w:r>
          </w:p>
        </w:tc>
        <w:tc>
          <w:tcPr>
            <w:tcW w:w="1031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нерезидентам, учтенные по строкам 1А11.1, 1А11.2, 1А50.1, 1А50.2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2А10.1</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2А10.2</w:t>
            </w:r>
          </w:p>
        </w:tc>
        <w:tc>
          <w:tcPr>
            <w:tcW w:w="666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Прочим нерезидентам</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keepLines w:val="false"/>
        <w:spacing w:before="240" w:after="0"/>
        <w:rPr>
          <w:b w:val="false"/>
        </w:rPr>
      </w:pPr>
      <w:r>
        <w:rPr>
          <w:b w:val="false"/>
        </w:rPr>
        <w:t>Подраздел 2П. Иностранные обязательства по секторам кредиторов</w:t>
      </w:r>
    </w:p>
    <w:p>
      <w:pPr>
        <w:pStyle w:val="MainTextBezOtstupa"/>
        <w:spacing w:before="0" w:after="60"/>
        <w:jc w:val="end"/>
        <w:rPr>
          <w:sz w:val="16"/>
        </w:rPr>
      </w:pPr>
      <w:r>
        <w:rPr>
          <w:sz w:val="16"/>
        </w:rPr>
        <w:t>тыс. долларов США</w:t>
      </w:r>
    </w:p>
    <w:tbl>
      <w:tblPr>
        <w:tblW w:w="10990" w:type="dxa"/>
        <w:jc w:val="center"/>
        <w:tblInd w:w="0" w:type="dxa"/>
        <w:tblLayout w:type="fixed"/>
        <w:tblCellMar>
          <w:top w:w="0" w:type="dxa"/>
          <w:start w:w="28" w:type="dxa"/>
          <w:bottom w:w="0" w:type="dxa"/>
          <w:end w:w="28" w:type="dxa"/>
        </w:tblCellMar>
      </w:tblPr>
      <w:tblGrid>
        <w:gridCol w:w="675"/>
        <w:gridCol w:w="6663"/>
        <w:gridCol w:w="1826"/>
        <w:gridCol w:w="1826"/>
      </w:tblGrid>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666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666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8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2П1</w:t>
            </w:r>
          </w:p>
        </w:tc>
        <w:tc>
          <w:tcPr>
            <w:tcW w:w="1031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Краткосрочные депозиты (непросроченные), привлеченные от нерезидентов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2П1.1</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2П1.2</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Прочих нерезидентов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2П2</w:t>
            </w:r>
          </w:p>
        </w:tc>
        <w:tc>
          <w:tcPr>
            <w:tcW w:w="1031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Долгосрочные депозиты (непросроченные), привлеченные от нерезидентов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2П2.1</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2П2.2</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Прочих нерезидентов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2П3</w:t>
            </w:r>
          </w:p>
        </w:tc>
        <w:tc>
          <w:tcPr>
            <w:tcW w:w="1031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Краткосрочные ссуды (непросроченные), привлеченные от нерезидентов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2П3.1</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2П3.2</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Прочих нерезидентов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2П4</w:t>
            </w:r>
          </w:p>
        </w:tc>
        <w:tc>
          <w:tcPr>
            <w:tcW w:w="1031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Долгосрочные ссуды (непросроченные), привлеченные от нерезидентов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2П4.1</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2П4.2</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Прочих нерезидентов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2П5</w:t>
            </w:r>
          </w:p>
        </w:tc>
        <w:tc>
          <w:tcPr>
            <w:tcW w:w="1031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нерезидентов в капитале отчитывающегося банка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2П5.1</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2П5.2</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Прочих нерезидентов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2П6</w:t>
            </w:r>
          </w:p>
        </w:tc>
        <w:tc>
          <w:tcPr>
            <w:tcW w:w="1031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Средства, привлеченные по операциям, совершаемым с ценными бумагами на возвратной основе от нерезидентов без прекращения признания передаваемых ценных бумаг</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2П6.1</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2П6.2</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Прочих нерезидентов</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2П10</w:t>
            </w:r>
          </w:p>
        </w:tc>
        <w:tc>
          <w:tcPr>
            <w:tcW w:w="1031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 перед нерезидентами, учтенные по строкам 1П7.1, 1П7.2, 1П9.1, 1П9.2, 1П50.1, 1П50.2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2П10.1</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Банками</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2П10.2</w:t>
            </w:r>
          </w:p>
        </w:tc>
        <w:tc>
          <w:tcPr>
            <w:tcW w:w="6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Прочими нерезидентами</w:t>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8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rPr/>
      </w:pPr>
      <w:r>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ZagolovokCenter"/>
        <w:rPr>
          <w:b w:val="false"/>
        </w:rPr>
      </w:pPr>
      <w:r>
        <w:rPr>
          <w:b w:val="false"/>
          <w:color w:val="000000"/>
        </w:rPr>
        <w:t>Раздел 3. Движение прямых иностранных инвестиций</w:t>
      </w:r>
    </w:p>
    <w:p>
      <w:pPr>
        <w:pStyle w:val="MainTextBezOtstupa"/>
        <w:jc w:val="start"/>
        <w:rPr>
          <w:sz w:val="16"/>
        </w:rPr>
      </w:pPr>
      <w:r>
        <w:rPr>
          <w:sz w:val="16"/>
        </w:rPr>
        <w:t>Отчет по ___________________________________________________________________________________________ за _________________ г.</w:t>
      </w:r>
    </w:p>
    <w:p>
      <w:pPr>
        <w:pStyle w:val="Rasshifrovka"/>
        <w:tabs>
          <w:tab w:val="clear" w:pos="720"/>
          <w:tab w:val="center" w:pos="4678" w:leader="none"/>
          <w:tab w:val="center" w:pos="9781" w:leader="none"/>
        </w:tabs>
        <w:jc w:val="start"/>
        <w:rPr/>
      </w:pPr>
      <w:r>
        <w:rPr/>
        <w:tab/>
        <w:t>(указать вид отчета: по странам дальнего зарубежья, странам СНГ, Германии, Украине, Казахстану)</w:t>
        <w:tab/>
        <w:t>(отчетный период)</w:t>
      </w:r>
    </w:p>
    <w:p>
      <w:pPr>
        <w:pStyle w:val="MGlavaCenter"/>
        <w:keepLines w:val="false"/>
        <w:spacing w:before="120" w:after="0"/>
        <w:rPr>
          <w:b w:val="false"/>
        </w:rPr>
      </w:pPr>
      <w:r>
        <w:rPr>
          <w:b w:val="false"/>
        </w:rPr>
        <w:t>Подраздел 3А. Движение иностранных активов отчитывающегося банка по отношению к нерезидентам, в капитале которых по состоянию на начало и (или) конец отчетного периода у отчитывающегося банка имелось участие, обеспечивавшее не менее 10 процентов голосов</w:t>
      </w:r>
    </w:p>
    <w:p>
      <w:pPr>
        <w:pStyle w:val="MainTextBezOtstupa"/>
        <w:spacing w:before="0" w:after="60"/>
        <w:jc w:val="end"/>
        <w:rPr>
          <w:sz w:val="16"/>
        </w:rPr>
      </w:pPr>
      <w:r>
        <w:rPr>
          <w:sz w:val="16"/>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банкам-нерезидентам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в капитале банков-нерезидентов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Субординированные (бессрочные) кредиты</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прочим юридическим лицам — 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в капитале прочих юридических лиц — 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предоставленные 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3А2.3</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предоставленные 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3А2.4</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ценные бумаги 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3А2.5</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ценные бумаги долгосрочные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3А2.10</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краткосрочные 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3А2.11</w:t>
            </w:r>
          </w:p>
        </w:tc>
        <w:tc>
          <w:tcPr>
            <w:tcW w:w="3828"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Прочие долгосрочные требования</w:t>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bottom w:val="single" w:sz="6" w:space="0" w:color="000000"/>
            </w:tcBorders>
          </w:tcPr>
          <w:p>
            <w:pPr>
              <w:pStyle w:val="MainText"/>
              <w:snapToGrid w:val="false"/>
              <w:ind w:hanging="0" w:end="0"/>
              <w:jc w:val="start"/>
              <w:rPr>
                <w:sz w:val="16"/>
              </w:rPr>
            </w:pPr>
            <w:r>
              <w:rPr>
                <w:rFonts w:cs="Arial"/>
                <w:sz w:val="16"/>
              </w:rPr>
            </w:r>
          </w:p>
        </w:tc>
        <w:tc>
          <w:tcPr>
            <w:tcW w:w="3828" w:type="dxa"/>
            <w:tcBorders>
              <w:top w:val="single" w:sz="6" w:space="0" w:color="000000"/>
              <w:bottom w:val="single" w:sz="6" w:space="0" w:color="000000"/>
            </w:tcBorders>
          </w:tcPr>
          <w:p>
            <w:pPr>
              <w:pStyle w:val="MainText"/>
              <w:snapToGrid w:val="false"/>
              <w:ind w:hanging="0" w:end="0"/>
              <w:jc w:val="start"/>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3А3</w:t>
            </w:r>
          </w:p>
        </w:tc>
        <w:tc>
          <w:tcPr>
            <w:tcW w:w="9233"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нераспределенной прибыли (убытка) отчетного периода, соответствующая доле участия отчитывающегося банка в капитале нерезидентов</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spacing w:before="240" w:after="0"/>
        <w:rPr>
          <w:b w:val="false"/>
        </w:rPr>
      </w:pPr>
      <w:r>
        <w:rPr>
          <w:b w:val="false"/>
        </w:rPr>
        <w:t>Подраздел 3П. Движение иностранных обязательств отчитывающегося банка перед нерезидентами, у каждого из которых по состоянию на начало и (или) конец отчетного периода имелось участие в капитале отчитывающегося банка, обеспечивавшее не менее 10 процентов голосов</w:t>
      </w:r>
    </w:p>
    <w:p>
      <w:pPr>
        <w:pStyle w:val="MainTextBezOtstupa"/>
        <w:spacing w:before="0" w:after="60"/>
        <w:jc w:val="end"/>
        <w:rPr>
          <w:sz w:val="16"/>
        </w:rPr>
      </w:pPr>
      <w:r>
        <w:rPr>
          <w:sz w:val="16"/>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 перед банками-нерезидентами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банков-нерезидентов в капитале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Субординированные (бессрочные) кредиты</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 перед прочими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прочих нерезидентов в капитале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3П2.2</w:t>
            </w:r>
          </w:p>
        </w:tc>
        <w:tc>
          <w:tcPr>
            <w:tcW w:w="3828"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Субординированные (бессрочные) кредиты</w:t>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bottom w:val="single" w:sz="6" w:space="0" w:color="000000"/>
            </w:tcBorders>
          </w:tcPr>
          <w:p>
            <w:pPr>
              <w:pStyle w:val="MainText"/>
              <w:snapToGrid w:val="false"/>
              <w:ind w:hanging="0" w:end="0"/>
              <w:jc w:val="start"/>
              <w:rPr>
                <w:sz w:val="16"/>
              </w:rPr>
            </w:pPr>
            <w:r>
              <w:rPr>
                <w:rFonts w:cs="Arial"/>
                <w:sz w:val="16"/>
              </w:rPr>
            </w:r>
          </w:p>
        </w:tc>
        <w:tc>
          <w:tcPr>
            <w:tcW w:w="3828" w:type="dxa"/>
            <w:tcBorders>
              <w:top w:val="single" w:sz="6" w:space="0" w:color="000000"/>
              <w:bottom w:val="single" w:sz="6" w:space="0" w:color="000000"/>
            </w:tcBorders>
          </w:tcPr>
          <w:p>
            <w:pPr>
              <w:pStyle w:val="MainText"/>
              <w:snapToGrid w:val="false"/>
              <w:ind w:hanging="0" w:end="0"/>
              <w:jc w:val="start"/>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bottom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3П3</w:t>
            </w:r>
          </w:p>
        </w:tc>
        <w:tc>
          <w:tcPr>
            <w:tcW w:w="9233"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нераспределенной прибыли (убытка) отчетного периода, соответствующая доле участия нерезидентов в капитале отчитывающегося банка</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rPr/>
      </w:pPr>
      <w:r>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ZagolovokCenter"/>
        <w:rPr>
          <w:b w:val="false"/>
        </w:rPr>
      </w:pPr>
      <w:r>
        <w:rPr>
          <w:b w:val="false"/>
          <w:color w:val="000000"/>
        </w:rPr>
        <w:t>Раздел 4. Движение иностранных активов и обязательств отчитывающегося банка по операциям, совершаемым с ценными бумагами на возвратной основе</w:t>
      </w:r>
    </w:p>
    <w:p>
      <w:pPr>
        <w:pStyle w:val="MainTextBezOtstupa"/>
        <w:tabs>
          <w:tab w:val="clear" w:pos="720"/>
          <w:tab w:val="center" w:pos="1871" w:leader="none"/>
        </w:tabs>
        <w:jc w:val="start"/>
        <w:rPr>
          <w:sz w:val="16"/>
        </w:rPr>
      </w:pPr>
      <w:r>
        <w:rPr>
          <w:sz w:val="16"/>
        </w:rPr>
        <w:t>Отчет за</w:t>
        <w:tab/>
        <w:t>_____________________________ г.</w:t>
      </w:r>
    </w:p>
    <w:p>
      <w:pPr>
        <w:pStyle w:val="Rasshifrovka"/>
        <w:tabs>
          <w:tab w:val="clear" w:pos="720"/>
          <w:tab w:val="center" w:pos="1985" w:leader="none"/>
        </w:tabs>
        <w:jc w:val="start"/>
        <w:rPr/>
      </w:pPr>
      <w:r>
        <w:rPr/>
        <w:tab/>
        <w:t>(отчетный период)</w:t>
      </w:r>
    </w:p>
    <w:p>
      <w:pPr>
        <w:pStyle w:val="MGlavaCenter"/>
        <w:keepLines w:val="false"/>
        <w:spacing w:before="120" w:after="0"/>
        <w:rPr>
          <w:b w:val="false"/>
        </w:rPr>
      </w:pPr>
      <w:r>
        <w:rPr>
          <w:b w:val="false"/>
        </w:rPr>
        <w:t>Подраздел 4А. Движение иностранных активов по операциям, совершаемым с ценными бумагами на возвратной основе без признания получаемых ценных бумаг</w:t>
      </w:r>
    </w:p>
    <w:p>
      <w:pPr>
        <w:pStyle w:val="MainTextBezOtstupa"/>
        <w:spacing w:before="0" w:after="60"/>
        <w:jc w:val="end"/>
        <w:rPr>
          <w:sz w:val="16"/>
        </w:rPr>
      </w:pPr>
      <w:r>
        <w:rPr>
          <w:sz w:val="16"/>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 ценными бумагами 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Российской Федерации,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Российской Федерации,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4А1.3</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субъектов Российской Федерации и органов местного самоуправления,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4А1.4</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субъектов Российской Федерации и органов местного самоуправления,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4А1.5</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кредитных организаций,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4А1.6</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кредитных организаций,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4А1.7</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прочих резидентов,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4А1.8</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прочих резидентов,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4А2</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 ценными бумагами 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4А2.1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нерезидентов,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4А2.2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нерезидентов,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rPr/>
      </w:pPr>
      <w:r>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GlavaCenter"/>
        <w:spacing w:before="120" w:after="0"/>
        <w:rPr>
          <w:b w:val="false"/>
        </w:rPr>
      </w:pPr>
      <w:r>
        <w:rPr>
          <w:b w:val="false"/>
        </w:rPr>
        <w:t>Подраздел 4П. Движение иностранных обязательств по операциям, совершаемым с ценными бумагами на возвратной основе без прекращения признания передаваемых ценных бумаг</w:t>
      </w:r>
    </w:p>
    <w:p>
      <w:pPr>
        <w:pStyle w:val="MainTextBezOtstupa"/>
        <w:spacing w:before="0" w:after="60"/>
        <w:jc w:val="end"/>
        <w:rPr>
          <w:sz w:val="16"/>
        </w:rPr>
      </w:pPr>
      <w:r>
        <w:rPr>
          <w:sz w:val="16"/>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Изменение пассивов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Изменение пассивов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изменения пассивов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Проценты,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 ценными бумагами 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Российской Федерации,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Российской Федерации,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4П1.3</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субъектов Российской Федерации и органов местного самоуправления,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4П1.4</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субъектов Российской Федерации и органов местного самоуправления,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4П1.5</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кредитных организаций,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4П1.6</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кредитных организаций,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4П1.7</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прочих резидентов,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4П1.8</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прочих резидентов,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4П2</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 ценными бумагами 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4П2.1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нерезидентов, номинированные в иностранной валюте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4П2.2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Долговые обязательства и акции нерезидентов, номинированные в российских рублях</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rPr/>
      </w:pPr>
      <w:r>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ZagolovokCenter"/>
        <w:rPr>
          <w:b w:val="false"/>
        </w:rPr>
      </w:pPr>
      <w:r>
        <w:rPr>
          <w:b w:val="false"/>
          <w:color w:val="000000"/>
        </w:rPr>
        <w:t>Раздел 5. Активы и обязательства отчитывающегося банка по состоянию на конец отчетного периода в разбивке по видам валют</w:t>
      </w:r>
    </w:p>
    <w:p>
      <w:pPr>
        <w:pStyle w:val="MainTextBezOtstupa"/>
        <w:tabs>
          <w:tab w:val="clear" w:pos="720"/>
          <w:tab w:val="center" w:pos="1871" w:leader="none"/>
        </w:tabs>
        <w:jc w:val="start"/>
        <w:rPr>
          <w:sz w:val="16"/>
        </w:rPr>
      </w:pPr>
      <w:r>
        <w:rPr>
          <w:sz w:val="16"/>
        </w:rPr>
        <w:t>Отчет за</w:t>
        <w:tab/>
        <w:t>_____________________________ г.</w:t>
      </w:r>
    </w:p>
    <w:p>
      <w:pPr>
        <w:pStyle w:val="Rasshifrovka"/>
        <w:tabs>
          <w:tab w:val="clear" w:pos="720"/>
          <w:tab w:val="center" w:pos="1985" w:leader="none"/>
        </w:tabs>
        <w:spacing w:before="0" w:after="0"/>
        <w:jc w:val="start"/>
        <w:rPr/>
      </w:pPr>
      <w:r>
        <w:rPr/>
        <w:tab/>
        <w:t>(отчетный период)</w:t>
      </w:r>
    </w:p>
    <w:p>
      <w:pPr>
        <w:pStyle w:val="MainTextBezOtstupa"/>
        <w:spacing w:before="0" w:after="60"/>
        <w:jc w:val="end"/>
        <w:rPr>
          <w:sz w:val="16"/>
        </w:rPr>
      </w:pPr>
      <w:r>
        <w:rPr>
          <w:sz w:val="16"/>
        </w:rPr>
        <w:t>тыс. долларов США</w:t>
      </w:r>
    </w:p>
    <w:tbl>
      <w:tblPr>
        <w:tblW w:w="10990" w:type="dxa"/>
        <w:jc w:val="center"/>
        <w:tblInd w:w="0" w:type="dxa"/>
        <w:tblLayout w:type="fixed"/>
        <w:tblCellMar>
          <w:top w:w="0" w:type="dxa"/>
          <w:start w:w="28" w:type="dxa"/>
          <w:bottom w:w="0" w:type="dxa"/>
          <w:end w:w="28" w:type="dxa"/>
        </w:tblCellMar>
      </w:tblPr>
      <w:tblGrid>
        <w:gridCol w:w="675"/>
        <w:gridCol w:w="2266"/>
        <w:gridCol w:w="1149"/>
        <w:gridCol w:w="1149"/>
        <w:gridCol w:w="924"/>
        <w:gridCol w:w="1149"/>
        <w:gridCol w:w="1149"/>
        <w:gridCol w:w="1605"/>
        <w:gridCol w:w="924"/>
      </w:tblGrid>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226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Валюта</w:t>
            </w:r>
          </w:p>
        </w:tc>
        <w:tc>
          <w:tcPr>
            <w:tcW w:w="3222" w:type="dxa"/>
            <w:gridSpan w:val="3"/>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Активы (требования)</w:t>
            </w:r>
          </w:p>
        </w:tc>
        <w:tc>
          <w:tcPr>
            <w:tcW w:w="4827"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Обязательства (кроме участия в капитале)</w:t>
            </w:r>
          </w:p>
        </w:tc>
      </w:tr>
      <w:tr>
        <w:trPr>
          <w:tblHeader w:val="true"/>
          <w:cantSplit/>
        </w:trPr>
        <w:tc>
          <w:tcPr>
            <w:tcW w:w="675" w:type="dxa"/>
            <w:tcBorders>
              <w:start w:val="single" w:sz="6" w:space="0" w:color="000000"/>
              <w:end w:val="single" w:sz="6" w:space="0" w:color="000000"/>
            </w:tcBorders>
          </w:tcPr>
          <w:p>
            <w:pPr>
              <w:pStyle w:val="MainText"/>
              <w:keepNext w:val="true"/>
              <w:ind w:hanging="0" w:end="0"/>
              <w:jc w:val="center"/>
              <w:rPr>
                <w:sz w:val="16"/>
              </w:rPr>
            </w:pPr>
            <w:r>
              <w:rPr>
                <w:sz w:val="16"/>
              </w:rPr>
              <w:t>строки</w:t>
            </w:r>
          </w:p>
        </w:tc>
        <w:tc>
          <w:tcPr>
            <w:tcW w:w="2266"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нерезиденты</w:t>
            </w:r>
            <w:r>
              <w:rPr>
                <w:sz w:val="16"/>
                <w:vertAlign w:val="superscript"/>
              </w:rPr>
              <w:t>1</w:t>
            </w:r>
          </w:p>
        </w:tc>
        <w:tc>
          <w:tcPr>
            <w:tcW w:w="2073"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резиденты</w:t>
            </w:r>
          </w:p>
        </w:tc>
        <w:tc>
          <w:tcPr>
            <w:tcW w:w="114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нерезиденты</w:t>
            </w:r>
            <w:r>
              <w:rPr>
                <w:sz w:val="16"/>
                <w:vertAlign w:val="superscript"/>
              </w:rPr>
              <w:t>1</w:t>
            </w:r>
          </w:p>
        </w:tc>
        <w:tc>
          <w:tcPr>
            <w:tcW w:w="3678"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резиденты</w:t>
            </w:r>
          </w:p>
        </w:tc>
      </w:tr>
      <w:tr>
        <w:trPr>
          <w:tblHeader w:val="true"/>
          <w:cantSplit/>
        </w:trPr>
        <w:tc>
          <w:tcPr>
            <w:tcW w:w="675"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66"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кредитные организации</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w:t>
            </w:r>
          </w:p>
        </w:tc>
        <w:tc>
          <w:tcPr>
            <w:tcW w:w="114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кредитные организации</w:t>
            </w:r>
          </w:p>
        </w:tc>
        <w:tc>
          <w:tcPr>
            <w:tcW w:w="160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физические лица, кроме индивидуальных предпринимателей</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66"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60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5.1</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Доллары США</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5.2</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Швейцарские франки</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5.3</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Иены</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5.4</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Гривны</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5.5</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Фунты стерлингов</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5.6</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Драгоценные металлы</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5.7</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Российские рубли</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5.8</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Евро</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5.48</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Валюты стран СНГ, кроме российских рублей и гривен</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5.49</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СКВ, кроме указанных по строкам 5.1, 5.2, 5.3, 5.5, 5.8</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5.50</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иностранные валюты</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5.51</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w:t>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pBdr>
          <w:top w:val="single" w:sz="6" w:space="1" w:color="000000"/>
        </w:pBdr>
        <w:spacing w:before="240" w:after="0"/>
        <w:ind w:hanging="0" w:end="0"/>
        <w:jc w:val="start"/>
        <w:rPr>
          <w:sz w:val="16"/>
        </w:rPr>
      </w:pPr>
      <w:r>
        <w:rPr>
          <w:sz w:val="16"/>
          <w:vertAlign w:val="superscript"/>
        </w:rPr>
        <w:t>1</w:t>
      </w:r>
      <w:r>
        <w:rPr>
          <w:sz w:val="16"/>
        </w:rPr>
        <w:t xml:space="preserve"> По отношению ко всем нерезидентам.</w:t>
      </w:r>
    </w:p>
    <w:p>
      <w:pPr>
        <w:pStyle w:val="MainText"/>
        <w:rPr/>
      </w:pPr>
      <w:r>
        <w:rPr>
          <w:sz w:val="16"/>
        </w:rPr>
      </w:r>
      <w:r>
        <w:br w:type="page"/>
      </w:r>
    </w:p>
    <w:p>
      <w:pPr>
        <w:pStyle w:val="MainTextBezOtstupa"/>
        <w:rPr>
          <w:sz w:val="16"/>
        </w:rPr>
      </w:pPr>
      <w:r>
        <w:rPr>
          <w:sz w:val="16"/>
        </w:rPr>
        <w:t>Наименование кредитной организации ______________________________________________________________________________ стр. X из Y</w:t>
      </w:r>
    </w:p>
    <w:p>
      <w:pPr>
        <w:pStyle w:val="MainTextBezOtstupa"/>
        <w:rPr>
          <w:sz w:val="16"/>
        </w:rPr>
      </w:pPr>
      <w:r>
        <w:rPr>
          <w:sz w:val="16"/>
        </w:rPr>
        <w:t>Наименование кредитной организации ____________________________________________________________________________ стр. X из Y</w:t>
      </w:r>
    </w:p>
    <w:p>
      <w:pPr>
        <w:pStyle w:val="MZagolovokCenter"/>
        <w:rPr>
          <w:b w:val="false"/>
        </w:rPr>
      </w:pPr>
      <w:r>
        <w:rPr>
          <w:b w:val="false"/>
          <w:color w:val="000000"/>
        </w:rPr>
        <w:t>Раздел 6. Производные финансовые инструменты</w:t>
      </w:r>
    </w:p>
    <w:p>
      <w:pPr>
        <w:pStyle w:val="MainTextBezOtstupa"/>
        <w:jc w:val="start"/>
        <w:rPr>
          <w:sz w:val="16"/>
        </w:rPr>
      </w:pPr>
      <w:r>
        <w:rPr>
          <w:sz w:val="16"/>
        </w:rPr>
        <w:t>Отчет по ___________________________________________________________________________________________ за _________________ г.</w:t>
      </w:r>
    </w:p>
    <w:p>
      <w:pPr>
        <w:pStyle w:val="Rasshifrovka"/>
        <w:tabs>
          <w:tab w:val="clear" w:pos="720"/>
          <w:tab w:val="center" w:pos="4678" w:leader="none"/>
          <w:tab w:val="center" w:pos="9781" w:leader="none"/>
        </w:tabs>
        <w:jc w:val="start"/>
        <w:rPr/>
      </w:pPr>
      <w:r>
        <w:rPr/>
        <w:tab/>
        <w:t>(указать вид отчета: по странам дальнего зарубежья, странам СНГ, Германии, Украине, Казахстану)</w:t>
        <w:tab/>
        <w:t>(отчетный период)</w:t>
      </w:r>
    </w:p>
    <w:p>
      <w:pPr>
        <w:pStyle w:val="MGlavaCenter"/>
        <w:keepLines w:val="false"/>
        <w:spacing w:before="120" w:after="0"/>
        <w:rPr>
          <w:b w:val="false"/>
        </w:rPr>
      </w:pPr>
      <w:r>
        <w:rPr>
          <w:b w:val="false"/>
        </w:rPr>
        <w:t>Подраздел 6.1. Опционы и фьючерсы</w:t>
      </w:r>
    </w:p>
    <w:p>
      <w:pPr>
        <w:pStyle w:val="MainTextBezOtstupa"/>
        <w:spacing w:before="0" w:after="60"/>
        <w:jc w:val="end"/>
        <w:rPr>
          <w:sz w:val="16"/>
        </w:rPr>
      </w:pPr>
      <w:r>
        <w:rPr/>
        <w:t>тыс. долларов США</w:t>
      </w:r>
    </w:p>
    <w:tbl>
      <w:tblPr>
        <w:tblW w:w="10930" w:type="dxa"/>
        <w:jc w:val="center"/>
        <w:tblInd w:w="0" w:type="dxa"/>
        <w:tblLayout w:type="fixed"/>
        <w:tblCellMar>
          <w:top w:w="0" w:type="dxa"/>
          <w:start w:w="28" w:type="dxa"/>
          <w:bottom w:w="0" w:type="dxa"/>
          <w:end w:w="28" w:type="dxa"/>
        </w:tblCellMar>
      </w:tblPr>
      <w:tblGrid>
        <w:gridCol w:w="673"/>
        <w:gridCol w:w="566"/>
        <w:gridCol w:w="1135"/>
        <w:gridCol w:w="861"/>
        <w:gridCol w:w="861"/>
        <w:gridCol w:w="861"/>
        <w:gridCol w:w="805"/>
        <w:gridCol w:w="861"/>
        <w:gridCol w:w="861"/>
        <w:gridCol w:w="861"/>
        <w:gridCol w:w="805"/>
        <w:gridCol w:w="919"/>
        <w:gridCol w:w="861"/>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56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валюты</w:t>
            </w:r>
          </w:p>
        </w:tc>
        <w:tc>
          <w:tcPr>
            <w:tcW w:w="113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Резидент</w:t>
            </w:r>
          </w:p>
        </w:tc>
        <w:tc>
          <w:tcPr>
            <w:tcW w:w="3388"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Опционы, выписанные на нерезидентов</w:t>
            </w:r>
          </w:p>
        </w:tc>
        <w:tc>
          <w:tcPr>
            <w:tcW w:w="3388"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Опционы, купленные у нерезидентов</w:t>
            </w:r>
          </w:p>
        </w:tc>
        <w:tc>
          <w:tcPr>
            <w:tcW w:w="178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Опционы и фьючерсы, заключенные на биржах</w:t>
            </w:r>
          </w:p>
        </w:tc>
      </w:tr>
      <w:tr>
        <w:trPr>
          <w:tblHeader w:val="true"/>
          <w:cantSplit/>
        </w:trPr>
        <w:tc>
          <w:tcPr>
            <w:tcW w:w="673" w:type="dxa"/>
            <w:tcBorders>
              <w:start w:val="single" w:sz="6" w:space="0" w:color="000000"/>
              <w:end w:val="single" w:sz="6" w:space="0" w:color="000000"/>
            </w:tcBorders>
          </w:tcPr>
          <w:p>
            <w:pPr>
              <w:pStyle w:val="MainText"/>
              <w:snapToGrid w:val="false"/>
              <w:ind w:hanging="0" w:end="0"/>
              <w:jc w:val="center"/>
              <w:rPr>
                <w:sz w:val="14"/>
              </w:rPr>
            </w:pPr>
            <w:r>
              <w:rPr>
                <w:rFonts w:cs="Arial"/>
                <w:sz w:val="14"/>
              </w:rPr>
            </w:r>
          </w:p>
        </w:tc>
        <w:tc>
          <w:tcPr>
            <w:tcW w:w="566"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86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начало</w:t>
            </w:r>
          </w:p>
        </w:tc>
        <w:tc>
          <w:tcPr>
            <w:tcW w:w="17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изменения в отчетном периоде</w:t>
            </w:r>
          </w:p>
        </w:tc>
        <w:tc>
          <w:tcPr>
            <w:tcW w:w="80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конец</w:t>
            </w:r>
          </w:p>
        </w:tc>
        <w:tc>
          <w:tcPr>
            <w:tcW w:w="86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начало</w:t>
            </w:r>
          </w:p>
        </w:tc>
        <w:tc>
          <w:tcPr>
            <w:tcW w:w="17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изменения в отчетном периоде</w:t>
            </w:r>
          </w:p>
        </w:tc>
        <w:tc>
          <w:tcPr>
            <w:tcW w:w="80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конец</w:t>
            </w:r>
          </w:p>
        </w:tc>
        <w:tc>
          <w:tcPr>
            <w:tcW w:w="178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отклонения по марже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rFonts w:cs="Arial"/>
                <w:sz w:val="12"/>
              </w:rPr>
            </w:r>
          </w:p>
        </w:tc>
        <w:tc>
          <w:tcPr>
            <w:tcW w:w="566"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135"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61"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изменения в результате операций</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прочие изменения, включая переоценки</w:t>
            </w:r>
          </w:p>
        </w:tc>
        <w:tc>
          <w:tcPr>
            <w:tcW w:w="805"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изменения в результате операций</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прочие изменения, включая переоценки</w:t>
            </w:r>
          </w:p>
        </w:tc>
        <w:tc>
          <w:tcPr>
            <w:tcW w:w="805"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полученные от нерезидентов</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выплаченные нерезидентам</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8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8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6.1.1</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RUB</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6.1.2</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RUB</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6.1.3</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6.1.4</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6.1.5</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EUR</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6.1.6</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EUR</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6.1.7</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JPY</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6.1.8</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JPY</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6.1.9</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Other</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6.1.10</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Other</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keepLines w:val="false"/>
        <w:spacing w:before="240" w:after="0"/>
        <w:rPr>
          <w:b w:val="false"/>
        </w:rPr>
      </w:pPr>
      <w:r>
        <w:rPr>
          <w:b w:val="false"/>
        </w:rPr>
        <w:t>Подраздел 6.2. Внебиржевые производные финансовые инструменты: процентные, валютные свопы и форварды, прочие контракты форвардного типа</w:t>
      </w:r>
    </w:p>
    <w:p>
      <w:pPr>
        <w:pStyle w:val="MainTextBezOtstupa"/>
        <w:spacing w:before="0" w:after="60"/>
        <w:jc w:val="end"/>
        <w:rPr>
          <w:sz w:val="16"/>
        </w:rPr>
      </w:pPr>
      <w:r>
        <w:rPr>
          <w:sz w:val="16"/>
        </w:rPr>
        <w:t>тыс. долларов США</w:t>
      </w:r>
    </w:p>
    <w:tbl>
      <w:tblPr>
        <w:tblW w:w="10981" w:type="dxa"/>
        <w:jc w:val="center"/>
        <w:tblInd w:w="0" w:type="dxa"/>
        <w:tblLayout w:type="fixed"/>
        <w:tblCellMar>
          <w:top w:w="0" w:type="dxa"/>
          <w:start w:w="28" w:type="dxa"/>
          <w:bottom w:w="0" w:type="dxa"/>
          <w:end w:w="28" w:type="dxa"/>
        </w:tblCellMar>
      </w:tblPr>
      <w:tblGrid>
        <w:gridCol w:w="673"/>
        <w:gridCol w:w="709"/>
        <w:gridCol w:w="2124"/>
        <w:gridCol w:w="1495"/>
        <w:gridCol w:w="1495"/>
        <w:gridCol w:w="1495"/>
        <w:gridCol w:w="1495"/>
        <w:gridCol w:w="1495"/>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0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Код</w:t>
            </w:r>
          </w:p>
        </w:tc>
        <w:tc>
          <w:tcPr>
            <w:tcW w:w="212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Резидент</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Требования</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Остаток на начало</w:t>
            </w:r>
          </w:p>
        </w:tc>
        <w:tc>
          <w:tcPr>
            <w:tcW w:w="299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Изменения в отчетном периоде</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Остаток на конец</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09"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валюты</w:t>
            </w:r>
          </w:p>
        </w:tc>
        <w:tc>
          <w:tcPr>
            <w:tcW w:w="212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w:t>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отчетного периода</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изменение в результате операций</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изменения, включая переоценки</w:t>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отчетного периода</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RUB</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6.2.2</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RUB</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6.2.3</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RUB</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6.2.4</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RUB</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6.2.5</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6.2.6</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6.2.7</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6.2.8</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6.2.9</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EUR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6.2.10</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EUR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6.2.11</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EUR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6.2.12</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EUR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6.2.13</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JPY</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6.2.14</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JPY</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6.2.15</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JPY</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6.2.16</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JPY</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6.2.17</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Other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6.2.18</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Other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6.2.19</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Other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6.2.20</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Other</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rPr/>
      </w:pPr>
      <w:r>
        <w:rPr/>
      </w:r>
      <w:r>
        <w:br w:type="page"/>
      </w:r>
    </w:p>
    <w:p>
      <w:pPr>
        <w:pStyle w:val="MZagolovokCenter"/>
        <w:rPr/>
      </w:pPr>
      <w:r>
        <w:rPr>
          <w:color w:val="000000"/>
        </w:rPr>
        <w:t>Порядок составления и представления отчетности по форме 0409401 “Отчет уполномоченного банка об иностранных операциях”</w:t>
      </w:r>
    </w:p>
    <w:p>
      <w:pPr>
        <w:pStyle w:val="MZagolovokCenter"/>
        <w:keepLines w:val="false"/>
        <w:rPr>
          <w:b w:val="false"/>
        </w:rPr>
      </w:pPr>
      <w:r>
        <w:rPr>
          <w:b w:val="false"/>
        </w:rPr>
        <w:t>Раздел I. Общие положения</w:t>
      </w:r>
    </w:p>
    <w:p>
      <w:pPr>
        <w:pStyle w:val="MZagolovokCenter"/>
        <w:keepLines w:val="false"/>
        <w:spacing w:before="120" w:after="0"/>
        <w:rPr>
          <w:b w:val="false"/>
        </w:rPr>
      </w:pPr>
      <w:r>
        <w:rPr>
          <w:b w:val="false"/>
        </w:rPr>
        <w:t>Подраздел 1. Краткая характеристика и структура отчетности по форме 0409401 “Отчет уполномоченного банка об иностранных операциях”</w:t>
      </w:r>
    </w:p>
    <w:p>
      <w:pPr>
        <w:pStyle w:val="MainTextPodzagolovok401"/>
        <w:keepLines w:val="false"/>
        <w:rPr>
          <w:rFonts w:ascii="Arial" w:hAnsi="Arial" w:cs="Arial"/>
        </w:rPr>
      </w:pPr>
      <w:r>
        <w:rPr>
          <w:rFonts w:cs="Arial" w:ascii="Arial" w:hAnsi="Arial"/>
        </w:rPr>
        <w:t>I.1. Цель сбора информации</w:t>
      </w:r>
    </w:p>
    <w:p>
      <w:pPr>
        <w:pStyle w:val="MainText"/>
        <w:rPr/>
      </w:pPr>
      <w:r>
        <w:rPr/>
        <w:t>Собираемая в рамках отчетности по форме 0409401 “Отчет уполномоченного банка об иностранных операциях” (далее — Отчет) информация используется для составления платежного баланса Российской Федерации и международной инвестиционной позиции банковской системы Российской Федерации.</w:t>
      </w:r>
    </w:p>
    <w:p>
      <w:pPr>
        <w:pStyle w:val="MainTextPodzagolovok401"/>
        <w:rPr>
          <w:rFonts w:ascii="Arial" w:hAnsi="Arial" w:cs="Arial"/>
        </w:rPr>
      </w:pPr>
      <w:r>
        <w:rPr>
          <w:rFonts w:cs="Arial" w:ascii="Arial" w:hAnsi="Arial"/>
        </w:rPr>
        <w:t>I.2. Раскрытие информации и публикация данных Банком России</w:t>
      </w:r>
    </w:p>
    <w:p>
      <w:pPr>
        <w:pStyle w:val="MainText"/>
        <w:rPr/>
      </w:pPr>
      <w:r>
        <w:rPr/>
        <w:t>Полученные сведения представляются в платежном балансе Российской Федерации в агрегированном виде. Банк России гарантирует конфиденциальность полученной информации.</w:t>
      </w:r>
    </w:p>
    <w:p>
      <w:pPr>
        <w:pStyle w:val="MainTextPodzagolovok401"/>
        <w:rPr>
          <w:rFonts w:ascii="Arial" w:hAnsi="Arial" w:cs="Arial"/>
        </w:rPr>
      </w:pPr>
      <w:r>
        <w:rPr>
          <w:rFonts w:cs="Arial" w:ascii="Arial" w:hAnsi="Arial"/>
        </w:rPr>
        <w:t>I.3. Порядок и сроки представления Отчета</w:t>
      </w:r>
    </w:p>
    <w:p>
      <w:pPr>
        <w:pStyle w:val="MainText"/>
        <w:rPr/>
      </w:pPr>
      <w:r>
        <w:rPr/>
        <w:t>Уполномоченные банки направляют Отчет только в электронном виде в территориальные учреждения Банка России.</w:t>
      </w:r>
    </w:p>
    <w:p>
      <w:pPr>
        <w:pStyle w:val="MainText"/>
        <w:rPr/>
      </w:pPr>
      <w:r>
        <w:rPr/>
        <w:t>Срок представления Отчета для уполномоченных банков — не позднее 10-го рабочего дня месяца, следующего за отчетным. Срок представления Отчета для крупных кредитных организаций с широкой сетью подразделений — не позднее 15-го рабочего дня месяца, следующего за отчетным.</w:t>
      </w:r>
    </w:p>
    <w:p>
      <w:pPr>
        <w:pStyle w:val="MainText"/>
        <w:rPr/>
      </w:pPr>
      <w:r>
        <w:rPr/>
        <w:t>В случае выявления фактов представления недостоверных данных предыдущих отчетных периодов уполномоченные банки должны направлять в территориальные учреждения Банка России исправленный Отчет путем полной замены ранее представленного Отчета (в пределах последних 12 месяцев).</w:t>
      </w:r>
    </w:p>
    <w:p>
      <w:pPr>
        <w:pStyle w:val="MainTextPodzagolovok401"/>
        <w:rPr>
          <w:rFonts w:ascii="Arial" w:hAnsi="Arial" w:cs="Arial"/>
        </w:rPr>
      </w:pPr>
      <w:r>
        <w:rPr>
          <w:rFonts w:cs="Arial" w:ascii="Arial" w:hAnsi="Arial"/>
        </w:rPr>
        <w:t>I.4. Единицы измерения</w:t>
      </w:r>
    </w:p>
    <w:p>
      <w:pPr>
        <w:pStyle w:val="MainText"/>
        <w:rPr/>
      </w:pPr>
      <w:r>
        <w:rPr/>
        <w:t>Все числовые данные должны быть представлены в эквиваленте тысяч долларов США с одним знаком после запятой (или точки). Порядок пересчета в доллары США показателей, выраженных в других валютах, изложен в пунктах I.11, I.12 настоящего Порядка.</w:t>
      </w:r>
    </w:p>
    <w:p>
      <w:pPr>
        <w:pStyle w:val="MainTextPodzagolovok401"/>
        <w:rPr>
          <w:rFonts w:ascii="Arial" w:hAnsi="Arial" w:cs="Arial"/>
        </w:rPr>
      </w:pPr>
      <w:r>
        <w:rPr>
          <w:rFonts w:cs="Arial" w:ascii="Arial" w:hAnsi="Arial"/>
        </w:rPr>
        <w:t>I.5. Вопросы к Банку России</w:t>
      </w:r>
    </w:p>
    <w:p>
      <w:pPr>
        <w:pStyle w:val="MainText"/>
        <w:rPr/>
      </w:pPr>
      <w:r>
        <w:rPr/>
        <w:t>В случае возникновения вопросов по порядку заполнения и представления Отчета следует обращаться в Банк России по телефонам: (495) 771-46-08, (495) 771-47-57 (факс (495) 771-44-60, e-mail: moi@cbr.ru, prn@cbr.ru).</w:t>
      </w:r>
    </w:p>
    <w:p>
      <w:pPr>
        <w:pStyle w:val="MainTextPodzagolovok401"/>
        <w:rPr>
          <w:rFonts w:ascii="Arial" w:hAnsi="Arial" w:cs="Arial"/>
        </w:rPr>
      </w:pPr>
      <w:r>
        <w:rPr>
          <w:rFonts w:cs="Arial" w:ascii="Arial" w:hAnsi="Arial"/>
        </w:rPr>
        <w:t>I.6. Срок хранения уполномоченными банками копий направленных Отчетов — 5 лет.</w:t>
      </w:r>
    </w:p>
    <w:p>
      <w:pPr>
        <w:pStyle w:val="MainTextPodzagolovok401"/>
        <w:keepLines w:val="false"/>
        <w:rPr>
          <w:rFonts w:ascii="Arial" w:hAnsi="Arial" w:cs="Arial"/>
        </w:rPr>
      </w:pPr>
      <w:r>
        <w:rPr>
          <w:rFonts w:cs="Arial" w:ascii="Arial" w:hAnsi="Arial"/>
        </w:rPr>
        <w:t>I.7. Структура Отчета</w:t>
      </w:r>
    </w:p>
    <w:p>
      <w:pPr>
        <w:pStyle w:val="MainText"/>
        <w:rPr/>
      </w:pPr>
      <w:r>
        <w:rPr/>
        <w:t>Отчет состоит из 6 разделов.</w:t>
      </w:r>
    </w:p>
    <w:p>
      <w:pPr>
        <w:pStyle w:val="MainText"/>
        <w:rPr/>
      </w:pPr>
      <w:r>
        <w:rPr/>
        <w:t>Разделы 1—3 и 6 Отчета представляются уполномоченным банком (далее — отчитывающийся банк) по группам стран:</w:t>
      </w:r>
    </w:p>
    <w:p>
      <w:pPr>
        <w:pStyle w:val="MainText"/>
        <w:rPr/>
      </w:pPr>
      <w:r>
        <w:rPr/>
        <w:t>страны дальнего зарубежья;</w:t>
      </w:r>
    </w:p>
    <w:p>
      <w:pPr>
        <w:pStyle w:val="MainText"/>
        <w:rPr/>
      </w:pPr>
      <w:r>
        <w:rPr/>
        <w:t>страны СНГ;</w:t>
      </w:r>
    </w:p>
    <w:p>
      <w:pPr>
        <w:pStyle w:val="MainText"/>
        <w:rPr/>
      </w:pPr>
      <w:r>
        <w:rPr/>
        <w:t>по отдельным странам:</w:t>
      </w:r>
    </w:p>
    <w:p>
      <w:pPr>
        <w:pStyle w:val="MainText"/>
        <w:rPr/>
      </w:pPr>
      <w:r>
        <w:rPr/>
        <w:t>Германия;</w:t>
      </w:r>
    </w:p>
    <w:p>
      <w:pPr>
        <w:pStyle w:val="MainText"/>
        <w:rPr/>
      </w:pPr>
      <w:r>
        <w:rPr/>
        <w:t>Украина;</w:t>
      </w:r>
    </w:p>
    <w:p>
      <w:pPr>
        <w:pStyle w:val="MainText"/>
        <w:rPr/>
      </w:pPr>
      <w:r>
        <w:rPr/>
        <w:t>Казахстан.</w:t>
      </w:r>
    </w:p>
    <w:p>
      <w:pPr>
        <w:pStyle w:val="MainText"/>
        <w:rPr/>
      </w:pPr>
      <w:r>
        <w:rPr/>
        <w:t>Данные Отчета по Германии включаются в Отчет по странам дальнего зарубежья, а данные Отчетов по Украине и Казахстану — в Отчет по странам СНГ.</w:t>
      </w:r>
    </w:p>
    <w:p>
      <w:pPr>
        <w:pStyle w:val="MainText"/>
        <w:rPr/>
      </w:pPr>
      <w:r>
        <w:rPr/>
        <w:t>В разделе 1 отражается движение иностранных активов и обязательств отчитывающегося банка в отчетном периоде, а также доходы по этим активам и обязательствам, начисленные к получению (выплате) в отчетном периоде.</w:t>
      </w:r>
    </w:p>
    <w:p>
      <w:pPr>
        <w:pStyle w:val="MainText"/>
        <w:rPr/>
      </w:pPr>
      <w:r>
        <w:rPr/>
        <w:t>В разделе 2 дается расшифровка отдельных показателей раздела 1 по секторам кредиторов (дебиторов)-нерезидентов.</w:t>
      </w:r>
    </w:p>
    <w:p>
      <w:pPr>
        <w:pStyle w:val="MainText"/>
        <w:rPr/>
      </w:pPr>
      <w:r>
        <w:rPr/>
        <w:t>В разделе 3 дается расшифровка показателей раздела 1 в части движения прямых иностранных инвестиций.</w:t>
      </w:r>
    </w:p>
    <w:p>
      <w:pPr>
        <w:pStyle w:val="MainText"/>
        <w:rPr/>
      </w:pPr>
      <w:r>
        <w:rPr/>
        <w:t>В разделе 4 дается расшифровка показателей раздела 1 в части осуществляемых с нерезидентами операций с ценными бумагами на возвратной основе без прекращения признания ценных бумаг, без разбивки по странам (группам стран).</w:t>
      </w:r>
    </w:p>
    <w:p>
      <w:pPr>
        <w:pStyle w:val="MainText"/>
        <w:rPr/>
      </w:pPr>
      <w:r>
        <w:rPr/>
        <w:t>В разделе 5 отражаются балансовые активы (требования) и обязательства отчитывающегося банка по состоянию на конец отчетного периода по секторам кредиторов и дебиторов в разбивке по видам валют.</w:t>
      </w:r>
    </w:p>
    <w:p>
      <w:pPr>
        <w:pStyle w:val="MainText"/>
        <w:rPr/>
      </w:pPr>
      <w:r>
        <w:rPr/>
        <w:t>В разделе 6 отражаются требования и обязательства по производным финансовым инструментам в страновом разрезе в разбивке по инструментам, по отдельным видам валют и по видам резидентов.</w:t>
      </w:r>
    </w:p>
    <w:p>
      <w:pPr>
        <w:pStyle w:val="MainTextPodzagolovok401"/>
        <w:rPr>
          <w:rFonts w:ascii="Arial" w:hAnsi="Arial" w:cs="Arial"/>
        </w:rPr>
      </w:pPr>
      <w:r>
        <w:rPr>
          <w:rFonts w:cs="Arial" w:ascii="Arial" w:hAnsi="Arial"/>
        </w:rPr>
        <w:t>I.8. Включение данных филиалов</w:t>
      </w:r>
    </w:p>
    <w:p>
      <w:pPr>
        <w:pStyle w:val="MainText"/>
        <w:rPr/>
      </w:pPr>
      <w:r>
        <w:rPr/>
        <w:t>Представляемые сведения должны включать данные по филиалам отчитывающегося банка, включая не являющиеся самостоятельными юридическими лицами филиалы на территориях иностранных государств.</w:t>
      </w:r>
    </w:p>
    <w:p>
      <w:pPr>
        <w:pStyle w:val="MainTextPodzagolovok401"/>
        <w:rPr>
          <w:rFonts w:ascii="Arial" w:hAnsi="Arial" w:cs="Arial"/>
        </w:rPr>
      </w:pPr>
      <w:r>
        <w:rPr>
          <w:rFonts w:cs="Arial" w:ascii="Arial" w:hAnsi="Arial"/>
        </w:rPr>
        <w:t>I.9. Терминология, используемая в настоящем Порядке</w:t>
      </w:r>
    </w:p>
    <w:p>
      <w:pPr>
        <w:pStyle w:val="MainTextPodzagolovok401"/>
        <w:keepLines w:val="false"/>
        <w:rPr>
          <w:rFonts w:ascii="Arial" w:hAnsi="Arial" w:cs="Arial"/>
        </w:rPr>
      </w:pPr>
      <w:r>
        <w:rPr>
          <w:rFonts w:cs="Arial" w:ascii="Arial" w:hAnsi="Arial"/>
        </w:rPr>
        <w:t>I.9.1. Резиденты и нерезиденты</w:t>
      </w:r>
    </w:p>
    <w:p>
      <w:pPr>
        <w:pStyle w:val="MainText"/>
        <w:rPr/>
      </w:pPr>
      <w:r>
        <w:rPr/>
        <w:t>Понятия “резиденты”, “нерезиденты”, “наличная иностранная валюта” используются для составления Отчета в соответствии с валютным законодательством Российской Федерации. Отделения, дочерние общества и организации резидентов, находящиеся на территории других государств и имеющие статус юридического лица, Межгосударственный банк, а также структуры Союзного государства Российской Федерации и Республики Беларусь отражаются в Отчете в качестве нерезидентов.</w:t>
      </w:r>
    </w:p>
    <w:p>
      <w:pPr>
        <w:pStyle w:val="MainTextPodzagolovok401"/>
        <w:rPr>
          <w:rFonts w:ascii="Arial" w:hAnsi="Arial" w:cs="Arial"/>
        </w:rPr>
      </w:pPr>
      <w:r>
        <w:rPr>
          <w:rFonts w:cs="Arial" w:ascii="Arial" w:hAnsi="Arial"/>
        </w:rPr>
        <w:t>I.9.2. Иностранные активы</w:t>
      </w:r>
    </w:p>
    <w:p>
      <w:pPr>
        <w:pStyle w:val="MainText"/>
        <w:rPr/>
      </w:pPr>
      <w:r>
        <w:rPr/>
        <w:t>Для целей Отчета к иностранным активам относят финансовые активы, представляющие собой требования отчитывающегося банка к нерезидентам и его участие в их капитале независимо от валюты, в которой они выражены, и других характеристик. Например, ссуда в рублях, предоставленная нерезиденту, является иностранным активом. Требование отчитывающегося банка к нерезиденту или участие в его капитале является иностранным активом независимо от того, у резидента какой страны оно было первоначально приобретено. Вложения в депозитарные расписки на акции считаются иностранными активами, если акции выпущены нерезидентами, независимо от того, кто выпустил депозитарные расписки: резиденты или нерезиденты.</w:t>
      </w:r>
    </w:p>
    <w:p>
      <w:pPr>
        <w:pStyle w:val="Primer"/>
        <w:ind w:firstLine="567" w:start="0" w:end="0"/>
        <w:rPr/>
      </w:pPr>
      <w:r>
        <w:rPr/>
        <w:t>Пример. Наличные фунты стерлингов являются иностранными активами, так как они представляют собой требования к нерезиденту (Банку Англии). При этом не имеет значения, у кого первоначально были приобретены эти активы: у резидентов или нерезидентов.</w:t>
      </w:r>
    </w:p>
    <w:p>
      <w:pPr>
        <w:pStyle w:val="MainText"/>
        <w:rPr/>
      </w:pPr>
      <w:r>
        <w:rPr/>
        <w:t>Для целей Отчета к иностранным активам отнесено недвижимое имущество, приобретенное отчитывающимся банком на территории иностранных государств для обеспечения деятельности его филиалов и представительств, не являющихся самостоятельными юридическими лицами.</w:t>
      </w:r>
    </w:p>
    <w:p>
      <w:pPr>
        <w:pStyle w:val="MainTextPodzagolovok401"/>
        <w:rPr>
          <w:rFonts w:ascii="Arial" w:hAnsi="Arial" w:cs="Arial"/>
        </w:rPr>
      </w:pPr>
      <w:r>
        <w:rPr>
          <w:rFonts w:cs="Arial" w:ascii="Arial" w:hAnsi="Arial"/>
        </w:rPr>
        <w:t>I.9.3. Иностранные обязательства</w:t>
      </w:r>
    </w:p>
    <w:p>
      <w:pPr>
        <w:pStyle w:val="MainText"/>
        <w:rPr/>
      </w:pPr>
      <w:r>
        <w:rPr/>
        <w:t>Для целей Отчета к иностранным обязательствам относят обязательства отчитывающегося банка перед нерезидентами, включая участие нерезидентов в его капитале, независимо от валюты, в которой они выражены, и других характеристик.</w:t>
      </w:r>
    </w:p>
    <w:p>
      <w:pPr>
        <w:pStyle w:val="MainText"/>
        <w:rPr/>
      </w:pPr>
      <w:r>
        <w:rPr/>
        <w:t>Обращающиеся иностранные обязательства отчитывающегося банка на отчетную дату являются обязательствами перед нерезидентами, если по состоянию на эту дату нерезиденты являлись держателями этих обязательств, независимо от того, были ли эти обязательства первоначально проданы отчитывающимся банком резидентам или нерезидентам.</w:t>
      </w:r>
    </w:p>
    <w:p>
      <w:pPr>
        <w:pStyle w:val="Primer"/>
        <w:ind w:firstLine="567" w:start="0" w:end="0"/>
        <w:rPr/>
      </w:pPr>
      <w:r>
        <w:rPr/>
        <w:t>Пример. Выпущенные отчитывающимся банком облигации, держателями которых по состоянию на отчетную дату являются резиденты США, считаются иностранными обязательствами, даже если первоначально они были размещены только среди резидентов, а нерезиденты приобрели их впоследствии на вторичном рынке.</w:t>
      </w:r>
    </w:p>
    <w:p>
      <w:pPr>
        <w:pStyle w:val="MainText"/>
        <w:rPr/>
      </w:pPr>
      <w:r>
        <w:rPr/>
        <w:t>В том случае, если отчитывающийся банк не обладает никакой информацией о том, являются держатели его обращающихся обязательств на отчетную дату резидентами или нерезидентами, обязательства отчитывающегося банка считаются иностранными, если при первичном их размещении они были проданы нерезидентам.</w:t>
      </w:r>
    </w:p>
    <w:p>
      <w:pPr>
        <w:pStyle w:val="MainTextPodzagolovok401"/>
        <w:rPr>
          <w:rFonts w:ascii="Arial" w:hAnsi="Arial" w:cs="Arial"/>
        </w:rPr>
      </w:pPr>
      <w:r>
        <w:rPr>
          <w:rFonts w:cs="Arial" w:ascii="Arial" w:hAnsi="Arial"/>
        </w:rPr>
        <w:t>I.9.4. Страны дальнего зарубежья</w:t>
      </w:r>
    </w:p>
    <w:p>
      <w:pPr>
        <w:pStyle w:val="MainText"/>
        <w:rPr/>
      </w:pPr>
      <w:r>
        <w:rPr/>
        <w:t>В данную категорию включаются все страны (кроме стран СНГ) и международные организации.</w:t>
      </w:r>
    </w:p>
    <w:p>
      <w:pPr>
        <w:pStyle w:val="MainTextPodzagolovok401"/>
        <w:rPr>
          <w:rFonts w:ascii="Arial" w:hAnsi="Arial" w:cs="Arial"/>
        </w:rPr>
      </w:pPr>
      <w:r>
        <w:rPr>
          <w:rFonts w:cs="Arial" w:ascii="Arial" w:hAnsi="Arial"/>
        </w:rPr>
        <w:t>I.9.5. Страны СНГ</w:t>
      </w:r>
    </w:p>
    <w:p>
      <w:pPr>
        <w:pStyle w:val="MainText"/>
        <w:rPr/>
      </w:pPr>
      <w:r>
        <w:rPr/>
        <w:t>В отчеты по странам СНГ включаются данные по следующим странам: Азербайджан, Армения, Беларусь, Казахстан, Киргизия, Республика Молдова, Таджикистан, Туркмения, Узбекистан, Украина.</w:t>
      </w:r>
    </w:p>
    <w:p>
      <w:pPr>
        <w:pStyle w:val="MainTextPodzagolovok401"/>
        <w:rPr>
          <w:rFonts w:ascii="Arial" w:hAnsi="Arial" w:cs="Arial"/>
        </w:rPr>
      </w:pPr>
      <w:r>
        <w:rPr>
          <w:rFonts w:cs="Arial" w:ascii="Arial" w:hAnsi="Arial"/>
        </w:rPr>
        <w:t>I.9.6. Срок погашения</w:t>
      </w:r>
    </w:p>
    <w:p>
      <w:pPr>
        <w:pStyle w:val="MainText"/>
        <w:rPr/>
      </w:pPr>
      <w:r>
        <w:rPr/>
        <w:t>Сроком погашения считается первоначальный срок погашения актива или обязательства, но не остаточный.</w:t>
      </w:r>
    </w:p>
    <w:p>
      <w:pPr>
        <w:pStyle w:val="MainText"/>
        <w:rPr/>
      </w:pPr>
      <w:r>
        <w:rPr/>
        <w:t>Активы и обязательства, имеющие первоначальный срок погашения до 1 года включительно, называются краткосрочными, свыше 1 года — долгосрочными.</w:t>
      </w:r>
    </w:p>
    <w:p>
      <w:pPr>
        <w:pStyle w:val="MainText"/>
        <w:rPr/>
      </w:pPr>
      <w:r>
        <w:rPr/>
        <w:t>Любой пересмотр первоначальных сроков погашения задолженности рассматривается как погашение старого долга и возникновение новой задолженности с новым сроком погашения. Поэтому при переносе, пролонгировании сроков погашения и операциях типа “ролл-овер” исключительно для целей данного Отчета под первоначальным сроком погашения понимается срок от даты переноса, пролонгирования сроков старой задолженности или осуществления “ролл-овера” до даты погашения (независимо от способа группировки задолженности по срокам на синтетических счетах бухгалтерского счета).</w:t>
      </w:r>
    </w:p>
    <w:p>
      <w:pPr>
        <w:pStyle w:val="Primer1"/>
        <w:ind w:firstLine="567" w:start="0" w:end="0"/>
        <w:rPr/>
      </w:pPr>
      <w:r>
        <w:rPr/>
        <w:t>Пример. За месяц до погашения ссуды на сумму 100 тыс. долларов США с первоначальным сроком погашения 1,5 года была достигнута договоренность о переносе срока ее погашения на 1 месяц после первоначальной даты погашения.</w:t>
      </w:r>
    </w:p>
    <w:p>
      <w:pPr>
        <w:pStyle w:val="Primer3"/>
        <w:ind w:firstLine="567" w:start="0" w:end="0"/>
        <w:rPr>
          <w:rFonts w:ascii="Arial" w:hAnsi="Arial" w:cs="Arial"/>
        </w:rPr>
      </w:pPr>
      <w:r>
        <w:rPr>
          <w:rFonts w:cs="Arial" w:ascii="Arial" w:hAnsi="Arial"/>
        </w:rPr>
        <w:t>До момента переноса срока погашения данная ссуда должна была рассматриваться как долгосрочная, а после пересмотра первоначальных сроков погашения — как краткосрочная (с первоначальным сроком погашения 2 месяца). При этом по строке долгосрочных ссуд в графе 2 разделов 1 и 3 должно было быть отражено погашение задолженности, а по строке краткосрочных ссуд в той же графе — возникновение новой задолженности.</w:t>
      </w:r>
    </w:p>
    <w:p>
      <w:pPr>
        <w:pStyle w:val="MainText"/>
        <w:rPr/>
      </w:pPr>
      <w:r>
        <w:rPr/>
        <w:t>Под первоначальным сроком погашения ценных бумаг понимается срок от даты их размещения до даты погашения, но не срок от даты их приобретения отчитывающимся банком до даты погашения.</w:t>
      </w:r>
    </w:p>
    <w:p>
      <w:pPr>
        <w:pStyle w:val="MainTextPodzagolovok401"/>
        <w:rPr>
          <w:rFonts w:ascii="Arial" w:hAnsi="Arial" w:cs="Arial"/>
        </w:rPr>
      </w:pPr>
      <w:r>
        <w:rPr>
          <w:rFonts w:cs="Arial" w:ascii="Arial" w:hAnsi="Arial"/>
        </w:rPr>
        <w:t>I.9.7. Проценты</w:t>
      </w:r>
    </w:p>
    <w:p>
      <w:pPr>
        <w:pStyle w:val="MainText"/>
        <w:rPr/>
      </w:pPr>
      <w:r>
        <w:rPr/>
        <w:t>Для целей Отчета к процентам относят начисленные суммы вознаграждения за использование предоставленных в долг финансовых ресурсов.</w:t>
      </w:r>
    </w:p>
    <w:p>
      <w:pPr>
        <w:pStyle w:val="MainText"/>
        <w:rPr/>
      </w:pPr>
      <w:r>
        <w:rPr/>
        <w:t>Включаются следующие виды процентов:</w:t>
      </w:r>
    </w:p>
    <w:p>
      <w:pPr>
        <w:pStyle w:val="MainText"/>
        <w:rPr/>
      </w:pPr>
      <w:r>
        <w:rPr/>
        <w:t>проценты на остатки по корреспондентским и другим текущим счетам, включая проценты на остатки по обезличенным металлическим счетам;</w:t>
      </w:r>
    </w:p>
    <w:p>
      <w:pPr>
        <w:pStyle w:val="MainText"/>
        <w:rPr/>
      </w:pPr>
      <w:r>
        <w:rPr/>
        <w:t>проценты по залоговым, срочным и сберегательным депозитам;</w:t>
      </w:r>
    </w:p>
    <w:p>
      <w:pPr>
        <w:pStyle w:val="MainText"/>
        <w:rPr/>
      </w:pPr>
      <w:r>
        <w:rPr/>
        <w:t>проценты по ссудам, в том числе проценты по “овердрафтам”;</w:t>
      </w:r>
    </w:p>
    <w:p>
      <w:pPr>
        <w:pStyle w:val="MainText"/>
        <w:rPr/>
      </w:pPr>
      <w:r>
        <w:rPr/>
        <w:t>проценты на средства, предоставленные (привлеченные) по операциям с ценными бумагами на возвратной основе без прекращения признания ценных бумаг стороной, получившей средства;</w:t>
      </w:r>
    </w:p>
    <w:p>
      <w:pPr>
        <w:pStyle w:val="MainText"/>
        <w:rPr/>
      </w:pPr>
      <w:r>
        <w:rPr/>
        <w:t>проценты по долговым ценным бумагам, в том числе начисленный дисконт и процентный (купонный) доход;</w:t>
      </w:r>
    </w:p>
    <w:p>
      <w:pPr>
        <w:pStyle w:val="MainText"/>
        <w:rPr/>
      </w:pPr>
      <w:r>
        <w:rPr/>
        <w:t>проценты, начисленные по просроченной задолженности, в том числе проценты на просроченные проценты;</w:t>
      </w:r>
    </w:p>
    <w:p>
      <w:pPr>
        <w:pStyle w:val="MainText"/>
        <w:rPr/>
      </w:pPr>
      <w:r>
        <w:rPr/>
        <w:t>проценты по прочим финансовым активам и обязательствам.</w:t>
      </w:r>
    </w:p>
    <w:p>
      <w:pPr>
        <w:pStyle w:val="MainText"/>
        <w:rPr/>
      </w:pPr>
      <w:r>
        <w:rPr/>
        <w:t>Не рассматриваются как полученные проценты доходы отчитывающегося банка, связанные с выкупом его обязательств по цене ниже цены размещения. Такие доходы трактуются как реализованные отрицательные курсовые разницы по обязательствам. Доходы и расходы от операций реализации приобретенных ценных бумаг рассматриваются как реализованные отрицательные или положительные курсовые разницы по ценным бумагам.</w:t>
      </w:r>
    </w:p>
    <w:p>
      <w:pPr>
        <w:pStyle w:val="MainTextPodzagolovok401"/>
        <w:rPr>
          <w:rFonts w:ascii="Arial" w:hAnsi="Arial" w:cs="Arial"/>
        </w:rPr>
      </w:pPr>
      <w:r>
        <w:rPr>
          <w:rFonts w:cs="Arial" w:ascii="Arial" w:hAnsi="Arial"/>
        </w:rPr>
        <w:t>I.9.8. Доходы по участию в капитале</w:t>
      </w:r>
    </w:p>
    <w:p>
      <w:pPr>
        <w:pStyle w:val="MainText"/>
        <w:rPr/>
      </w:pPr>
      <w:r>
        <w:rPr/>
        <w:t>Объявленные дивиденды по обыкновенным и привилегированным акциям, включая дивиденды, выплачиваемые акциями, а также начисленные к распределению прибыли по паевому участию в капитале.</w:t>
      </w:r>
    </w:p>
    <w:p>
      <w:pPr>
        <w:pStyle w:val="MainText"/>
        <w:rPr/>
      </w:pPr>
      <w:r>
        <w:rPr/>
        <w:t>Выплаченные (полученные) доходы по участию в капитале не включают расходы (доходы), связанные с продажей отчитывающимся банком акций и паев в капитале нерезидентов по ценам, отличающимся от цены приобретения. Такие расходы рассматриваются как реализованные отрицательные (положительные) курсовые разницы по участию в капитале нерезидентов.</w:t>
      </w:r>
    </w:p>
    <w:p>
      <w:pPr>
        <w:pStyle w:val="MainTextPodzagolovok401"/>
        <w:rPr>
          <w:rFonts w:ascii="Arial" w:hAnsi="Arial" w:cs="Arial"/>
        </w:rPr>
      </w:pPr>
      <w:r>
        <w:rPr>
          <w:rFonts w:cs="Arial" w:ascii="Arial" w:hAnsi="Arial"/>
        </w:rPr>
        <w:t>I.9.9. Начисленные доходы (доходы, начисленные к получению) и начисленные расходы (доходы, начисленные к выплате)</w:t>
      </w:r>
    </w:p>
    <w:p>
      <w:pPr>
        <w:pStyle w:val="MainText"/>
        <w:rPr/>
      </w:pPr>
      <w:r>
        <w:rPr/>
        <w:t>Начисленными доходами (расходами) в Отчете являются:</w:t>
      </w:r>
    </w:p>
    <w:p>
      <w:pPr>
        <w:pStyle w:val="MainText"/>
        <w:rPr/>
      </w:pPr>
      <w:r>
        <w:rPr/>
        <w:t>суммы, отнесенные в отчетном периоде на счета доходов (расходов) текущего периода отчитывающегося банка в корреспонденции с любыми счетами, кроме счетов доходов (расходов) будущих периодов;</w:t>
      </w:r>
    </w:p>
    <w:p>
      <w:pPr>
        <w:pStyle w:val="MainText"/>
        <w:rPr/>
      </w:pPr>
      <w:r>
        <w:rPr/>
        <w:t>суммы, отнесенные в отчетном периоде на счета доходов (расходов) будущих периодов в корреспонденции со счетами непросроченных требований и обязательств по начисленным доходам и расходам (далее — наращенные, или накопленные, доходы и расходы);</w:t>
      </w:r>
    </w:p>
    <w:p>
      <w:pPr>
        <w:pStyle w:val="MainText"/>
        <w:rPr/>
      </w:pPr>
      <w:r>
        <w:rPr/>
        <w:t>суммы, отнесенные в отчетном периоде на счета доходов (расходов) будущих периодов в корреспонденции со счетами просроченных требований и обязательств по начисленным доходам и расходам.</w:t>
      </w:r>
    </w:p>
    <w:p>
      <w:pPr>
        <w:pStyle w:val="Primer1"/>
        <w:ind w:firstLine="567" w:start="0" w:end="0"/>
        <w:rPr/>
      </w:pPr>
      <w:r>
        <w:rPr/>
        <w:t>Пример 1.</w:t>
      </w:r>
    </w:p>
    <w:p>
      <w:pPr>
        <w:pStyle w:val="Primer2"/>
        <w:ind w:firstLine="567" w:start="0" w:end="0"/>
        <w:rPr/>
      </w:pPr>
      <w:r>
        <w:rPr/>
        <w:t>Запись по кредиту счета доходов текущего периода в корреспонденции с дебетом по счету “НОСТРО” соответствует начисленному в отчетном периоде доходу.</w:t>
      </w:r>
    </w:p>
    <w:p>
      <w:pPr>
        <w:pStyle w:val="Primer2"/>
        <w:ind w:firstLine="567" w:start="0" w:end="0"/>
        <w:rPr/>
      </w:pPr>
      <w:r>
        <w:rPr/>
        <w:t>Пример 2.</w:t>
      </w:r>
    </w:p>
    <w:p>
      <w:pPr>
        <w:pStyle w:val="Primer2"/>
        <w:ind w:firstLine="567" w:start="0" w:end="0"/>
        <w:rPr/>
      </w:pPr>
      <w:r>
        <w:rPr/>
        <w:t>Запись по кредиту счета доходов будущего периода в корреспонденции с дебетом по счетам прочих дебиторов, требований по начисленным процентам соответствует начисленному в отчетном периоде доходу.</w:t>
      </w:r>
    </w:p>
    <w:p>
      <w:pPr>
        <w:pStyle w:val="Primer2"/>
        <w:ind w:firstLine="567" w:start="0" w:end="0"/>
        <w:rPr/>
      </w:pPr>
      <w:r>
        <w:rPr/>
        <w:t>Пример 3.</w:t>
      </w:r>
    </w:p>
    <w:p>
      <w:pPr>
        <w:pStyle w:val="Primer2"/>
        <w:ind w:firstLine="567" w:start="0" w:end="0"/>
        <w:rPr/>
      </w:pPr>
      <w:r>
        <w:rPr/>
        <w:t>Запись по кредиту счета доходов будущего периода в корреспонденции с дебетом по счету просроченных процентов соответствует начисленному в отчетном периоде доходу.</w:t>
      </w:r>
    </w:p>
    <w:p>
      <w:pPr>
        <w:pStyle w:val="Primer2"/>
        <w:ind w:firstLine="567" w:start="0" w:end="0"/>
        <w:rPr/>
      </w:pPr>
      <w:r>
        <w:rPr/>
        <w:t>Пример 4.</w:t>
      </w:r>
    </w:p>
    <w:p>
      <w:pPr>
        <w:pStyle w:val="Primer2"/>
        <w:ind w:firstLine="567" w:start="0" w:end="0"/>
        <w:rPr/>
      </w:pPr>
      <w:r>
        <w:rPr/>
        <w:t>Запись по кредиту счета доходов текущего периода в корреспонденции с дебетом счета доходов будущих периодов не является начисленным в отчетном периоде доходом.</w:t>
      </w:r>
    </w:p>
    <w:p>
      <w:pPr>
        <w:pStyle w:val="MainTextPodzagolovok401"/>
        <w:rPr>
          <w:rFonts w:ascii="Arial" w:hAnsi="Arial" w:cs="Arial"/>
        </w:rPr>
      </w:pPr>
      <w:r>
        <w:rPr>
          <w:rFonts w:cs="Arial" w:ascii="Arial" w:hAnsi="Arial"/>
        </w:rPr>
        <w:t>I.9.10. Кросс-курс Банка России</w:t>
      </w:r>
    </w:p>
    <w:p>
      <w:pPr>
        <w:pStyle w:val="MainText"/>
        <w:rPr/>
      </w:pPr>
      <w:r>
        <w:rPr/>
        <w:t>Определяется как отношение курса одной иностранной валюты к курсу другой иностранной валюты, рассчитанное по установленным Банком России официальным курсам этих валют по отношению к рублю.</w:t>
      </w:r>
    </w:p>
    <w:p>
      <w:pPr>
        <w:pStyle w:val="MainTextPodzagolovok401"/>
        <w:rPr>
          <w:rFonts w:ascii="Arial" w:hAnsi="Arial" w:cs="Arial"/>
        </w:rPr>
      </w:pPr>
      <w:r>
        <w:rPr>
          <w:rFonts w:cs="Arial" w:ascii="Arial" w:hAnsi="Arial"/>
        </w:rPr>
        <w:t>I.9.11. Производные финансовые инструменты</w:t>
      </w:r>
    </w:p>
    <w:p>
      <w:pPr>
        <w:pStyle w:val="MainText"/>
        <w:rPr/>
      </w:pPr>
      <w:r>
        <w:rPr/>
        <w:t>Для целей Отчета к производным финансовым инструментам относят финансовые инструменты, которые связаны с другими финансовыми инструментами или индикаторами и с помощью которых может осуществляться торговля конкретными финансовыми рисками (процентными, валютными, кредитными рисками, рисками по ценам на ценные бумаги и тому подобное) отдельно от основного инструмента (базового актива). Остатки (позиции) и операции по производным финансовым инструментам рассматриваются отдельно от стоимости базовых активов, с которыми они связаны. Существуют два основных типа производных финансовых инструментов — опционы и контракты форвардного типа.</w:t>
      </w:r>
    </w:p>
    <w:p>
      <w:pPr>
        <w:pStyle w:val="MainText"/>
        <w:rPr/>
      </w:pPr>
      <w:r>
        <w:rPr/>
        <w:t>Опционы включают в себя все виды контрактов, которые дают покупателю контракта определенное право, но не обязательство, купить (продать) базовый актив к определенной дате (на определенную дату) по определенной цене. За это право покупатель платит премию. В обмен покупатель получает право, но не обязанность купить (опцион типа “Call”) или продать (опцион типа “Put”) определенный актив по заранее оговоренной цене (цене исполнения). Опционы также включают в себя варранты, под которыми понимаются долгосрочные опционы типа “Call”, дающие его владельцу право, но не обязанность купить у эмитента варранта определенное количество лежащих в его основе активов (акций или облигаций) по заранее оговоренной цене в определенный период времени или на определенную дату.</w:t>
      </w:r>
    </w:p>
    <w:p>
      <w:pPr>
        <w:pStyle w:val="MainText"/>
        <w:rPr/>
      </w:pPr>
      <w:r>
        <w:rPr/>
        <w:t>Под контрактом форвардного типа (форвард) понимается контракт, который обязывает одну из сторон купить, а другую — продать базовый актив по определенной цене (цене исполнения) на определенную дату. К контрактам форвардного типа относятся также фьючерсы и свопы (кроме свопов на золото). Под фьючерсами понимаются стандартизированные форвардные контракты, торгуемые на бирже. Самыми распространенными типами форвардных контрактов являются соглашения о форвардной ставке и валютные форварды. Под соглашением о форвардной ставке понимается соглашение между двумя контрагентами, в соответствии с которым они берут на себя обязательства обменяться на определенную дату в будущем платежами на основе краткосрочных процентных ставок. Одна из ставок является твердой (известной заранее), а другая — плавающей (ставка спот, которая будет существовать в момент истечения срока действия соглашения). Платежи рассчитываются относительно контрактного номинала.</w:t>
      </w:r>
    </w:p>
    <w:p>
      <w:pPr>
        <w:pStyle w:val="MainText"/>
        <w:rPr/>
      </w:pPr>
      <w:r>
        <w:rPr/>
        <w:t>Своповые контракты включают в себя валютные свопы, процентные свопы и кросс-валютные процентные свопы. В своповом контракте стороны могут согласовать любой порядок обмена, в результате чего существуют различные модификации свопов. Под процентным свопом понимается соглашение об обмене долгового обязательства с фиксированной процентной ставкой на обязательство с плавающей ставкой. Участники обмениваются только процентными платежами, но не номиналами. Под валютным свопом понимается соглашение об обмене номинала и фиксированных процентов в одной валюте на номинал и фиксированный процент в другой валюте. Реального обмена номинала может не происходить.</w:t>
      </w:r>
    </w:p>
    <w:p>
      <w:pPr>
        <w:pStyle w:val="MainTextPodzagolovok401"/>
        <w:rPr>
          <w:rFonts w:ascii="Arial" w:hAnsi="Arial" w:cs="Arial"/>
        </w:rPr>
      </w:pPr>
      <w:r>
        <w:rPr>
          <w:rFonts w:cs="Arial" w:ascii="Arial" w:hAnsi="Arial"/>
        </w:rPr>
        <w:t>I.10. Правила представления числовых показателей</w:t>
      </w:r>
    </w:p>
    <w:p>
      <w:pPr>
        <w:pStyle w:val="MainText"/>
        <w:rPr/>
      </w:pPr>
      <w:r>
        <w:rPr/>
        <w:t>Если значение некоторого показателя равно нулю или явление, которое он отражает, отсутствует, в Отчете по этому показателю проставляется значение “0,0” (или “0.0”).</w:t>
      </w:r>
    </w:p>
    <w:p>
      <w:pPr>
        <w:pStyle w:val="MainText"/>
        <w:rPr/>
      </w:pPr>
      <w:r>
        <w:rPr/>
        <w:t>Отрицательные значения могут принимать только показатели в графах 2, 3, 4 разделов 1, 3 и 4, в строках 3А3 и 3П3 раздела 3, в графах 5, 6, 9 и 10 подраздела 6.1, а также в графах 6 и 7 подраздела 6.2 раздела 6 Отчета. Отрицательные значения обозначаются знаком “минус”.</w:t>
      </w:r>
    </w:p>
    <w:p>
      <w:pPr>
        <w:pStyle w:val="MZagolovokCenter"/>
        <w:spacing w:before="227" w:after="0"/>
        <w:rPr>
          <w:b w:val="false"/>
        </w:rPr>
      </w:pPr>
      <w:r>
        <w:rPr>
          <w:b w:val="false"/>
          <w:color w:val="000000"/>
        </w:rPr>
        <w:t>Подраздел 2. Правила пересчета оборотов и остатков (позиций) в доллары США</w:t>
      </w:r>
    </w:p>
    <w:p>
      <w:pPr>
        <w:pStyle w:val="MainTextPodzagolovok401"/>
        <w:keepLines w:val="false"/>
        <w:spacing w:before="170" w:after="0"/>
        <w:rPr>
          <w:rFonts w:ascii="Arial" w:hAnsi="Arial" w:cs="Arial"/>
        </w:rPr>
      </w:pPr>
      <w:r>
        <w:rPr>
          <w:rFonts w:cs="Arial" w:ascii="Arial" w:hAnsi="Arial"/>
        </w:rPr>
        <w:t>I.11. Правила пересчета оборотов в доллары США</w:t>
      </w:r>
    </w:p>
    <w:p>
      <w:pPr>
        <w:pStyle w:val="MainText"/>
        <w:rPr/>
      </w:pPr>
      <w:r>
        <w:rPr/>
        <w:t>Для пересчета оборотов в доллары США каждый оборот пересчитывается в доллары США по кросс-курсу Банка России на дату его осуществления или по курсу, который фактически имел место при его осуществлении, а полученные значения суммируются. Обороты по обезличенным металлическим счетам, на которых учитываются требования и обязательства, выраженные в массе драгоценных металлов, пересчитываются в доллары США путем пересчета выраженной в российских рублях массы драгоценных металлов по учетной цене на драгоценные металлы, установленной Банком России, по официальному курсу доллара США по отношению к рублю, установленному Банком России на дату осуществления этих оборотов.</w:t>
      </w:r>
    </w:p>
    <w:p>
      <w:pPr>
        <w:pStyle w:val="MainText"/>
        <w:rPr/>
      </w:pPr>
      <w:r>
        <w:rPr/>
        <w:t>Указанный порядок пересчета оборотов в доллары США применяется в Отчете для пересчета:</w:t>
      </w:r>
    </w:p>
    <w:p>
      <w:pPr>
        <w:pStyle w:val="MainText"/>
        <w:rPr/>
      </w:pPr>
      <w:r>
        <w:rPr/>
        <w:t>изменений активов и обязательств в результате операций, отражаемых в графе 2 разделов 1, 3 и 4;</w:t>
      </w:r>
    </w:p>
    <w:p>
      <w:pPr>
        <w:pStyle w:val="MainText"/>
        <w:rPr/>
      </w:pPr>
      <w:r>
        <w:rPr/>
        <w:t>прочих изменений активов, отражаемых в графе 4 разделов 1, 3 и 4;</w:t>
      </w:r>
    </w:p>
    <w:p>
      <w:pPr>
        <w:pStyle w:val="MainText"/>
        <w:rPr/>
      </w:pPr>
      <w:r>
        <w:rPr/>
        <w:t>начисленных процентов и доходов по участию в капитале, отражаемых в графе 6 разделов 1, 3 и 4;</w:t>
      </w:r>
    </w:p>
    <w:p>
      <w:pPr>
        <w:pStyle w:val="MainText"/>
        <w:rPr/>
      </w:pPr>
      <w:r>
        <w:rPr/>
        <w:t>показателей 3А3 и 3П3 раздела 3;</w:t>
      </w:r>
    </w:p>
    <w:p>
      <w:pPr>
        <w:pStyle w:val="MainText"/>
        <w:rPr/>
      </w:pPr>
      <w:r>
        <w:rPr/>
        <w:t>изменений в результате операций, отражаемых в графах 5 и 9 подраздела 6.1, а также в графе 6 подраздела 6.2 раздела 6;</w:t>
      </w:r>
    </w:p>
    <w:p>
      <w:pPr>
        <w:pStyle w:val="MainText"/>
        <w:rPr/>
      </w:pPr>
      <w:r>
        <w:rPr/>
        <w:t>прочих изменений, отражаемых в графах 6 и 10 подраздела 6.1, а также в графе 7 подраздела 6.2 раздела 6.</w:t>
      </w:r>
    </w:p>
    <w:p>
      <w:pPr>
        <w:pStyle w:val="MainTextPodzagolovok401"/>
        <w:rPr>
          <w:rFonts w:ascii="Arial" w:hAnsi="Arial" w:cs="Arial"/>
        </w:rPr>
      </w:pPr>
      <w:r>
        <w:rPr>
          <w:rFonts w:cs="Arial" w:ascii="Arial" w:hAnsi="Arial"/>
        </w:rPr>
        <w:t>I.12. Правила пересчета остатков (позиций) в доллары США</w:t>
      </w:r>
    </w:p>
    <w:p>
      <w:pPr>
        <w:pStyle w:val="MainText"/>
        <w:rPr/>
      </w:pPr>
      <w:r>
        <w:rPr/>
        <w:t>Все остатки (позиции) по состоянию на начало отчетного периода пересчитываются в доллары США по кросс-курсам Банка России по состоянию на начало отчетного периода. Таким способом в Отчете пересчитываются:</w:t>
      </w:r>
    </w:p>
    <w:p>
      <w:pPr>
        <w:pStyle w:val="MainText"/>
        <w:rPr/>
      </w:pPr>
      <w:r>
        <w:rPr/>
        <w:t>данные в графе 1 разделов 1—4;</w:t>
      </w:r>
    </w:p>
    <w:p>
      <w:pPr>
        <w:pStyle w:val="MainText"/>
        <w:rPr/>
      </w:pPr>
      <w:r>
        <w:rPr/>
        <w:t>данные в графах 4 и 8 подраздела 6.1 раздела 6;</w:t>
      </w:r>
    </w:p>
    <w:p>
      <w:pPr>
        <w:pStyle w:val="MainText"/>
        <w:rPr/>
      </w:pPr>
      <w:r>
        <w:rPr/>
        <w:t>данные в графе 5 подраздела 6.2 раздела 6.</w:t>
      </w:r>
    </w:p>
    <w:p>
      <w:pPr>
        <w:pStyle w:val="MainText"/>
        <w:rPr/>
      </w:pPr>
      <w:r>
        <w:rPr/>
        <w:t>Все остатки (позиции) по состоянию на конец отчетного периода в Отчете пересчитываются в доллары США по кросс-курсам Банка России по состоянию на конец отчетного периода. Таким способом пересчитываются:</w:t>
      </w:r>
    </w:p>
    <w:p>
      <w:pPr>
        <w:pStyle w:val="MainText"/>
        <w:rPr/>
      </w:pPr>
      <w:r>
        <w:rPr/>
        <w:t>данные в графе 5 раздела 1;</w:t>
      </w:r>
    </w:p>
    <w:p>
      <w:pPr>
        <w:pStyle w:val="MainText"/>
        <w:rPr/>
      </w:pPr>
      <w:r>
        <w:rPr/>
        <w:t>данные в графе 2 раздела 2;</w:t>
      </w:r>
    </w:p>
    <w:p>
      <w:pPr>
        <w:pStyle w:val="MainText"/>
        <w:rPr/>
      </w:pPr>
      <w:r>
        <w:rPr/>
        <w:t>данные в графе 5 разделов 3 и 4;</w:t>
      </w:r>
    </w:p>
    <w:p>
      <w:pPr>
        <w:pStyle w:val="MainText"/>
        <w:rPr/>
      </w:pPr>
      <w:r>
        <w:rPr/>
        <w:t>все данные в разделе 5;</w:t>
      </w:r>
    </w:p>
    <w:p>
      <w:pPr>
        <w:pStyle w:val="MainText"/>
        <w:rPr/>
      </w:pPr>
      <w:r>
        <w:rPr/>
        <w:t>данные в графах 7 и 11 подраздела 6.1 раздела 6;</w:t>
      </w:r>
    </w:p>
    <w:p>
      <w:pPr>
        <w:pStyle w:val="MainText"/>
        <w:rPr/>
      </w:pPr>
      <w:r>
        <w:rPr/>
        <w:t>данные в графе 8 подраздела 6.2 раздела 6.</w:t>
      </w:r>
    </w:p>
    <w:p>
      <w:pPr>
        <w:pStyle w:val="MainText"/>
        <w:rPr/>
      </w:pPr>
      <w:r>
        <w:rPr/>
        <w:t>Остатки (позиции) по обезличенным металлическим счетам по состоянию на начало или конец отчетного периода переоцениваются в доллары США путем пересчета выраженной в российских рублях массы драгоценных металлов по учетной цене на драгоценные металлы, установленной Банком России, по официальному курсу доллара США по отношению к рублю, установленному Банком России, по состоянию на начало или конец отчетного периода соответственно.</w:t>
      </w:r>
    </w:p>
    <w:p>
      <w:pPr>
        <w:pStyle w:val="MainTextPodzagolovok401"/>
        <w:rPr>
          <w:rFonts w:ascii="Arial" w:hAnsi="Arial" w:cs="Arial"/>
        </w:rPr>
      </w:pPr>
      <w:r>
        <w:rPr>
          <w:rFonts w:cs="Arial" w:ascii="Arial" w:hAnsi="Arial"/>
        </w:rPr>
        <w:t>I.13. Правила отнесения активов и обязательств к группе стран (дальнее зарубежье и страны СНГ) и отдельным странам</w:t>
      </w:r>
    </w:p>
    <w:p>
      <w:pPr>
        <w:pStyle w:val="MainText"/>
        <w:rPr/>
      </w:pPr>
      <w:r>
        <w:rPr/>
        <w:t>Требование к дебитору-нерезиденту (иностранный актив) отражается в Отчете для той страны (группы стран, в которую она входит), резидентом которой являлся этот дебитор, независимо от вида валютного выражения этого требования и независимо от того, у резидента какой страны оно было приобретено.</w:t>
      </w:r>
    </w:p>
    <w:p>
      <w:pPr>
        <w:pStyle w:val="Primer1"/>
        <w:ind w:firstLine="567" w:start="0" w:end="0"/>
        <w:rPr/>
      </w:pPr>
      <w:r>
        <w:rPr/>
        <w:t>Пример 1. Отчитывающийся банк размещает депозит в долларах США на сумму 100 млн. долларов в банке-нерезиденте на территории Германии. Эта операция должна быть показана в отчете с Германией (и в отчете по странам дальнего зарубежья).</w:t>
      </w:r>
    </w:p>
    <w:p>
      <w:pPr>
        <w:pStyle w:val="Primer3"/>
        <w:ind w:firstLine="567" w:start="0" w:end="0"/>
        <w:rPr>
          <w:rFonts w:ascii="Arial" w:hAnsi="Arial" w:cs="Arial"/>
        </w:rPr>
      </w:pPr>
      <w:r>
        <w:rPr>
          <w:rFonts w:cs="Arial" w:ascii="Arial" w:hAnsi="Arial"/>
        </w:rPr>
        <w:t>Пример 2. У резидента Казахстана в отчетном периоде отчитывающимся банком приобретается 1 млн. гривен. Это приобретение должно быть показано в отчете для Украины (и в отчете по странам СНГ), так как наличные гривны являются обязательством резидента Украины (Национального банка Украины).</w:t>
      </w:r>
    </w:p>
    <w:p>
      <w:pPr>
        <w:pStyle w:val="MainText"/>
        <w:rPr/>
      </w:pPr>
      <w:r>
        <w:rPr/>
        <w:t>Обязательство отчитывающегося банка перед кредитором-нерезидентом (иностранное обязательство) отражается в Отчете для той страны (группы стран), резидентом которой этот кредитор являлся, независимо от валюты, в которой выражено это обязательство, и независимо от того, резиденту какой страны оно было первоначально продано.</w:t>
      </w:r>
    </w:p>
    <w:p>
      <w:pPr>
        <w:pStyle w:val="Primer"/>
        <w:ind w:firstLine="567" w:start="0" w:end="0"/>
        <w:rPr/>
      </w:pPr>
      <w:r>
        <w:rPr/>
        <w:t>Пример 3. В отчетном периоде резиденты стран СНГ приобретают у резидентов на вторичном рынке выраженные в рублях обязательства отчитывающегося банка, выпущенные в предыдущем отчетном периоде на внутреннем рынке и размещенные только среди резидентов. В отчете за данный период эта операция должна быть показана как увеличение иностранных обязательств отчитывающегося банка, причем в отчете по странам СНГ. Аналогично, если в следующем отчетном периоде резиденты стран СНГ будут перепродавать эти обязательства резидентам дальнего зарубежья, в отчете по странам СНГ необходимо будет показать снижение обязательств отчитывающегося банка, а в отчете по странам дальнего зарубежья — пропорциональное увеличение обязательств.</w:t>
      </w:r>
    </w:p>
    <w:p>
      <w:pPr>
        <w:pStyle w:val="MainText"/>
        <w:rPr/>
      </w:pPr>
      <w:r>
        <w:rPr/>
        <w:t>Данные правила отнесения активов и обязательств к группе стран и отдельным странам применяются для составления разделов 1—3 и 6 Отчета.</w:t>
      </w:r>
      <w:r>
        <w:br w:type="page"/>
      </w:r>
    </w:p>
    <w:p>
      <w:pPr>
        <w:pStyle w:val="MZagolovokCenter"/>
        <w:rPr>
          <w:b w:val="false"/>
        </w:rPr>
      </w:pPr>
      <w:r>
        <w:rPr>
          <w:b w:val="false"/>
          <w:color w:val="000000"/>
        </w:rPr>
        <w:t>Раздел II. Правила заполнения раздела 1 Отчета</w:t>
      </w:r>
    </w:p>
    <w:p>
      <w:pPr>
        <w:pStyle w:val="MZagolovokCenter"/>
        <w:keepLines w:val="false"/>
        <w:rPr>
          <w:b w:val="false"/>
        </w:rPr>
      </w:pPr>
      <w:r>
        <w:rPr>
          <w:b w:val="false"/>
        </w:rPr>
        <w:t>Подраздел 1. Общая характеристика раздела 1 Отчета</w:t>
      </w:r>
    </w:p>
    <w:p>
      <w:pPr>
        <w:pStyle w:val="MainTextBezOtstupa"/>
        <w:spacing w:before="113" w:after="0"/>
        <w:rPr/>
      </w:pPr>
      <w:r>
        <w:rPr/>
        <w:t>II.1. В разделе отражаются требования и обязательства по отношению к нерезидентам по состоянию на начало и конец отчетного периода и их движение в течение этого периода. Если отчитывающийся банк имел требования или обязательства по отношению к нерезидентам в течение отчетного периода или совершал операции с такими требованиями или обязательствами, независимо от вида их валютного выражения и любых других характеристик они должны быть отражены по одной из строк раздела.</w:t>
      </w:r>
    </w:p>
    <w:p>
      <w:pPr>
        <w:pStyle w:val="MainText"/>
        <w:rPr/>
      </w:pPr>
      <w:r>
        <w:rPr/>
        <w:t>Раздел состоит из двух подразделов: подраздела 1А и подраздела 1П.</w:t>
      </w:r>
    </w:p>
    <w:p>
      <w:pPr>
        <w:pStyle w:val="MainText"/>
        <w:rPr/>
      </w:pPr>
      <w:r>
        <w:rPr/>
        <w:t>По каждой строке в разделе должно выполняться соотношение:</w:t>
      </w:r>
    </w:p>
    <w:p>
      <w:pPr>
        <w:pStyle w:val="MainText"/>
        <w:rPr/>
      </w:pPr>
      <w:r>
        <w:rPr/>
        <w:t>графа 1 + графа 2 + графа 3 + графа 4 = графа 5.</w:t>
      </w:r>
    </w:p>
    <w:p>
      <w:pPr>
        <w:pStyle w:val="MainText"/>
        <w:rPr/>
      </w:pPr>
      <w:r>
        <w:rPr/>
        <w:t>По каждой графе подраздела 1А должно выполняться соотношение:</w:t>
      </w:r>
    </w:p>
    <w:p>
      <w:pPr>
        <w:pStyle w:val="MainText"/>
        <w:rPr/>
      </w:pPr>
      <w:r>
        <w:rPr/>
        <w:t>сумма значений по строкам 1А1, 1А2, 1А3, 1А4, 1А5.1, 1А5.2, 1А6.1, 1А6.2, 1А7, 1А8.1, 1А8.2, 1А9.1, 1А9.2, 1А10, 1А11.1, 1А11.2, 1А50.1, 1А50.2 должна быть равна значению по строке 1А51.</w:t>
      </w:r>
    </w:p>
    <w:p>
      <w:pPr>
        <w:pStyle w:val="MainText"/>
        <w:rPr/>
      </w:pPr>
      <w:r>
        <w:rPr/>
        <w:t>По каждой графе подраздела 1П должно выполняться соотношение:</w:t>
      </w:r>
    </w:p>
    <w:p>
      <w:pPr>
        <w:pStyle w:val="MainText"/>
        <w:rPr/>
      </w:pPr>
      <w:r>
        <w:rPr/>
        <w:t>сумма значений по строкам 1П1, 1П2, 1П3, 1П4.1, 1П4.2, 1П5.1, 1П5.2, 1П6, 1П7.1, 1П7.2, 1П8.1, 1П8.2, 1П9.1, 1П9.2, 1П50.1, 1П50.2 должна быть равна значению по строке 1П51.</w:t>
      </w:r>
    </w:p>
    <w:p>
      <w:pPr>
        <w:pStyle w:val="MainText"/>
        <w:rPr/>
      </w:pPr>
      <w:r>
        <w:rPr/>
        <w:t>Если вследствие округления указанные соотношения нарушаются, отчитывающийся банк должен восстановить их, округлив соответствующим образом значения в разделе.</w:t>
      </w:r>
    </w:p>
    <w:p>
      <w:pPr>
        <w:pStyle w:val="MZagolovokCenter"/>
        <w:spacing w:before="227" w:after="0"/>
        <w:rPr>
          <w:b w:val="false"/>
        </w:rPr>
      </w:pPr>
      <w:r>
        <w:rPr>
          <w:b w:val="false"/>
          <w:color w:val="000000"/>
        </w:rPr>
        <w:t>Подраздел 2. Порядок заполнения граф раздела 1 Отчета</w:t>
      </w:r>
    </w:p>
    <w:p>
      <w:pPr>
        <w:pStyle w:val="MainTextPodzagolovok401"/>
        <w:keepLines w:val="false"/>
        <w:spacing w:before="170" w:after="0"/>
        <w:rPr>
          <w:rFonts w:ascii="Arial" w:hAnsi="Arial" w:cs="Arial"/>
        </w:rPr>
      </w:pPr>
      <w:r>
        <w:rPr>
          <w:rFonts w:cs="Arial" w:ascii="Arial" w:hAnsi="Arial"/>
        </w:rPr>
        <w:t>II.2. Графы 1 и 5</w:t>
      </w:r>
    </w:p>
    <w:p>
      <w:pPr>
        <w:pStyle w:val="MainText"/>
        <w:rPr/>
      </w:pPr>
      <w:r>
        <w:rPr/>
        <w:t>В данных графах показываются накопленные требования и обязательства по отношению к нерезидентам (то есть иностранные активы и обязательства) по состоянию на начало и конец отчетного периода соответственно.</w:t>
      </w:r>
    </w:p>
    <w:p>
      <w:pPr>
        <w:pStyle w:val="MainTextPodzagolovok401"/>
        <w:rPr>
          <w:rFonts w:ascii="Arial" w:hAnsi="Arial" w:cs="Arial"/>
        </w:rPr>
      </w:pPr>
      <w:r>
        <w:rPr>
          <w:rFonts w:cs="Arial" w:ascii="Arial" w:hAnsi="Arial"/>
        </w:rPr>
        <w:t>II.3. Соответствие данных в графах 1 и 5 за смежные отчетные периоды</w:t>
      </w:r>
    </w:p>
    <w:p>
      <w:pPr>
        <w:pStyle w:val="MainText"/>
        <w:rPr/>
      </w:pPr>
      <w:r>
        <w:rPr/>
        <w:t>Данные графы 1 должны полностью совпадать с данными графы 5 (по соответствующей строке) отчета за период, предшествующий отчетному. Если эти данные не совпадают по причине того, что в Отчет за предыдущий период отчитывающимся банком были внесены поправки, необходимо одновременно с Отчетом направить в адрес территориального учреждения Банка России исправленные отчеты за соответствующие периоды.</w:t>
      </w:r>
    </w:p>
    <w:p>
      <w:pPr>
        <w:pStyle w:val="MainTextPodzagolovok401"/>
        <w:rPr>
          <w:rFonts w:ascii="Arial" w:hAnsi="Arial" w:cs="Arial"/>
        </w:rPr>
      </w:pPr>
      <w:r>
        <w:rPr>
          <w:rFonts w:cs="Arial" w:ascii="Arial" w:hAnsi="Arial"/>
        </w:rPr>
        <w:t>II.4. Графы 2, 3, 4</w:t>
      </w:r>
    </w:p>
    <w:p>
      <w:pPr>
        <w:pStyle w:val="MainText"/>
        <w:rPr/>
      </w:pPr>
      <w:r>
        <w:rPr/>
        <w:t>Отражаются изменения в активах и пассивах, которые произошли в течение отчетного периода.</w:t>
      </w:r>
    </w:p>
    <w:p>
      <w:pPr>
        <w:pStyle w:val="MainText"/>
        <w:rPr/>
      </w:pPr>
      <w:r>
        <w:rPr/>
        <w:t>Рост как активов, так и пассивов отражается со знаком “плюс”. Снижение как активов, так и пассивов отражается со знаком “минус”.</w:t>
      </w:r>
    </w:p>
    <w:p>
      <w:pPr>
        <w:pStyle w:val="MainText"/>
        <w:rPr/>
      </w:pPr>
      <w:r>
        <w:rPr/>
        <w:t>В графе 2 отражаются только такие изменения активов (пассивов), которые представляют собой операции, то есть являются следствием перехода прав собственности на финансовые активы и принятием обязательств в соответствии с действующими соглашениями между сторонами (в данном случае соглашения понимаются в широком смысле, а не только как соглашения в письменной форме). Условно образование просроченной задолженности также рассматривается как изменение активов (обязательств) в результате операций. Например, приобретение наличной валюты, размещение депозитов, приобретение ценных бумаг при первичном размещении и на вторичном рынке, погашение ссуд, перенос сроков погашения задолженности и так далее.</w:t>
      </w:r>
    </w:p>
    <w:p>
      <w:pPr>
        <w:pStyle w:val="Primer1"/>
        <w:ind w:firstLine="567" w:start="0" w:end="0"/>
        <w:rPr/>
      </w:pPr>
      <w:r>
        <w:rPr/>
        <w:t>Пример 1. За месяц до погашения привлеченной ссуды на сумму 100 тыс. долларов США с первоначальным сроком погашения 1,5 года была достигнута договоренность о переносе срока ее погашения на 1 месяц после первоначальной даты погашения.</w:t>
      </w:r>
    </w:p>
    <w:p>
      <w:pPr>
        <w:pStyle w:val="Primer2"/>
        <w:keepNext w:val="true"/>
        <w:spacing w:before="60" w:after="60"/>
        <w:ind w:firstLine="284" w:end="0"/>
        <w:jc w:val="end"/>
        <w:rPr/>
      </w:pPr>
      <w:r>
        <w:rPr/>
        <w:t>тыс. долларов США</w:t>
      </w:r>
    </w:p>
    <w:tbl>
      <w:tblPr>
        <w:tblW w:w="10985" w:type="dxa"/>
        <w:jc w:val="center"/>
        <w:tblInd w:w="0" w:type="dxa"/>
        <w:tblLayout w:type="fixed"/>
        <w:tblCellMar>
          <w:top w:w="0" w:type="dxa"/>
          <w:start w:w="28" w:type="dxa"/>
          <w:bottom w:w="0" w:type="dxa"/>
          <w:end w:w="28" w:type="dxa"/>
        </w:tblCellMar>
      </w:tblPr>
      <w:tblGrid>
        <w:gridCol w:w="673"/>
        <w:gridCol w:w="3544"/>
        <w:gridCol w:w="1128"/>
        <w:gridCol w:w="1128"/>
        <w:gridCol w:w="1128"/>
        <w:gridCol w:w="1128"/>
        <w:gridCol w:w="1128"/>
        <w:gridCol w:w="1128"/>
      </w:tblGrid>
      <w:tr>
        <w:trPr>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54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54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w:t>
            </w:r>
          </w:p>
        </w:tc>
        <w:tc>
          <w:tcPr>
            <w:tcW w:w="10312"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1П5.1</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100,0</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100,0</w:t>
            </w:r>
          </w:p>
        </w:tc>
        <w:tc>
          <w:tcPr>
            <w:tcW w:w="11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1П5.2</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1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100,0</w:t>
            </w:r>
          </w:p>
        </w:tc>
        <w:tc>
          <w:tcPr>
            <w:tcW w:w="11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100,0</w:t>
            </w:r>
          </w:p>
        </w:tc>
        <w:tc>
          <w:tcPr>
            <w:tcW w:w="11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
        <w:spacing w:before="120" w:after="0"/>
        <w:rPr/>
      </w:pPr>
      <w:r>
        <w:rPr/>
        <w:t>В графе 3 отражаются следующие изменения активов и пассивов:</w:t>
      </w:r>
    </w:p>
    <w:p>
      <w:pPr>
        <w:pStyle w:val="MainText"/>
        <w:rPr/>
      </w:pPr>
      <w:r>
        <w:rPr/>
        <w:t>курсовые разницы от переоценки в доллары США активов и обязательств, выраженных в иных валютах, включая курсовые разницы от переоценки в доллары США активов и обязательств, выраженных в российских рублях;</w:t>
      </w:r>
    </w:p>
    <w:p>
      <w:pPr>
        <w:pStyle w:val="MainText"/>
        <w:rPr/>
      </w:pPr>
      <w:r>
        <w:rPr/>
        <w:t>реализованные изменения курсовой стоимости ценных бумаг в исходной валюте, не являющиеся процентным доходом;</w:t>
      </w:r>
    </w:p>
    <w:p>
      <w:pPr>
        <w:pStyle w:val="MainText"/>
        <w:rPr/>
      </w:pPr>
      <w:r>
        <w:rPr/>
        <w:t>нереализованные изменения курсовой стоимости ценных бумаг в исходной валюте, не являющиеся процентным доходом (в случае если ценные бумаги переоцениваются в балансе отчитывающегося банка).</w:t>
      </w:r>
    </w:p>
    <w:p>
      <w:pPr>
        <w:pStyle w:val="MainText"/>
        <w:rPr/>
      </w:pPr>
      <w:r>
        <w:rPr/>
        <w:t>Ввиду сложности непосредственного расчета значений в графе 3 в нее рекомендуется вносить значения, рассчитанные по остаточному методу: графа 3 = графа 5 – графа 1 – графа 2 – графа 4.</w:t>
      </w:r>
    </w:p>
    <w:p>
      <w:pPr>
        <w:pStyle w:val="MainText"/>
        <w:rPr/>
      </w:pPr>
      <w:r>
        <w:rPr/>
        <w:t>В графе 4 отражаются следующие изменения активов и пассивов:</w:t>
      </w:r>
    </w:p>
    <w:p>
      <w:pPr>
        <w:pStyle w:val="MainText"/>
        <w:rPr/>
      </w:pPr>
      <w:r>
        <w:rPr/>
        <w:t>списание иностранных активов ввиду неплатежеспособности дебитора и постановка на баланс иностранных активов при восстановлении платежеспособности дебитора;</w:t>
      </w:r>
    </w:p>
    <w:p>
      <w:pPr>
        <w:pStyle w:val="MainText"/>
        <w:rPr/>
      </w:pPr>
      <w:r>
        <w:rPr/>
        <w:t>суммы, позволяющие восстановить тождество графа 5 = графа 1 + графа 2 + графа 3 + графа 4, нарушающееся вследствие изменений методологии расчета показателей при внесении поправок в текст настоящего Порядка;</w:t>
      </w:r>
    </w:p>
    <w:p>
      <w:pPr>
        <w:pStyle w:val="MainText"/>
        <w:rPr/>
      </w:pPr>
      <w:r>
        <w:rPr/>
        <w:t>прочие изменения в иностранных активах и обязательствах, не являющиеся следствием операций и переоценки, например, утрата активов.</w:t>
      </w:r>
    </w:p>
    <w:p>
      <w:pPr>
        <w:pStyle w:val="Primer1"/>
        <w:ind w:firstLine="567" w:start="0" w:end="0"/>
        <w:rPr/>
      </w:pPr>
      <w:r>
        <w:rPr/>
        <w:t>Пример 2. В течение отчетного периода была списана просроченная ссуда фирме-нерезиденту в размере 50 тыс. долларов США основного долга и 5 тыс. долларов США просроченных процентов. В следующем отчетном периоде фирма-нерезидент все же погасила свои обязательства.</w:t>
      </w:r>
    </w:p>
    <w:p>
      <w:pPr>
        <w:pStyle w:val="Primer2"/>
        <w:keepNext w:val="true"/>
        <w:spacing w:before="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Отчетный период, в котором просроченная ссуда была списана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Не погашенный в срок основной долг</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50,0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Не погашенные в срок проценты</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Отчетный период, в котором списанная ссуда была погашена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Не погашенный в срок основной долг</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50,0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5,0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Podzagolovok401"/>
        <w:rPr>
          <w:rFonts w:ascii="Arial" w:hAnsi="Arial" w:cs="Arial"/>
        </w:rPr>
      </w:pPr>
      <w:r>
        <w:rPr>
          <w:rFonts w:cs="Arial" w:ascii="Arial" w:hAnsi="Arial"/>
        </w:rPr>
        <w:t>II.5. Графа 6</w:t>
      </w:r>
    </w:p>
    <w:p>
      <w:pPr>
        <w:pStyle w:val="MainText"/>
        <w:rPr/>
      </w:pPr>
      <w:r>
        <w:rPr/>
        <w:t>В графе 6 подраздела 1А по всем строкам, кроме строк 1А1, 1А2, 1А9.1, 1А9.2, 1А10, отражаются проценты по активам, начисленные к получению в отчетном периоде, выраженные в эквиваленте долларов США, а по строкам 1А9.1, 1А9.2 — доходы по участию в капитале нерезидентов, начисленные к получению в отчетном периоде, также выраженные в эквиваленте долларов США.</w:t>
      </w:r>
    </w:p>
    <w:p>
      <w:pPr>
        <w:pStyle w:val="MainText"/>
        <w:rPr/>
      </w:pPr>
      <w:r>
        <w:rPr/>
        <w:t>По строкам 1А1, 1А2, 1А10 подраздела 1А проставляется символ “Х”.</w:t>
      </w:r>
    </w:p>
    <w:p>
      <w:pPr>
        <w:pStyle w:val="MainText"/>
        <w:rPr/>
      </w:pPr>
      <w:r>
        <w:rPr/>
        <w:t>В графе 6 подраздела 1П по всем строкам, кроме строк 1П8.1, 1П8.2, отражаются проценты по пассивам, начисленные к платежу в отчетном периоде, а по строкам 1П8.1, 1П8.2 — доходы нерезидентов по участию в капитале отчитывающегося банка, начисленные к платежу в отчетном периоде. Все данные приводятся в эквиваленте долларов США.</w:t>
      </w:r>
    </w:p>
    <w:p>
      <w:pPr>
        <w:pStyle w:val="MainText"/>
        <w:rPr/>
      </w:pPr>
      <w:r>
        <w:rPr/>
        <w:t>Проценты или доходы по участию в капитале отражаются в графе 6 независимо от того, в какой валюте они должны выплачиваться. Например, в графе 6 должны отражаться проценты, начисленные к получению в граммах драгоценных металлов по депозитам в драгоценных металлах в банках-нерезидентах. Аналогично проценты и дивиденды, начисленные к платежу нерезидентам в рублях, также должны отражаться в графе 6.</w:t>
      </w:r>
    </w:p>
    <w:p>
      <w:pPr>
        <w:pStyle w:val="MainText"/>
        <w:rPr/>
      </w:pPr>
      <w:r>
        <w:rPr/>
        <w:t>Правила пересчета в доллары США начисленных процентов или доходов по участию в капитале, отражаемых в графе 6, приведены в пунктах I.11, II.7 настоящего Порядка.</w:t>
      </w:r>
    </w:p>
    <w:p>
      <w:pPr>
        <w:pStyle w:val="MainText"/>
        <w:rPr/>
      </w:pPr>
      <w:r>
        <w:rPr/>
        <w:t>Доходы и расходы отчитывающегося банка по операциям с нерезидентами, не являющиеся процентами или доходами по участию в капитале (например, комиссии), в графе 6 не отражаются.</w:t>
      </w:r>
    </w:p>
    <w:p>
      <w:pPr>
        <w:pStyle w:val="MainText"/>
        <w:rPr/>
      </w:pPr>
      <w:r>
        <w:rPr/>
        <w:t>Начисленные проценты или доходы по участию в капитале показываются по той строке разделов 1, 3 и 4 Отчета, по которой были отражены активы или пассивы, на которые они были начислены. Например, если проценты были начислены на дебетовые остатки по корреспондентским счетам “НОСТРО”, то эти проценты должны быть показаны в графе 6 по строке 1А3.</w:t>
      </w:r>
    </w:p>
    <w:p>
      <w:pPr>
        <w:pStyle w:val="MainText"/>
        <w:rPr/>
      </w:pPr>
      <w:r>
        <w:rPr/>
        <w:t>Проценты, начисленные в отчетном периоде на долговые ценные бумаги, рассчитываются:</w:t>
      </w:r>
    </w:p>
    <w:p>
      <w:pPr>
        <w:pStyle w:val="MainText"/>
        <w:rPr/>
      </w:pPr>
      <w:r>
        <w:rPr/>
        <w:t>в случае отсутствия денежных потоков, связанных с данной долговой ценной бумагой, — как разница расчетной текущей стоимости долговых ценных бумаг на конец и начало отчетного периода, рассчитанная в исходной валюте и переведенная в эквивалент долларов США по среднему кросс-курсу Банка России за отчетный период;</w:t>
      </w:r>
    </w:p>
    <w:p>
      <w:pPr>
        <w:pStyle w:val="MainText"/>
        <w:rPr/>
      </w:pPr>
      <w:r>
        <w:rPr/>
        <w:t>в случае наличия денежных потоков для расчета начисленных процентов необходимо отчетный период разделить на составные периоды, границами которых служат даты денежных потоков, и определить начисленные проценты отдельно по каждому периоду. В каждом из этих периодов начисленные проценты представляют собой разницу значений расчетной текущей стоимости до денежного потока на конец составного периода и расчетной текущей стоимости после денежного потока на начало составного периода, рассчитанную в исходной валюте и переведенную в эквивалент долларов США по среднему кросс-курсу Банка России за соответствующий составной период.</w:t>
      </w:r>
    </w:p>
    <w:p>
      <w:pPr>
        <w:pStyle w:val="MainText"/>
        <w:rPr/>
      </w:pPr>
      <w:r>
        <w:rPr/>
        <w:t>Иными словами, проценты, начисленные на долговые ценные бумаги, представляют собой разницу расчетной текущей стоимости ценных бумаг на конец и начало отчетного периода, рассчитанную в исходной валюте и переведенную в эквивалент долларов США по среднему кросс-курсу Банка России за отчетный период, увеличенную на сумму денежных потоков по данной долговой ценной бумаге, имевших место в отчетном периоде.</w:t>
      </w:r>
    </w:p>
    <w:p>
      <w:pPr>
        <w:pStyle w:val="MainText"/>
        <w:rPr/>
      </w:pPr>
      <w:r>
        <w:rPr/>
        <w:t>Формула расчета расчетной текущей стоимости изложена в подпункте II.9.11 пункта II.9 настоящего Порядка.</w:t>
      </w:r>
    </w:p>
    <w:p>
      <w:pPr>
        <w:pStyle w:val="MainText"/>
        <w:rPr/>
      </w:pPr>
      <w:r>
        <w:rPr/>
        <w:t>Начисленные к получению или платежу проценты или доходы по участию в капитале должны быть показаны независимо от того, были они фактически выплачены (получены) или нет. Дивиденды по обыкновенным и привилегированным акциям показываются в момент их объявления, а не в момент выплаты, а распределенная прибыль показывается на дату ее распределения.</w:t>
      </w:r>
    </w:p>
    <w:p>
      <w:pPr>
        <w:pStyle w:val="MainText"/>
        <w:rPr/>
      </w:pPr>
      <w:r>
        <w:rPr/>
        <w:t>Если обращающийся иностранный актив продается на вторичном рынке, то начисленный по нему до даты продажи доход отражается независимо от того, продан он резиденту или нерезиденту. Например, если казначейские векселя США перепродаются отчитывающимся банком другому резиденту, то дисконт и (или) процентный (купонный) доход, начисленные по этим ценным бумагам до даты продажи, должны быть отражены в графе 6.</w:t>
      </w:r>
    </w:p>
    <w:p>
      <w:pPr>
        <w:pStyle w:val="MainText"/>
        <w:rPr/>
      </w:pPr>
      <w:r>
        <w:rPr/>
        <w:t>Начисленные проценты и объявленные дивиденды на иностранные активы или обязательства отчитывающегося банка увеличивают их величину, отражаясь одновременно по графе 6 и по графе 2 разделов 1, 3 и 4. При этом в графе 2 учет необходимо производить либо по строкам соответствующих финансовых инструментов, либо по строкам прочих активов (обязательств). Фактические выплаты и поступления денежных средств в счет погашения ранее начисленных доходов и расходов в графе 6 не отражаются.</w:t>
      </w:r>
    </w:p>
    <w:p>
      <w:pPr>
        <w:pStyle w:val="Primer1"/>
        <w:ind w:firstLine="567" w:start="0" w:end="0"/>
        <w:rPr/>
      </w:pPr>
      <w:r>
        <w:rPr/>
        <w:t>Пример 1. Отчитывающийся банк в отчетном периоде (период А) приобрел долговую ценную бумагу, эмитированную американским банком “USD”, за 30 тыс. долларов США. Рассчитанная в соответствии с формулой на конец отчетного периода текущая приведенная стоимость долговой ценной бумаги составила 30,46 тыс. долларов США. В следующем отчетном периоде (период Б) произошел платеж купона на сумму 7 тыс. долларов США, при этом расчетная текущая стоимость долговой ценной бумаги на дату платежа купона составила 34,39 тыс. долларов США, а на конец отчетного периода — 27,81 тыс. долларов США.</w:t>
      </w:r>
    </w:p>
    <w:p>
      <w:pPr>
        <w:pStyle w:val="Primer2"/>
        <w:keepNext w:val="true"/>
        <w:spacing w:before="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1276"/>
        <w:gridCol w:w="992"/>
        <w:gridCol w:w="1561"/>
        <w:gridCol w:w="1086"/>
        <w:gridCol w:w="1087"/>
        <w:gridCol w:w="1087"/>
        <w:gridCol w:w="3225"/>
      </w:tblGrid>
      <w:tr>
        <w:trPr>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27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32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276"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32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Отчетный период 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(непросроченные), эмитированные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1А8.2</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5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30,46=30,0+0,46</w:t>
            </w:r>
          </w:p>
        </w:tc>
        <w:tc>
          <w:tcPr>
            <w:tcW w:w="108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30,46</w:t>
            </w:r>
          </w:p>
        </w:tc>
        <w:tc>
          <w:tcPr>
            <w:tcW w:w="322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0,46=30,46–30,0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Отчетный период Б</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(непросроченные), эмитированные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1А8.2</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30,46</w:t>
            </w:r>
          </w:p>
        </w:tc>
        <w:tc>
          <w:tcPr>
            <w:tcW w:w="15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2,65=4,35–7,0</w:t>
            </w:r>
          </w:p>
        </w:tc>
        <w:tc>
          <w:tcPr>
            <w:tcW w:w="108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27,81</w:t>
            </w:r>
          </w:p>
        </w:tc>
        <w:tc>
          <w:tcPr>
            <w:tcW w:w="322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4,35=34,39–30,46+27,81–27,39</w:t>
            </w:r>
          </w:p>
        </w:tc>
      </w:tr>
    </w:tbl>
    <w:p>
      <w:pPr>
        <w:pStyle w:val="MainText"/>
        <w:spacing w:before="120" w:after="0"/>
        <w:rPr/>
      </w:pPr>
      <w:r>
        <w:rPr/>
        <w:t>Движение задолженности по просроченным процентам отражается в разделе 1 и разделе 3 (в части прямых инвестиций) по строкам для учета просроченной задолженности.</w:t>
      </w:r>
    </w:p>
    <w:p>
      <w:pPr>
        <w:pStyle w:val="Primer1"/>
        <w:ind w:firstLine="567" w:start="0" w:end="0"/>
        <w:rPr/>
      </w:pPr>
      <w:r>
        <w:rPr/>
        <w:t>Пример 2. По трем краткосрочным депозитам, каждый из которых был размещен в банке-нерезиденте на сумму 10 тыс. долларов США, в отчетном периоде были начислены проценты в размере 1 тыс. долларов США.</w:t>
      </w:r>
    </w:p>
    <w:p>
      <w:pPr>
        <w:pStyle w:val="Primer2"/>
        <w:ind w:firstLine="567" w:start="0" w:end="0"/>
        <w:rPr/>
      </w:pPr>
      <w:r>
        <w:rPr/>
        <w:t>По первому депозиту проценты были зачислены на корреспондентский счет отчитывающегося банка в банке-нерезиденте. По второму — проценты были просрочены. По третьему — проценты были наращены.</w:t>
      </w:r>
    </w:p>
    <w:p>
      <w:pPr>
        <w:pStyle w:val="Primer1"/>
        <w:keepNext w:val="true"/>
        <w:spacing w:before="0" w:after="60"/>
        <w:ind w:firstLine="284" w:end="0"/>
        <w:jc w:val="end"/>
        <w:rPr/>
      </w:pPr>
      <w:r>
        <w:rPr/>
        <w:t>тыс. долларов США</w:t>
      </w:r>
    </w:p>
    <w:tbl>
      <w:tblPr>
        <w:tblW w:w="10991" w:type="dxa"/>
        <w:jc w:val="center"/>
        <w:tblInd w:w="0" w:type="dxa"/>
        <w:tblLayout w:type="fixed"/>
        <w:tblCellMar>
          <w:top w:w="0" w:type="dxa"/>
          <w:start w:w="28" w:type="dxa"/>
          <w:bottom w:w="0" w:type="dxa"/>
          <w:end w:w="28" w:type="dxa"/>
        </w:tblCellMar>
      </w:tblPr>
      <w:tblGrid>
        <w:gridCol w:w="673"/>
        <w:gridCol w:w="3828"/>
        <w:gridCol w:w="993"/>
        <w:gridCol w:w="1277"/>
        <w:gridCol w:w="1135"/>
        <w:gridCol w:w="1028"/>
        <w:gridCol w:w="956"/>
        <w:gridCol w:w="110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9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2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1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2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1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0991"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 вариант заполнения раздела 1</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1А3</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корреспондентских счетах и депозиты до востребования в банках-нерезидентах</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w:t>
            </w:r>
          </w:p>
        </w:tc>
        <w:tc>
          <w:tcPr>
            <w:tcW w:w="10318"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Срочные и сберегательные депозиты в банках-нерезидентах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 (кроме депозитов до востребования)</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30,0</w:t>
            </w:r>
          </w:p>
        </w:tc>
        <w:tc>
          <w:tcPr>
            <w:tcW w:w="11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w:t>
            </w:r>
          </w:p>
        </w:tc>
        <w:tc>
          <w:tcPr>
            <w:tcW w:w="10318"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w:t>
            </w:r>
          </w:p>
        </w:tc>
        <w:tc>
          <w:tcPr>
            <w:tcW w:w="10318"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требования к 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1,0=3,0–1,0–1,0</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10991"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 вариант заполнения раздела 1</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1А3</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корреспондентских счетах и депозиты до востребования в банках-нерезидентах</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w:t>
            </w:r>
          </w:p>
        </w:tc>
        <w:tc>
          <w:tcPr>
            <w:tcW w:w="10318"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Срочные и сберегательные депозиты в банках-нерезидентах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 (кроме депозитов до востребования)</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1,0=3,0–1,0–1,0</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31,0</w:t>
            </w:r>
          </w:p>
        </w:tc>
        <w:tc>
          <w:tcPr>
            <w:tcW w:w="11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w:t>
            </w:r>
          </w:p>
        </w:tc>
        <w:tc>
          <w:tcPr>
            <w:tcW w:w="10318"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Primer1"/>
        <w:spacing w:before="60" w:after="0"/>
        <w:ind w:firstLine="567" w:start="0" w:end="0"/>
        <w:rPr/>
      </w:pPr>
      <w:r>
        <w:rPr/>
        <w:t>В следующем периоде просроченные проценты по второму депозиту (в размере 1 тыс. долларов США) были выплачены и зачислены на корреспондентский счет отчитывающегося банка в банке-нерезиденте. По третьему депозиту были выплачены проценты на сумму 1,5 тыс. долларов США, которые также были зачислены на корреспондентский счет отчитывающегося банка в банке-нерезиденте. Из этой суммы 1 тыс. долларов США была наращена в предыдущих периодах (то есть в отчетном периоде дополнительно было начислено 0,5 тыс. долларов США процентов).</w:t>
      </w:r>
    </w:p>
    <w:p>
      <w:pPr>
        <w:pStyle w:val="Primer2"/>
        <w:keepNext w:val="true"/>
        <w:spacing w:before="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 вариант заполнения раздела 1</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1А3</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Остатки на корреспондентских счетах и депозиты до востребования в банках-нерезидентах</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Срочные и сберегательные депозиты в банках-нерезидентах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0,5</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Не погашенные в срок проценты</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1А50</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требования к 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1А50.1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1,0=0,5–1,5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II вариант заполнения раздела 1</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1А3</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Остатки на корреспондентских счетах и депозиты до востребования в банках-нерезидентах</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Срочные и сберегательные депозиты в банках-нерезидентах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31,0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1,0=0,5–1,5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0,5</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
        <w:spacing w:before="120" w:after="0"/>
        <w:rPr/>
      </w:pPr>
      <w:r>
        <w:rPr/>
        <w:t>При изменении доходности финансового инструмента, вызванном его досрочным погашением, корректировки в графу 6 Отчетов предыдущих периодов не вносятся. До момента досрочного погашения финансового инструмента начисление процентов в указанной графе и в графе 2 Отчета производится по первоначальной ставке. Разница между начисленными и фактически выплаченными процентами отражается в графе 3 Отчета.</w:t>
      </w:r>
    </w:p>
    <w:p>
      <w:pPr>
        <w:pStyle w:val="Primer1"/>
        <w:ind w:firstLine="567" w:start="0" w:end="0"/>
        <w:rPr/>
      </w:pPr>
      <w:r>
        <w:rPr/>
        <w:t>Пример 3. Отчитывающийся банк привлек от нерезидента 20 ноября 2006 года сроком на 1 год депозит на 250 тыс. долларов США под 9 процентов годовых, исчисляемых по формуле простых процентов. Однако депозит был досрочно погашен 15 января 2007 года. По условиям договора доходность по инструменту была снижена до 1 процента и итоговая сумма выплаченных процентов за весь отчетный период составила 0,4 тыс. долларов США.</w:t>
      </w:r>
    </w:p>
    <w:p>
      <w:pPr>
        <w:pStyle w:val="Primer2"/>
        <w:ind w:firstLine="567" w:start="0" w:end="0"/>
        <w:rPr/>
      </w:pPr>
      <w:r>
        <w:rPr/>
        <w:t>В Отчете вышеуказанные операции будут учтены следующим образом:</w:t>
      </w:r>
    </w:p>
    <w:p>
      <w:pPr>
        <w:pStyle w:val="Primer2"/>
        <w:keepNext w:val="true"/>
        <w:spacing w:before="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Ноябрь 2006 года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Срочные и сберегательные депозиты,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0,7</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обязательства перед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0,7</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0,7</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Декабрь 2006 года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Срочные и сберегательные депозиты,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1,9</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Прочие обязательства перед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0,7</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1,9</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2,6</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Январь 2007 года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Срочные и сберегательные депозиты,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250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0,9</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обязательства перед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2,6</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3,1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=0,9–0,4</w:t>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bl>
    <w:p>
      <w:pPr>
        <w:pStyle w:val="MainText"/>
        <w:spacing w:before="120" w:after="0"/>
        <w:rPr/>
      </w:pPr>
      <w:r>
        <w:rPr/>
        <w:t>В графе 6 не отражаются доходы (расходы) отчитывающегося банка от проведения арбитражных операций, так как они не связаны с предоставлением (получением) в долг финансовых ресурсов. Доходы (расходы) отчитывающегося банка от проведения арбитражных операций с иностранными активами и обязательствами трактуются как доходы (расходы) от изменения активов или обязательств в результате переоценки и отражаются, следовательно, в графе 3 Отчета.</w:t>
      </w:r>
    </w:p>
    <w:p>
      <w:pPr>
        <w:pStyle w:val="MainText"/>
        <w:rPr/>
      </w:pPr>
      <w:r>
        <w:rPr/>
        <w:t>При перепродаже ценных бумаг по цене ниже цены приобретения соответствующий убыток также трактуется как изменение активов в результате переоценки.</w:t>
      </w:r>
    </w:p>
    <w:p>
      <w:pPr>
        <w:pStyle w:val="Primer1"/>
        <w:ind w:firstLine="567" w:start="0" w:end="0"/>
        <w:rPr/>
      </w:pPr>
      <w:r>
        <w:rPr/>
        <w:t>Пример 4. Отчитывающийся банк в один и тот же день отчетного периода приобретает у одного контрагента эмитированные нерезидентами краткосрочные ценные бумаги в долларах США за 100 тыс. долларов США и перепродает их второму контрагенту за 101 тыс. долларов США.</w:t>
      </w:r>
    </w:p>
    <w:p>
      <w:pPr>
        <w:pStyle w:val="Primer2"/>
        <w:keepNext w:val="true"/>
        <w:spacing w:before="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(непросроченные), эмитированные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=100–101</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=0–0–(–1)–0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r>
    </w:tbl>
    <w:p>
      <w:pPr>
        <w:pStyle w:val="MZagolovokCenter"/>
        <w:spacing w:before="227" w:after="0"/>
        <w:rPr>
          <w:b w:val="false"/>
        </w:rPr>
      </w:pPr>
      <w:r>
        <w:rPr>
          <w:b w:val="false"/>
          <w:color w:val="000000"/>
        </w:rPr>
        <w:t>Подраздел 3. Правила пересчета в доллары США позиций и изменений в активах (обязательствах), а также начисленных процентов и дивидендов, выраженных в других иностранных валютах</w:t>
      </w:r>
    </w:p>
    <w:p>
      <w:pPr>
        <w:pStyle w:val="MainTextPodzagolovok401"/>
        <w:keepLines w:val="false"/>
        <w:spacing w:before="170" w:after="0"/>
        <w:rPr>
          <w:rFonts w:ascii="Arial" w:hAnsi="Arial" w:cs="Arial"/>
        </w:rPr>
      </w:pPr>
      <w:r>
        <w:rPr>
          <w:rFonts w:cs="Arial" w:ascii="Arial" w:hAnsi="Arial"/>
        </w:rPr>
        <w:t>II.6. Пересчет граф 1 и 5</w:t>
      </w:r>
    </w:p>
    <w:p>
      <w:pPr>
        <w:pStyle w:val="MainText"/>
        <w:rPr/>
      </w:pPr>
      <w:r>
        <w:rPr/>
        <w:t>В графе 1 остатки по счетам (позиции) по состоянию на начало отчетного периода в исходных валютах пересчитываются в доллары США по кросс-курсам Банка России, рассчитанным на основе установленных Банком России соответствующих курсов иностранных валют по отношению к рублю, которые использовались для переоценки входящих на начало отчетного периода остатков по счетам (а также исходящих остатков на конец предыдущего периода).</w:t>
      </w:r>
    </w:p>
    <w:p>
      <w:pPr>
        <w:pStyle w:val="MainText"/>
        <w:rPr/>
      </w:pPr>
      <w:r>
        <w:rPr/>
        <w:t>В графе 5 остатки по счетам (позиции) по состоянию на конец отчетного периода в исходных валютах пересчитываются в доллары США по кросс-курсам Банка России, рассчитанным на основе установленных Банком России соответствующих официальных курсов иностранных валют по отношению к рублю, которые использовались для переоценки исходящих на конец отчетного периода остатков по счетам (а также входящих остатков на начало следующего периода).</w:t>
      </w:r>
    </w:p>
    <w:p>
      <w:pPr>
        <w:pStyle w:val="MainText"/>
        <w:rPr/>
      </w:pPr>
      <w:r>
        <w:rPr/>
        <w:t>В случае, если конец отчетного периода приходится на выходной день, при пересчете остатков по счетам (позиций) необходимо исходить из курсов иностранных валют по отношению к рублю, установленных Банком России на последний календарный день отчетного периода. Соответственно, те же самые курсы применяются и при пересчете остатков (позиций) на начало следующего отчетного периода.</w:t>
      </w:r>
    </w:p>
    <w:p>
      <w:pPr>
        <w:pStyle w:val="MainTextPodzagolovok401"/>
        <w:rPr>
          <w:rFonts w:ascii="Arial" w:hAnsi="Arial" w:cs="Arial"/>
        </w:rPr>
      </w:pPr>
      <w:r>
        <w:rPr>
          <w:rFonts w:cs="Arial" w:ascii="Arial" w:hAnsi="Arial"/>
        </w:rPr>
        <w:t>II.7. Метод пересчета оборотов в доллары США</w:t>
      </w:r>
    </w:p>
    <w:p>
      <w:pPr>
        <w:pStyle w:val="MainText"/>
        <w:rPr/>
      </w:pPr>
      <w:r>
        <w:rPr/>
        <w:t>Каждое изменение в результате операции в исходной валюте пересчитывается в доллары США по кросс-курсу Банка России на дату осуществления этой операции или по фактическому курсу, который имел место при ее осуществлении. Полученные величины суммируются и записываются в графу 2.</w:t>
      </w:r>
    </w:p>
    <w:p>
      <w:pPr>
        <w:pStyle w:val="MainText"/>
        <w:rPr/>
      </w:pPr>
      <w:r>
        <w:rPr/>
        <w:t>Каждое прочее изменение в исходной валюте также пересчитывается в доллары США по кросс-курсу Банка России на дату этого изменения или по фактическому курсу, который имел место при его осуществлении. Полученные величины суммируются и записываются в графу 4.</w:t>
      </w:r>
    </w:p>
    <w:p>
      <w:pPr>
        <w:pStyle w:val="MainText"/>
        <w:rPr/>
      </w:pPr>
      <w:r>
        <w:rPr/>
        <w:t>Значения в графе 3 (изменения в результате переоценки) определяются по следующей формуле: графа 3 = графа 5 – графа 1 – графа 2 – графа 4.</w:t>
      </w:r>
    </w:p>
    <w:p>
      <w:pPr>
        <w:pStyle w:val="MainText"/>
        <w:rPr/>
      </w:pPr>
      <w:r>
        <w:rPr/>
        <w:t>Каждая сумма начисленных процентов и дивидендов, выраженная в эквиваленте российских рублей, пересчитывается в доллары США по кросс-курсу Банка России на дату их начисления. В случае если программное обеспечение отчитывающегося банка не позволяет пересчитывать начисленные проценты в долларовый эквивалент на ежедневной основе, допускается начисление процентов в исходной валюте с последующим пересчетом в долларовый эквивалент по среднему кросс-курсу Банка России за отчетный период. Полученные величины долларовых эквивалентов суммируются и записываются в графу 6.</w:t>
      </w:r>
    </w:p>
    <w:p>
      <w:pPr>
        <w:pStyle w:val="MainTextPodzagolovok401"/>
        <w:rPr>
          <w:rFonts w:ascii="Arial" w:hAnsi="Arial" w:cs="Arial"/>
        </w:rPr>
      </w:pPr>
      <w:r>
        <w:rPr>
          <w:rFonts w:cs="Arial" w:ascii="Arial" w:hAnsi="Arial"/>
        </w:rPr>
        <w:t>II.8. Примеры расчетов</w:t>
      </w:r>
    </w:p>
    <w:p>
      <w:pPr>
        <w:pStyle w:val="Primer1"/>
        <w:ind w:firstLine="567" w:start="0" w:end="0"/>
        <w:rPr/>
      </w:pPr>
      <w:r>
        <w:rPr/>
        <w:t>Пример 1. Отчитывающийся банк привлек 17 апреля 2006 года от нерезидентов долгосрочный кредит в размере 100 млн. рублей. В течение оставшихся дней апреля на кредит были начислены проценты на сумму 356 тыс. рублей.</w:t>
      </w:r>
    </w:p>
    <w:p>
      <w:pPr>
        <w:pStyle w:val="Primer2"/>
        <w:ind w:firstLine="567" w:start="0" w:end="0"/>
        <w:rPr/>
      </w:pPr>
      <w:r>
        <w:rPr/>
        <w:t>Официальные курсы Банка России доллара США по отношению к рублю были следующими:</w:t>
      </w:r>
    </w:p>
    <w:p>
      <w:pPr>
        <w:pStyle w:val="Primer2"/>
        <w:ind w:firstLine="567" w:start="0" w:end="0"/>
        <w:rPr/>
      </w:pPr>
      <w:r>
        <w:rPr/>
        <w:t>на 17 апреля 2006 года — 27,7002 рубля за доллар США;</w:t>
      </w:r>
    </w:p>
    <w:p>
      <w:pPr>
        <w:pStyle w:val="Primer2"/>
        <w:ind w:firstLine="567" w:start="0" w:end="0"/>
        <w:rPr/>
      </w:pPr>
      <w:r>
        <w:rPr/>
        <w:t>на 30 апреля 2006 года — 27,2739 рубля за доллар США;</w:t>
      </w:r>
    </w:p>
    <w:p>
      <w:pPr>
        <w:pStyle w:val="Primer2"/>
        <w:ind w:firstLine="567" w:start="0" w:end="0"/>
        <w:rPr/>
      </w:pPr>
      <w:r>
        <w:rPr/>
        <w:t>средний курс за апрель 2006 года — 27,57 рубля за доллар США.</w:t>
      </w:r>
    </w:p>
    <w:p>
      <w:pPr>
        <w:pStyle w:val="Primer2"/>
        <w:ind w:firstLine="567" w:start="0" w:end="0"/>
        <w:rPr/>
      </w:pPr>
      <w:r>
        <w:rPr/>
        <w:t>Отчет за апрель 2006 года должен иметь следующий вид.</w:t>
      </w:r>
    </w:p>
    <w:p>
      <w:pPr>
        <w:pStyle w:val="Primer2"/>
        <w:keepNext w:val="true"/>
        <w:spacing w:before="0" w:after="60"/>
        <w:ind w:firstLine="284" w:end="0"/>
        <w:jc w:val="end"/>
        <w:rPr/>
      </w:pPr>
      <w:r>
        <w:rPr/>
        <w:t>тыс. долларов США</w:t>
      </w:r>
    </w:p>
    <w:tbl>
      <w:tblPr>
        <w:tblW w:w="10984" w:type="dxa"/>
        <w:jc w:val="center"/>
        <w:tblInd w:w="0" w:type="dxa"/>
        <w:tblLayout w:type="fixed"/>
        <w:tblCellMar>
          <w:top w:w="0" w:type="dxa"/>
          <w:start w:w="28" w:type="dxa"/>
          <w:bottom w:w="0" w:type="dxa"/>
          <w:end w:w="28" w:type="dxa"/>
        </w:tblCellMar>
      </w:tblPr>
      <w:tblGrid>
        <w:gridCol w:w="673"/>
        <w:gridCol w:w="1473"/>
        <w:gridCol w:w="1473"/>
        <w:gridCol w:w="1473"/>
        <w:gridCol w:w="1677"/>
        <w:gridCol w:w="1275"/>
        <w:gridCol w:w="1470"/>
        <w:gridCol w:w="1470"/>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4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4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w:t>
            </w:r>
          </w:p>
        </w:tc>
        <w:tc>
          <w:tcPr>
            <w:tcW w:w="10311"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1П5.2</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3610,1</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56,4</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3666,5</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12,9</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Объяснение</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end"/>
              <w:rPr>
                <w:sz w:val="16"/>
              </w:rPr>
            </w:pPr>
            <w:r>
              <w:rPr>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=100000/27,7002</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end"/>
              <w:rPr>
                <w:sz w:val="16"/>
              </w:rPr>
            </w:pPr>
            <w:r>
              <w:rPr>
                <w:sz w:val="16"/>
              </w:rPr>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end"/>
              <w:rPr>
                <w:sz w:val="16"/>
              </w:rPr>
            </w:pPr>
            <w:r>
              <w:rPr>
                <w:sz w:val="16"/>
              </w:rPr>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=100000/27,2739</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=356/27,57</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w:t>
            </w:r>
          </w:p>
        </w:tc>
        <w:tc>
          <w:tcPr>
            <w:tcW w:w="10311"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обязательства перед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1П50.2</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12,9</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0,2</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13,1</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14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6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47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=356/27,2739</w:t>
            </w:r>
          </w:p>
        </w:tc>
        <w:tc>
          <w:tcPr>
            <w:tcW w:w="14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bl>
    <w:p>
      <w:pPr>
        <w:pStyle w:val="Primer1"/>
        <w:ind w:firstLine="567" w:start="0" w:end="0"/>
        <w:rPr/>
      </w:pPr>
      <w:r>
        <w:rPr/>
        <w:t>Отчет за май 2006 года должен иметь начальные остатки по счетам, соответствующие исходящим остаткам отчета за апрель 2006 года.</w:t>
      </w:r>
    </w:p>
    <w:p>
      <w:pPr>
        <w:pStyle w:val="Primer2"/>
        <w:keepNext w:val="true"/>
        <w:spacing w:before="0" w:after="60"/>
        <w:ind w:firstLine="284" w:end="0"/>
        <w:jc w:val="end"/>
        <w:rPr/>
      </w:pPr>
      <w:r>
        <w:rPr/>
        <w:t>тыс. долларов США</w:t>
      </w:r>
    </w:p>
    <w:tbl>
      <w:tblPr>
        <w:tblW w:w="10984" w:type="dxa"/>
        <w:jc w:val="center"/>
        <w:tblInd w:w="0" w:type="dxa"/>
        <w:tblLayout w:type="fixed"/>
        <w:tblCellMar>
          <w:top w:w="0" w:type="dxa"/>
          <w:start w:w="28" w:type="dxa"/>
          <w:bottom w:w="0" w:type="dxa"/>
          <w:end w:w="28" w:type="dxa"/>
        </w:tblCellMar>
      </w:tblPr>
      <w:tblGrid>
        <w:gridCol w:w="673"/>
        <w:gridCol w:w="1473"/>
        <w:gridCol w:w="1473"/>
        <w:gridCol w:w="1473"/>
        <w:gridCol w:w="1677"/>
        <w:gridCol w:w="1275"/>
        <w:gridCol w:w="1470"/>
        <w:gridCol w:w="1470"/>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4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4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w:t>
            </w:r>
          </w:p>
        </w:tc>
        <w:tc>
          <w:tcPr>
            <w:tcW w:w="10311"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1П5.2</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3666,5</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4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4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=100000/27,2739</w:t>
            </w:r>
          </w:p>
        </w:tc>
        <w:tc>
          <w:tcPr>
            <w:tcW w:w="14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1П50</w:t>
            </w:r>
          </w:p>
        </w:tc>
        <w:tc>
          <w:tcPr>
            <w:tcW w:w="10311"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обязательства перед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1П50.2</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13,1</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4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4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=356/27,2739</w:t>
            </w:r>
          </w:p>
        </w:tc>
        <w:tc>
          <w:tcPr>
            <w:tcW w:w="14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7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Primer1"/>
        <w:ind w:firstLine="567" w:start="0" w:end="0"/>
        <w:rPr/>
      </w:pPr>
      <w:r>
        <w:rPr/>
        <w:t>Пример 2. По состоянию на начало отчетного периода отчитывающимся банком был размещен (краткосрочный) депозит на сумму 100 тыс. евро в банке-нерезиденте. В течение отчетного периода он был погашен в срок вместе с процентами, составившими 10 тыс. евро. Затем в том же банке-нерезиденте отчитывающимся банком был размещен новый (краткосрочный) депозит на сумму 200 тыс. евро со сроком погашения в следующем отчетном периоде.</w:t>
      </w:r>
    </w:p>
    <w:p>
      <w:pPr>
        <w:pStyle w:val="Primer2"/>
        <w:ind w:firstLine="567" w:start="0" w:end="0"/>
        <w:rPr/>
      </w:pPr>
      <w:r>
        <w:rPr/>
        <w:t>Кросс-курсы Банка России доллара США к евро были следующими:</w:t>
      </w:r>
    </w:p>
    <w:p>
      <w:pPr>
        <w:pStyle w:val="Primer2"/>
        <w:ind w:firstLine="567" w:start="0" w:end="0"/>
        <w:rPr/>
      </w:pPr>
      <w:r>
        <w:rPr/>
        <w:t>на начало отчетного периода — 1,10 доллара США за евро;</w:t>
      </w:r>
    </w:p>
    <w:p>
      <w:pPr>
        <w:pStyle w:val="Primer2"/>
        <w:ind w:firstLine="567" w:start="0" w:end="0"/>
        <w:rPr/>
      </w:pPr>
      <w:r>
        <w:rPr/>
        <w:t>на дату погашения старого депозита — 1,15 доллара США за евро;</w:t>
      </w:r>
    </w:p>
    <w:p>
      <w:pPr>
        <w:pStyle w:val="Primer2"/>
        <w:ind w:firstLine="567" w:start="0" w:end="0"/>
        <w:rPr/>
      </w:pPr>
      <w:r>
        <w:rPr/>
        <w:t>на дату размещения нового депозита — 1,17 доллара США за евро;</w:t>
      </w:r>
    </w:p>
    <w:p>
      <w:pPr>
        <w:pStyle w:val="Primer2"/>
        <w:ind w:firstLine="567" w:start="0" w:end="0"/>
        <w:rPr/>
      </w:pPr>
      <w:r>
        <w:rPr/>
        <w:t>на конец отчетного периода — 1,20 доллара США за евро.</w:t>
      </w:r>
    </w:p>
    <w:p>
      <w:pPr>
        <w:pStyle w:val="Primer2"/>
        <w:ind w:firstLine="567" w:start="0" w:end="0"/>
        <w:rPr/>
      </w:pPr>
      <w:r>
        <w:rPr/>
        <w:t>В этом примере общее изменение в активах в результате операций в исходной валюте составило 100 тыс. евро. В пересчете в эквивалент долларов США по кросс-курсу Банка России доллара США к евро, рассчитанному на основе официальных курсов иностранных валют по отношению к рублю, устанавливаемых Банком России, на дату осуществления операций это изменение за отчетный период составило 119 тыс. долларов США.</w:t>
      </w:r>
    </w:p>
    <w:p>
      <w:pPr>
        <w:pStyle w:val="Primer2"/>
        <w:keepNext w:val="true"/>
        <w:ind w:firstLine="567" w:start="0" w:end="0"/>
        <w:rPr/>
      </w:pPr>
      <w:r>
        <w:rPr/>
        <w:t>Отчет должен иметь следующий вид</w:t>
      </w:r>
      <w:r>
        <w:rPr>
          <w:vertAlign w:val="superscript"/>
        </w:rPr>
        <w:t>1</w:t>
      </w:r>
      <w:r>
        <w:rPr/>
        <w:t>.</w:t>
      </w:r>
    </w:p>
    <w:p>
      <w:pPr>
        <w:pStyle w:val="Primer2"/>
        <w:keepNext w:val="true"/>
        <w:spacing w:before="0" w:after="60"/>
        <w:ind w:firstLine="284" w:end="0"/>
        <w:jc w:val="end"/>
        <w:rPr/>
      </w:pPr>
      <w:r>
        <w:rPr/>
        <w:t>тыс. долларов США</w:t>
      </w:r>
    </w:p>
    <w:tbl>
      <w:tblPr>
        <w:tblW w:w="10984" w:type="dxa"/>
        <w:jc w:val="center"/>
        <w:tblInd w:w="0" w:type="dxa"/>
        <w:tblLayout w:type="fixed"/>
        <w:tblCellMar>
          <w:top w:w="0" w:type="dxa"/>
          <w:start w:w="28" w:type="dxa"/>
          <w:bottom w:w="0" w:type="dxa"/>
          <w:end w:w="28" w:type="dxa"/>
        </w:tblCellMar>
      </w:tblPr>
      <w:tblGrid>
        <w:gridCol w:w="673"/>
        <w:gridCol w:w="1473"/>
        <w:gridCol w:w="937"/>
        <w:gridCol w:w="2126"/>
        <w:gridCol w:w="1701"/>
        <w:gridCol w:w="1134"/>
        <w:gridCol w:w="1470"/>
        <w:gridCol w:w="1470"/>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4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9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21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4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1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w:t>
            </w:r>
          </w:p>
        </w:tc>
        <w:tc>
          <w:tcPr>
            <w:tcW w:w="10311"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Срочные и сберегательные депозиты в банках-нерезидентах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1А5.1</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 (кроме депозитов до востребования)</w:t>
            </w:r>
          </w:p>
        </w:tc>
        <w:tc>
          <w:tcPr>
            <w:tcW w:w="93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110,0</w:t>
            </w:r>
          </w:p>
        </w:tc>
        <w:tc>
          <w:tcPr>
            <w:tcW w:w="21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119,0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11,0</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240,0</w:t>
            </w:r>
          </w:p>
        </w:tc>
        <w:tc>
          <w:tcPr>
            <w:tcW w:w="14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11,5</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93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100,0x1,1</w:t>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(—100,0x1,15)+(200,0x1,17)</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240,0—110,0—119,0</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47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200,0x1,20</w:t>
            </w:r>
          </w:p>
        </w:tc>
        <w:tc>
          <w:tcPr>
            <w:tcW w:w="147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10,0x1,15</w:t>
            </w:r>
          </w:p>
        </w:tc>
      </w:tr>
    </w:tbl>
    <w:p>
      <w:pPr>
        <w:pStyle w:val="Primer1"/>
        <w:ind w:firstLine="567" w:start="0" w:end="0"/>
        <w:rPr/>
      </w:pPr>
      <w:r>
        <w:rPr/>
        <w:t>Пример 3. В течение отчетного периода отчитывающийся банк приобретает 60 тыс. долларов США за 100 тыс. швейцарских франков, производя расчеты через свои счета “НОСТРО” в долларах США. При этом кросс-курс Банка России доллара США к швейцарскому франку на дату осуществления операции — 0,65 доллара США за франк.</w:t>
      </w:r>
    </w:p>
    <w:p>
      <w:pPr>
        <w:pStyle w:val="Primer2"/>
        <w:keepNext w:val="true"/>
        <w:spacing w:before="0" w:after="60"/>
        <w:ind w:firstLine="284" w:end="0"/>
        <w:jc w:val="end"/>
        <w:rPr/>
      </w:pPr>
      <w:r>
        <w:rPr/>
        <w:t>тыс. долларов США</w:t>
      </w:r>
    </w:p>
    <w:tbl>
      <w:tblPr>
        <w:tblW w:w="10989" w:type="dxa"/>
        <w:jc w:val="center"/>
        <w:tblInd w:w="0" w:type="dxa"/>
        <w:tblLayout w:type="fixed"/>
        <w:tblCellMar>
          <w:top w:w="0" w:type="dxa"/>
          <w:start w:w="28" w:type="dxa"/>
          <w:bottom w:w="0" w:type="dxa"/>
          <w:end w:w="28" w:type="dxa"/>
        </w:tblCellMar>
      </w:tblPr>
      <w:tblGrid>
        <w:gridCol w:w="673"/>
        <w:gridCol w:w="2979"/>
        <w:gridCol w:w="852"/>
        <w:gridCol w:w="1701"/>
        <w:gridCol w:w="1196"/>
        <w:gridCol w:w="1196"/>
        <w:gridCol w:w="1150"/>
        <w:gridCol w:w="1242"/>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297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1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2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97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1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2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1А3</w:t>
            </w:r>
          </w:p>
        </w:tc>
        <w:tc>
          <w:tcPr>
            <w:tcW w:w="297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Остатки на корреспондентских счетах и депозиты до востребования в банках-нерезидентах</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1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2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9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+60,0—100,0x0,60</w:t>
            </w:r>
            <w:r>
              <w:rPr>
                <w:sz w:val="16"/>
                <w:vertAlign w:val="superscript"/>
              </w:rPr>
              <w:t>2</w:t>
            </w:r>
          </w:p>
        </w:tc>
        <w:tc>
          <w:tcPr>
            <w:tcW w:w="11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9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5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4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Podzagolovok401"/>
        <w:rPr>
          <w:rFonts w:ascii="Arial" w:hAnsi="Arial" w:cs="Arial"/>
        </w:rPr>
      </w:pPr>
      <w:r>
        <w:rPr>
          <w:rFonts w:cs="Arial" w:ascii="Arial" w:hAnsi="Arial"/>
        </w:rPr>
        <w:t>II.9. Классификация и правила отражения финансовых инструментов в разделе 1 Отчета</w:t>
      </w:r>
    </w:p>
    <w:p>
      <w:pPr>
        <w:pStyle w:val="MainTextPodzagolovok401"/>
        <w:keepLines w:val="false"/>
        <w:rPr>
          <w:rFonts w:ascii="Arial" w:hAnsi="Arial" w:cs="Arial"/>
        </w:rPr>
      </w:pPr>
      <w:r>
        <w:rPr>
          <w:rFonts w:cs="Arial" w:ascii="Arial" w:hAnsi="Arial"/>
        </w:rPr>
        <w:t>II.9.1. Наличная иностранная валюта</w:t>
      </w:r>
    </w:p>
    <w:p>
      <w:pPr>
        <w:pStyle w:val="MainText"/>
        <w:rPr/>
      </w:pPr>
      <w:r>
        <w:rPr/>
        <w:t>Включается вся иностранная валюта, находящаяся на балансе отчитывающегося банка (в кассе, в обменных пунктах, в пути и так далее).</w:t>
      </w:r>
    </w:p>
    <w:p>
      <w:pPr>
        <w:pStyle w:val="MainText"/>
        <w:rPr/>
      </w:pPr>
      <w:r>
        <w:rPr/>
        <w:t>При составлении Отчета по Германии в наличную иностранную валюту условно включаются остатки и операции по наличным евро, которые являются обязательствами Европейского центрального банка, а не Дойче Бундесбанка. При этом оставшиеся на балансе отчитывающегося банка наличные немецкие марки не включаются в Отчет по Германии, но включаются в Отчет по странам дальнего зарубежья.</w:t>
      </w:r>
    </w:p>
    <w:p>
      <w:pPr>
        <w:pStyle w:val="MainTextPodzagolovok401"/>
        <w:rPr>
          <w:rFonts w:ascii="Arial" w:hAnsi="Arial" w:cs="Arial"/>
        </w:rPr>
      </w:pPr>
      <w:r>
        <w:rPr>
          <w:rFonts w:cs="Arial" w:ascii="Arial" w:hAnsi="Arial"/>
        </w:rPr>
        <w:t>II.9.2. Чеки (в том числе дорожные чеки)</w:t>
      </w:r>
    </w:p>
    <w:p>
      <w:pPr>
        <w:pStyle w:val="MainText"/>
        <w:rPr/>
      </w:pPr>
      <w:r>
        <w:rPr/>
        <w:t>Включаются обращающиеся беспроцентные финансовые активы, кроме наличной валюты, используемые в качестве средства платежа. Примером являются дорожные чеки.</w:t>
      </w:r>
    </w:p>
    <w:p>
      <w:pPr>
        <w:pStyle w:val="MainText"/>
        <w:rPr/>
      </w:pPr>
      <w:r>
        <w:rPr/>
        <w:t>По соответствующей строке для активов включаются дорожные чеки, выпущенные банками-нерезидентами, а также другие чеки, выпущенные нерезидентами.</w:t>
      </w:r>
    </w:p>
    <w:p>
      <w:pPr>
        <w:pStyle w:val="MainText"/>
        <w:rPr/>
      </w:pPr>
      <w:r>
        <w:rPr/>
        <w:t>Чеки (в том числе дорожные чеки), выпущенные отчитывающимся банком и приобретенные нерезидентами, отражаются по строке 1П50.1.</w:t>
      </w:r>
    </w:p>
    <w:p>
      <w:pPr>
        <w:pStyle w:val="MainTextPodzagolovok401"/>
        <w:rPr>
          <w:rFonts w:ascii="Arial" w:hAnsi="Arial" w:cs="Arial"/>
        </w:rPr>
      </w:pPr>
      <w:r>
        <w:rPr>
          <w:rFonts w:cs="Arial" w:ascii="Arial" w:hAnsi="Arial"/>
        </w:rPr>
        <w:t>II.9.3. Остатки на корреспондентских, текущих счетах</w:t>
      </w:r>
    </w:p>
    <w:p>
      <w:pPr>
        <w:pStyle w:val="MainText"/>
        <w:rPr/>
      </w:pPr>
      <w:r>
        <w:rPr/>
        <w:t>Включаются остатки на корреспондентских счетах, остатки по текущим, клиринговым, расчетным, транзитным счетам (с которых средства перечисляются впоследствии на расчетные счета), специальным текущим счетам с особым режимом зачисления средств и тому подобное. Включаются остатки на расчетных и корреспондентских счетах в драгоценных металлах (обезличенные металлические счета).</w:t>
      </w:r>
    </w:p>
    <w:p>
      <w:pPr>
        <w:pStyle w:val="MainText"/>
        <w:rPr/>
      </w:pPr>
      <w:r>
        <w:rPr/>
        <w:t>Обязательства отчитывающегося банка, учитываемые по строке 1П2, включают остатки на текущих счетах фирм-нерезидентов и физических лиц — нерезидентов.</w:t>
      </w:r>
    </w:p>
    <w:p>
      <w:pPr>
        <w:pStyle w:val="MainText"/>
        <w:rPr/>
      </w:pPr>
      <w:r>
        <w:rPr/>
        <w:t>“</w:t>
      </w:r>
      <w:r>
        <w:rPr/>
        <w:t>Овердрафты” по корреспондентским и расчетным счетам рассматриваются как ссуды и отражаются по соответствующим строкам раздела 1. Так называемые технические “овердрафты”, возникающие из-за нарушения соответствия между очередностью операций по датам их валютирования и очередностью их отражения в учете, следует отражать как ссуды.</w:t>
      </w:r>
    </w:p>
    <w:p>
      <w:pPr>
        <w:pStyle w:val="MainTextPodzagolovok401"/>
        <w:rPr>
          <w:rFonts w:ascii="Arial" w:hAnsi="Arial" w:cs="Arial"/>
        </w:rPr>
      </w:pPr>
      <w:r>
        <w:rPr>
          <w:rFonts w:cs="Arial" w:ascii="Arial" w:hAnsi="Arial"/>
        </w:rPr>
        <w:t>II.9.4. Депозиты до востребования</w:t>
      </w:r>
    </w:p>
    <w:p>
      <w:pPr>
        <w:pStyle w:val="MainText"/>
        <w:rPr/>
      </w:pPr>
      <w:r>
        <w:rPr/>
        <w:t>Включаются депозиты, которые могут быть погашены немедленно по требованию кредитора без удержания дебитором части начисленных процентов при таком досрочном изъятии средств.</w:t>
      </w:r>
    </w:p>
    <w:p>
      <w:pPr>
        <w:pStyle w:val="MainText"/>
        <w:rPr/>
      </w:pPr>
      <w:r>
        <w:rPr/>
        <w:t>Покрытия по отзывным аккредитивам не включаются в данную категорию и отражаются по отдельным строкам раздела 1.</w:t>
      </w:r>
    </w:p>
    <w:p>
      <w:pPr>
        <w:pStyle w:val="MainText"/>
        <w:rPr/>
      </w:pPr>
      <w:r>
        <w:rPr/>
        <w:t>Обязательства отчитывающегося банка по строке 1П2 включают депозиты до востребования организаций-нерезидентов и физических лиц — нерезидентов.</w:t>
      </w:r>
    </w:p>
    <w:p>
      <w:pPr>
        <w:pStyle w:val="MainTextPodzagolovok401"/>
        <w:rPr>
          <w:rFonts w:ascii="Arial" w:hAnsi="Arial" w:cs="Arial"/>
        </w:rPr>
      </w:pPr>
      <w:r>
        <w:rPr>
          <w:rFonts w:cs="Arial" w:ascii="Arial" w:hAnsi="Arial"/>
        </w:rPr>
        <w:t>II.9.5. Залоговые (страховые или гарантийные) депозиты</w:t>
      </w:r>
    </w:p>
    <w:p>
      <w:pPr>
        <w:pStyle w:val="MainText"/>
        <w:rPr/>
      </w:pPr>
      <w:r>
        <w:rPr/>
        <w:t>Включаются балансовые требования и обязательства, представляющие собой средства, перечисленные в качестве залога по обязательствам, а также зарезервированные для погашения обязательств по мере их возникновения в будущем. За некоторыми исключениями, залоговые депозиты не могут быть изъяты кредитором без предварительного согласия дебитора.</w:t>
      </w:r>
    </w:p>
    <w:p>
      <w:pPr>
        <w:pStyle w:val="MainText"/>
        <w:rPr/>
      </w:pPr>
      <w:r>
        <w:rPr/>
        <w:t>Включаются средства, внесенные для оплаты чеков и слипов по кредитным картам, остатки на специальных накопительных счетах, с которых средства могут быть направлены только на погашение определенных обязательств (так называемые “эскроу-счета”, или фонды погашения) и другие аналогичные инструменты. По некоторым видам залоговых депозитов начисляются проценты.</w:t>
      </w:r>
    </w:p>
    <w:p>
      <w:pPr>
        <w:pStyle w:val="MainText"/>
        <w:rPr/>
      </w:pPr>
      <w:r>
        <w:rPr/>
        <w:t>Для целей Отчета в эту категорию попадают также, в части балансовых обязательств, средства нерезидентов, зарезервированные при осуществлении валютных операций, что обусловлено имеющимися ограничениями по их использованию, и, в части балансовых требований, — средства, переведенные отчитывающимся банком брокерам-нерезидентам для операций с ценными бумагами и другими финансовыми активами.</w:t>
      </w:r>
    </w:p>
    <w:p>
      <w:pPr>
        <w:pStyle w:val="MainTextPodzagolovok401"/>
        <w:rPr>
          <w:rFonts w:ascii="Arial" w:hAnsi="Arial" w:cs="Arial"/>
        </w:rPr>
      </w:pPr>
      <w:r>
        <w:rPr>
          <w:rFonts w:cs="Arial" w:ascii="Arial" w:hAnsi="Arial"/>
        </w:rPr>
        <w:t>II.9.6. Покрытия по аккредитивам</w:t>
      </w:r>
    </w:p>
    <w:p>
      <w:pPr>
        <w:pStyle w:val="MainText"/>
        <w:rPr/>
      </w:pPr>
      <w:r>
        <w:rPr/>
        <w:t>В части иностранных активов (по строке 1А4) отражается задолженность банков-нерезидентов по перечисленным им покрытиям по отзывным и безотзывным аккредитивам. Включаются покрытия, перечисленные банкам-нерезидентам как по поручению резидентов для оплаты их импортных контрактов, так и по поручению нерезидентов для расчетов по торговым операциям между нерезидентами. Такие активы возникают, если нерезиденты осуществляют расчеты по торговым операциям между собой через счета в отчитывающемся банке. Например, включается покрытие по аккредитиву, открытому по поручению резидента Франции для импорта товаров из Германии (по активу — покрытие, перечисленное банку-нерезиденту, по пассиву — покрытие, выплаченное французским клиентом отчитывающемуся банку).</w:t>
      </w:r>
    </w:p>
    <w:p>
      <w:pPr>
        <w:pStyle w:val="Primer1"/>
        <w:ind w:firstLine="567" w:start="0" w:end="0"/>
        <w:rPr/>
      </w:pPr>
      <w:r>
        <w:rPr/>
        <w:t>Пример. По поручению российского импортера открывается покрытый аккредитив в банке-нерезиденте за счет средств импортера на его валютном счете в отчитывающемся банке. Для оплаты покрытия в сумме 10 тыс. долларов США отчитывающийся банк платит в пользу банка-нерезидента со своего корреспондентского счета. В результате этой операции дебетуется расчетный счет импортера, кредитуется его аккредитивный счет, затем кредитуется корреспондентский счет в банке-нерезиденте и дебетуется аккредитивный. В разделе 1 отражается только снижение остатка по корреспондентскому счету и увеличение — по аккредитивному:</w:t>
      </w:r>
    </w:p>
    <w:p>
      <w:pPr>
        <w:pStyle w:val="Primer"/>
        <w:keepNext w:val="true"/>
        <w:spacing w:before="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1А3</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Остатки на корреспондентских счетах и депозиты до востребования в банках-нерезидентах</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10,0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1А4</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Залоговые депозиты и покрытия по аккредитивам в банках-нерезидентах</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bl>
    <w:p>
      <w:pPr>
        <w:pStyle w:val="MainText"/>
        <w:spacing w:before="120" w:after="0"/>
        <w:rPr/>
      </w:pPr>
      <w:r>
        <w:rPr/>
        <w:t>В части иностранных пассивов (по строке 1П3) отражаются покрытия и залоговые депозиты по аккредитивам, открытым нерезидентами в отчитывающемся банке как для оплаты экспорта резидентов, так и по торговым операциям между нерезидентами.</w:t>
      </w:r>
    </w:p>
    <w:p>
      <w:pPr>
        <w:pStyle w:val="MainText"/>
        <w:rPr/>
      </w:pPr>
      <w:r>
        <w:rPr/>
        <w:t>Обязательства отчитывающегося банка перед резидентами-импортерами по покрытым аккредитивам не отражаются в разделе 1, так как они не являются иностранными обязательствами.</w:t>
      </w:r>
    </w:p>
    <w:p>
      <w:pPr>
        <w:pStyle w:val="MainTextPodzagolovok401"/>
        <w:rPr>
          <w:rFonts w:ascii="Arial" w:hAnsi="Arial" w:cs="Arial"/>
        </w:rPr>
      </w:pPr>
      <w:r>
        <w:rPr>
          <w:rFonts w:cs="Arial" w:ascii="Arial" w:hAnsi="Arial"/>
        </w:rPr>
        <w:t>II.9.7. Срочные и сберегательные депозиты</w:t>
      </w:r>
    </w:p>
    <w:p>
      <w:pPr>
        <w:pStyle w:val="MainText"/>
        <w:rPr/>
      </w:pPr>
      <w:r>
        <w:rPr/>
        <w:t>Включаются депозиты, которые предоставлены на срок и которые либо не могут быть изъяты досрочно (срочные депозиты), либо могут быть изъяты досрочно при удержании дебитором за это изъятие части начисленных по ним процентов (сберегательные депозиты).</w:t>
      </w:r>
    </w:p>
    <w:p>
      <w:pPr>
        <w:pStyle w:val="MainText"/>
        <w:rPr/>
      </w:pPr>
      <w:r>
        <w:rPr/>
        <w:t>Включаются депозиты, выраженные в массе драгоценных металлов.</w:t>
      </w:r>
    </w:p>
    <w:p>
      <w:pPr>
        <w:pStyle w:val="MainText"/>
        <w:rPr/>
      </w:pPr>
      <w:r>
        <w:rPr/>
        <w:t>Не включаются залоговые депозиты и депозиты до востребования, которые показываются по отдельным строкам. Также не включаются депозитные сертификаты, которые представляют собой обращающиеся финансовые инструменты и отражаются в разделе 1 по строкам для учета долговых ценных бумаг.</w:t>
      </w:r>
    </w:p>
    <w:p>
      <w:pPr>
        <w:pStyle w:val="MainText"/>
        <w:rPr/>
      </w:pPr>
      <w:r>
        <w:rPr/>
        <w:t>Различие между межбанковскими кредитами и депозитами разъясняется в подпункте II.9.9 настоящего пункта.</w:t>
      </w:r>
    </w:p>
    <w:p>
      <w:pPr>
        <w:pStyle w:val="MainTextPodzagolovok401"/>
        <w:rPr>
          <w:rFonts w:ascii="Arial" w:hAnsi="Arial" w:cs="Arial"/>
        </w:rPr>
      </w:pPr>
      <w:r>
        <w:rPr>
          <w:rFonts w:cs="Arial" w:ascii="Arial" w:hAnsi="Arial"/>
        </w:rPr>
        <w:t>II.9.8. Ссуды</w:t>
      </w:r>
    </w:p>
    <w:p>
      <w:pPr>
        <w:pStyle w:val="MainText"/>
        <w:rPr/>
      </w:pPr>
      <w:r>
        <w:rPr/>
        <w:t>Включаются средства, предоставленные кредитором на срок дебитору, непосредственно обратившемуся к кредитору за их получением, включая средства, истребованные по открытым кредитным линиям. При этом неиспользованный остаток по кредитной линии не включается, так как не является балансовым активом или обязательством отчитывающегося банка.</w:t>
      </w:r>
    </w:p>
    <w:p>
      <w:pPr>
        <w:pStyle w:val="MainText"/>
        <w:rPr/>
      </w:pPr>
      <w:r>
        <w:rPr/>
        <w:t>К данному виду инструментов относятся также:</w:t>
      </w:r>
    </w:p>
    <w:p>
      <w:pPr>
        <w:pStyle w:val="MainText"/>
        <w:rPr/>
      </w:pPr>
      <w:r>
        <w:rPr/>
        <w:t>синдицированные и консорциональные кредиты. Предоставленные нерезидентам синдицированные кредиты включаются в размере участия в них отчитывающегося банка. В соответствии с правилами отнесения обязательств к группе стран или к отдельным странам обязательства по привлеченным синдицированным кредитам в размере доли каждого участника синдиката отражаются в отчете по той стране (или группе стран), резидентом которой он является;</w:t>
      </w:r>
    </w:p>
    <w:p>
      <w:pPr>
        <w:pStyle w:val="MainText"/>
        <w:rPr/>
      </w:pPr>
      <w:r>
        <w:rPr/>
        <w:t>ссуды, предоставленные нерезидентами и гарантированные резидентами, в том числе ссуды, гарантированные федеральными и местными органами власти, но не включаются ссуды, предоставленные резидентами за счет кредитов нерезидентов. Разница между этими двумя случаями состоит в том, что в первом из них ссудное соглашение с нерезидентом подписывается отчитывающимся банком, а во втором — другим резидентом.</w:t>
      </w:r>
    </w:p>
    <w:p>
      <w:pPr>
        <w:pStyle w:val="Primer"/>
        <w:ind w:firstLine="567" w:start="0" w:end="0"/>
        <w:rPr/>
      </w:pPr>
      <w:r>
        <w:rPr/>
        <w:t>Пример 1. В раздел 1 включаются ссуды Европейского банка реконструкции и развития (далее — ЕБРР), предоставленные отчитывающемуся банку под гарантии Минфина России. Однако не включаются ссуды Минфина России, предоставленные отчитывающемуся банку, средства по которым были получены за счет кредитов ЕБРР;</w:t>
      </w:r>
    </w:p>
    <w:p>
      <w:pPr>
        <w:pStyle w:val="MainText"/>
        <w:rPr/>
      </w:pPr>
      <w:r>
        <w:rPr/>
        <w:t>“</w:t>
      </w:r>
      <w:r>
        <w:rPr/>
        <w:t>овердрафты” по корреспондентским и текущим счетам;</w:t>
      </w:r>
    </w:p>
    <w:p>
      <w:pPr>
        <w:pStyle w:val="Primer1"/>
        <w:ind w:firstLine="567" w:start="0" w:end="0"/>
        <w:rPr/>
      </w:pPr>
      <w:r>
        <w:rPr/>
        <w:t>Пример 2. Остаток на корреспондентском счете в банке-нерезиденте на начало отчетного периода составлял 5 тыс. долларов США. В конце отчетного периода с этого счета был произведен платеж за услуги резидентам в размере 15 тыс. долларов США, в результате чего на счете образовался “овердрафт” в размере 10 тыс. долларов США, который не был погашен до конца отчетного периода.</w:t>
      </w:r>
    </w:p>
    <w:p>
      <w:pPr>
        <w:pStyle w:val="Primer2"/>
        <w:keepNext w:val="true"/>
        <w:spacing w:before="6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1А3</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Остатки на корреспондентских счетах и депозиты до востребования в банках-нерезидентах</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5,0</w:t>
            </w:r>
            <w:r>
              <w:rPr>
                <w:sz w:val="16"/>
                <w:vertAlign w:val="superscript"/>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
        <w:spacing w:before="120" w:after="0"/>
        <w:rPr/>
      </w:pPr>
      <w:r>
        <w:rPr/>
        <w:t>арендные обязательства по долгосрочным арендным контрактам (финансовая аренда (лизинг) в целях Отчета представляют собой обязательства по осуществлению платежей за арендуемые отчитывающимся банком у нерезидентов реальные активы (оборудование, недвижимость) при условии, что последний платеж и (или) возврат реальных активов осуществляется по прошествии 1 года и более со дня начала аренды;</w:t>
      </w:r>
    </w:p>
    <w:p>
      <w:pPr>
        <w:pStyle w:val="MainText"/>
        <w:rPr/>
      </w:pPr>
      <w:r>
        <w:rPr/>
        <w:t>средства на счетах по учету депозитов и прочих размещенных средств, которые в соответствии с подпунктом II.9.9 настоящего пункта обладают признаками кредитного соглашения.</w:t>
      </w:r>
    </w:p>
    <w:p>
      <w:pPr>
        <w:pStyle w:val="MainText"/>
        <w:rPr/>
      </w:pPr>
      <w:r>
        <w:rPr/>
        <w:t>В данную категорию не попадают прочие привлеченные (размещенные) средства, привлекаемые (размещаемые) от нерезидентов в рамках операций, совершаемых с ценными бумагами на возвратной основе без прекращения признания ценных бумаг стороной, получившей средства.</w:t>
      </w:r>
    </w:p>
    <w:p>
      <w:pPr>
        <w:pStyle w:val="MainTextPodzagolovok401"/>
        <w:rPr>
          <w:rFonts w:ascii="Arial" w:hAnsi="Arial" w:cs="Arial"/>
        </w:rPr>
      </w:pPr>
      <w:r>
        <w:rPr>
          <w:rFonts w:cs="Arial" w:ascii="Arial" w:hAnsi="Arial"/>
        </w:rPr>
        <w:t>II.9.9. Различие между межбанковскими кредитами и депозитами</w:t>
      </w:r>
    </w:p>
    <w:p>
      <w:pPr>
        <w:pStyle w:val="MainText"/>
        <w:rPr/>
      </w:pPr>
      <w:r>
        <w:rPr/>
        <w:t>При разграничении межбанковских кредитов и депозитов не следует ориентироваться на названия соглашений.</w:t>
      </w:r>
    </w:p>
    <w:p>
      <w:pPr>
        <w:pStyle w:val="MainText"/>
        <w:rPr/>
      </w:pPr>
      <w:r>
        <w:rPr/>
        <w:t>Существует ряд признаков, которые являются достаточными для отнесения соглашений к кредитным. В частности, признаком межбанковского кредитного (ссудного) соглашения является то, что оно оформляется в письменной форме и особым образом регулирует права сторон в каждом конкретном случае. Признаком кредитного соглашения является также и то, что средства в соответствии с ним предоставляются по кредитной линии, за неиспользованный остаток по которой взимается комиссия.</w:t>
      </w:r>
    </w:p>
    <w:p>
      <w:pPr>
        <w:pStyle w:val="MainText"/>
        <w:rPr/>
      </w:pPr>
      <w:r>
        <w:rPr/>
        <w:t>Перечисленные признаки являются достаточными для отнесения соглашений к кредитным, но они не являются необходимыми.</w:t>
      </w:r>
    </w:p>
    <w:p>
      <w:pPr>
        <w:pStyle w:val="MainText"/>
        <w:rPr/>
      </w:pPr>
      <w:r>
        <w:rPr/>
        <w:t>Разграничение кредитных и депозитных межбанковских соглашений, которые заключаются по телефону (с телексным подтверждением) и регулируются соответствующими соглашениями или международными правилами, производится по следующим критериям.</w:t>
      </w:r>
    </w:p>
    <w:p>
      <w:pPr>
        <w:pStyle w:val="MainText"/>
        <w:rPr/>
      </w:pPr>
      <w:r>
        <w:rPr/>
        <w:t>Межбанковские депозиты:</w:t>
      </w:r>
    </w:p>
    <w:p>
      <w:pPr>
        <w:pStyle w:val="MainText"/>
        <w:rPr/>
      </w:pPr>
      <w:r>
        <w:rPr/>
        <w:t>предоставляются по инициативе банка-кредитора, который соглашается на заранее объявленные банком-дебитором условия привлечения средств;</w:t>
      </w:r>
    </w:p>
    <w:p>
      <w:pPr>
        <w:pStyle w:val="MainText"/>
        <w:rPr/>
      </w:pPr>
      <w:r>
        <w:rPr/>
        <w:t>при размещении межбанковского депозита дебитор косвенно взимает с кредитора плату, выплачивая ему проценты по более низкой процентной ставке (например, по ставке “прайм” минус фиксированная маржа).</w:t>
      </w:r>
    </w:p>
    <w:p>
      <w:pPr>
        <w:pStyle w:val="MainText"/>
        <w:rPr/>
      </w:pPr>
      <w:r>
        <w:rPr/>
        <w:t>Межбанковские кредиты:</w:t>
      </w:r>
    </w:p>
    <w:p>
      <w:pPr>
        <w:pStyle w:val="MainText"/>
        <w:rPr/>
      </w:pPr>
      <w:r>
        <w:rPr/>
        <w:t>предоставляются по инициативе банка-дебитора, который обращается в банк-кредитор за их получением;</w:t>
      </w:r>
    </w:p>
    <w:p>
      <w:pPr>
        <w:pStyle w:val="MainText"/>
        <w:rPr/>
      </w:pPr>
      <w:r>
        <w:rPr/>
        <w:t>при размещении межбанковского кредита кредитор косвенно взимает плату с дебитора, требуя выплатить проценты по более высокой процентной ставке.</w:t>
      </w:r>
    </w:p>
    <w:p>
      <w:pPr>
        <w:pStyle w:val="MainText"/>
        <w:rPr/>
      </w:pPr>
      <w:r>
        <w:rPr/>
        <w:t>Данные критерии, используемые для разграничения соглашений, заключаемых по телефону, приводятся только для целей составления Отчета. В случае возникновения трудностей при их практическом применении все заключаемые по телефону межбанковские соглашения о предоставлении средств на срок относятся к депозитам.</w:t>
      </w:r>
    </w:p>
    <w:p>
      <w:pPr>
        <w:pStyle w:val="Primer1"/>
        <w:ind w:firstLine="567" w:start="0" w:end="0"/>
        <w:rPr/>
      </w:pPr>
      <w:r>
        <w:rPr/>
        <w:t>Пример. После объявления отчитывающимся банком, что он принимает средства на срок 7 дней под 5 процентов годовых, банк-нерезидент N сообщает ему, что он хотел бы предоставить 100 000 тыс. долларов США на этих условиях. Однако для осуществления некоторого платежа отчитывающемуся банку необходимо дополнительно привлечь еще 50 тыс. долларов США. Он обращается в банк-нерезидент N с просьбой предоставить ему дополнительно 50 тыс. долларов США, например, также на срок 7 дней. Банк-нерезидент отвечает, что он готов предоставить эти средства под 7 процентов годовых. Отчитывающийся банк соглашается на эти условия.</w:t>
      </w:r>
    </w:p>
    <w:p>
      <w:pPr>
        <w:pStyle w:val="Primer1"/>
        <w:keepNext w:val="true"/>
        <w:spacing w:before="6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Срочные и сберегательные депозиты,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1П4.1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 (кроме депозитов до востребования)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bl>
    <w:p>
      <w:pPr>
        <w:pStyle w:val="MainTextPodzagolovok401"/>
        <w:rPr>
          <w:rFonts w:ascii="Arial" w:hAnsi="Arial" w:cs="Arial"/>
        </w:rPr>
      </w:pPr>
      <w:r>
        <w:rPr>
          <w:rFonts w:cs="Arial" w:ascii="Arial" w:hAnsi="Arial"/>
        </w:rPr>
        <w:t>II.9.10. Средства, привлекаемые (размещаемые) по операциям с ценными бумагами на возвратной основе</w:t>
      </w:r>
    </w:p>
    <w:p>
      <w:pPr>
        <w:pStyle w:val="MainText"/>
        <w:rPr/>
      </w:pPr>
      <w:r>
        <w:rPr/>
        <w:t>Включаются привлеченные (размещенные) средства нерезидентов от операций с ценными бумагами на возвратной основе, при которых не происходит прекращения признания ценных бумаг стороной, привлекающей эти средства в обмен на бумаги, то есть сделка не влечет за собой перехода всех рисков и выгод (либо их значительной части), связанных с владением данной ценной бумаги, от передающей стороны к приобретающей.</w:t>
      </w:r>
    </w:p>
    <w:p>
      <w:pPr>
        <w:pStyle w:val="MainText"/>
        <w:rPr/>
      </w:pPr>
      <w:r>
        <w:rPr/>
        <w:t>Под операциями на возвратной основе для целей Отчета понимаются операции по приобретению (передаче) прав собственности на ценные бумаги, совершаемые на условиях срочности, возвратности и платности. Разновидностями таких операций могут являться операции займа ценных бумаг или сделки РЕПО.</w:t>
      </w:r>
    </w:p>
    <w:p>
      <w:pPr>
        <w:pStyle w:val="MainText"/>
        <w:rPr/>
      </w:pPr>
      <w:r>
        <w:rPr/>
        <w:t>По строкам для активов отражаются средства, предоставленные нерезидентам по операциям, совершаемым с ценными бумагами на возвратной основе без признания полученных ценных бумаг, независимо от того, резидентом какой страны является эмитент ценных бумаг. По строкам для обязательств отражаются средства, привлеченные у нерезидентов по операциям, совершаемым с ценными бумагами на возвратной основе без прекращения признания отчитывающимся банком переданных ценных бумаг.</w:t>
      </w:r>
    </w:p>
    <w:p>
      <w:pPr>
        <w:pStyle w:val="MainTextPodzagolovok401"/>
        <w:rPr>
          <w:rFonts w:ascii="Arial" w:hAnsi="Arial" w:cs="Arial"/>
        </w:rPr>
      </w:pPr>
      <w:r>
        <w:rPr>
          <w:rFonts w:cs="Arial" w:ascii="Arial" w:hAnsi="Arial"/>
        </w:rPr>
        <w:t>II.9.11. Долговые ценные бумаги</w:t>
      </w:r>
    </w:p>
    <w:p>
      <w:pPr>
        <w:pStyle w:val="MainText"/>
        <w:rPr/>
      </w:pPr>
      <w:r>
        <w:rPr/>
        <w:t>Включаются обращающиеся долговые финансовые инструменты, приносящие процентный доход, например, купонные облигации (в частности, еврооблигации), облигации с нулевым купоном, бессрочные облигации (по которым выплачиваются только купонные платежи), векселя (в том числе еврокоммерческие векселя), депозитные сертификаты, банковские акцепты, коммерческие ценные бумаги. Кроме упомянутых выше бессрочных облигаций, долговые ценные бумаги имеют срок погашения.</w:t>
      </w:r>
    </w:p>
    <w:p>
      <w:pPr>
        <w:pStyle w:val="MainText"/>
        <w:rPr/>
      </w:pPr>
      <w:r>
        <w:rPr/>
        <w:t>Не включаются обязательства с истекшим сроком обращения (непросроченные обязательства с истекшим сроком обращения отражаются по строкам для учета прочих краткосрочных обязательств, а просроченные — по строкам для учета просроченной задолженности).</w:t>
      </w:r>
    </w:p>
    <w:p>
      <w:pPr>
        <w:pStyle w:val="MainText"/>
        <w:rPr/>
      </w:pPr>
      <w:r>
        <w:rPr/>
        <w:t>Что касается долговых ценных бумаг, участвующих в операциях, которые осуществляются на возвратной основе без прекращения признания ценных бумаг, то сторона, привлекающая денежные средства в обмен на бумаги, продолжает включать по строкам для активов долговые ценные бумаги, выпущенные нерезидентами и переданные нерезидентам и резидентам по таким операциям, а сторона, предоставляющая денежные средства в обмен на бумаги, не включает по строкам для активов выпущенные нерезидентами долговые ценные бумаги, полученные по таким операциям от нерезидентов и резидентов.</w:t>
      </w:r>
    </w:p>
    <w:p>
      <w:pPr>
        <w:pStyle w:val="MainText"/>
        <w:rPr/>
      </w:pPr>
      <w:r>
        <w:rPr/>
        <w:t>В целях составления Отчета:</w:t>
      </w:r>
    </w:p>
    <w:p>
      <w:pPr>
        <w:pStyle w:val="MainText"/>
        <w:rPr/>
      </w:pPr>
      <w:r>
        <w:rPr/>
        <w:t>еврооблигации и другие долговые ценные бумаги, эмитированные находящимися за пределами территории Российской Федерации организациями, созданными резидентами, а также банками-нерезидентами с целью кредитования указанных резидентов, отражаются по строкам для учета иностранных активов как выпущенные нерезидентами;</w:t>
      </w:r>
    </w:p>
    <w:p>
      <w:pPr>
        <w:pStyle w:val="MainText"/>
        <w:rPr/>
      </w:pPr>
      <w:r>
        <w:rPr/>
        <w:t>по строкам для учета иностранных обязательств включаются только долговые ценные бумаги, выпущенные отчитывающимся банком и находящиеся в собственности нерезидентов.</w:t>
      </w:r>
    </w:p>
    <w:p>
      <w:pPr>
        <w:pStyle w:val="MainText"/>
        <w:rPr/>
      </w:pPr>
      <w:r>
        <w:rPr/>
        <w:t>По графам 1 и 5 разделов 1, 3 и графам 1 и 2 раздела 2 (подразделы 1А, 2А, 3А), а также по графе 1 раздела 5 ценные бумаги оцениваются следующим образом:</w:t>
      </w:r>
    </w:p>
    <w:p>
      <w:pPr>
        <w:pStyle w:val="MainText"/>
        <w:rPr/>
      </w:pPr>
      <w:r>
        <w:rPr/>
        <w:t>ценные бумаги, оцениваемые по справедливой стоимости через прибыль или убыток, — по текущей (справедливой) стоимости;</w:t>
      </w:r>
    </w:p>
    <w:p>
      <w:pPr>
        <w:pStyle w:val="MainText"/>
        <w:rPr/>
      </w:pPr>
      <w:r>
        <w:rPr/>
        <w:t>долговые обязательства, удерживаемые до погашения, — по текущей (справедливой) стоимости в случае возможности надежного определения их справедливой стоимости;</w:t>
      </w:r>
    </w:p>
    <w:p>
      <w:pPr>
        <w:pStyle w:val="MainText"/>
        <w:rPr/>
      </w:pPr>
      <w:r>
        <w:rPr/>
        <w:t>долговые обязательства, удерживаемые до погашения, — по расчетной текущей стоимости в случае невозможности надежного определения их справедливой стоимости;</w:t>
      </w:r>
    </w:p>
    <w:p>
      <w:pPr>
        <w:pStyle w:val="MainText"/>
        <w:rPr/>
      </w:pPr>
      <w:r>
        <w:rPr/>
        <w:t>ценные бумаги, имеющиеся в наличии для продажи, — по текущей (справедливой) стоимости в случае возможности надежного определения их справедливой стоимости и отсутствия признаков их обесценения;</w:t>
      </w:r>
    </w:p>
    <w:p>
      <w:pPr>
        <w:pStyle w:val="MainText"/>
        <w:rPr/>
      </w:pPr>
      <w:r>
        <w:rPr/>
        <w:t>ценные бумаги, имеющиеся в наличии для продажи, — по расчетной текущей стоимости в случае невозможности надежного определения их справедливой стоимости и наличия признаков их обесценения.</w:t>
      </w:r>
    </w:p>
    <w:p>
      <w:pPr>
        <w:pStyle w:val="MainText"/>
        <w:rPr/>
      </w:pPr>
      <w:r>
        <w:rPr/>
        <w:t>По графам 1 и 5 разделов 1, 3 и графам 1 и 2 раздела 2 (подразделы 1П, 2П, 3П), а также по графе 4 раздела 5 ценные бумаги оцениваются следующим образом:</w:t>
      </w:r>
    </w:p>
    <w:p>
      <w:pPr>
        <w:pStyle w:val="MainText"/>
        <w:rPr/>
      </w:pPr>
      <w:r>
        <w:rPr/>
        <w:t>по текущей (справедливой) стоимости — в случае возможности надежного определения их справедливой стоимости;</w:t>
      </w:r>
    </w:p>
    <w:p>
      <w:pPr>
        <w:pStyle w:val="MainText"/>
        <w:rPr/>
      </w:pPr>
      <w:r>
        <w:rPr/>
        <w:t>по расчетной текущей стоимости — в случае невозможности надежного определения их справедливой стоимости.</w:t>
      </w:r>
    </w:p>
    <w:p>
      <w:pPr>
        <w:pStyle w:val="MainText"/>
        <w:rPr/>
      </w:pPr>
      <w:r>
        <w:rPr/>
        <w:t>В целях составления Отчета текущей (справедливой) стоимостью ценной бумаги признается сумма, за которую ее можно реализовать при совершении сделки между хорошо осведомленными и независимыми друг от друга сторонами, желающими совершить такую сделку.</w:t>
      </w:r>
    </w:p>
    <w:p>
      <w:pPr>
        <w:pStyle w:val="MainText"/>
        <w:rPr/>
      </w:pPr>
      <w:r>
        <w:rPr/>
        <w:t>Изменения, возникающие в результате переоценки ценных бумаг, учитываемых по текущей (справедливой) стоимости, отражаются в графе 3 раздела 1 и, при необходимости, в графе 3 разделов 3 и 4.</w:t>
      </w:r>
    </w:p>
    <w:p>
      <w:pPr>
        <w:pStyle w:val="MainText"/>
        <w:rPr/>
      </w:pPr>
      <w:r>
        <w:rPr/>
        <w:t>В целях составления Отчета под расчетной текущей стоимостью понимается стоимость долговой ценной бумаги, определенная при первоначальном признании, уменьшенная на сумму выплат основной суммы долга по ней, скорректированная (увеличенная или уменьшенная) на сумму начисленной амортизации разницы между первоначальной стоимостью и стоимостью на момент погашения и уменьшенная на сумму частичного списания в связи с обесценением или безнадежной задолженностью. Расчетная текущая стоимость (без учета суммы частичного списания) определяется по формуле:</w:t>
      </w:r>
    </w:p>
    <w:p>
      <w:pPr>
        <w:pStyle w:val="MainTextBezOtstupa"/>
        <w:spacing w:before="60" w:after="60"/>
        <w:ind w:start="567" w:end="0"/>
        <w:jc w:val="start"/>
        <w:rPr/>
      </w:pPr>
      <w:r>
        <w:rPr/>
        <w:t xml:space="preserve"> </w:t>
      </w:r>
      <w:r>
        <w:rPr/>
        <w:drawing>
          <wp:inline distT="0" distB="0" distL="0" distR="0">
            <wp:extent cx="1066800" cy="4114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066800" cy="411480"/>
                    </a:xfrm>
                    <a:prstGeom prst="rect">
                      <a:avLst/>
                    </a:prstGeom>
                    <a:noFill/>
                  </pic:spPr>
                </pic:pic>
              </a:graphicData>
            </a:graphic>
          </wp:inline>
        </w:drawing>
      </w:r>
    </w:p>
    <w:p>
      <w:pPr>
        <w:pStyle w:val="MainText"/>
        <w:rPr/>
      </w:pPr>
      <w:r>
        <w:rPr/>
        <w:t>где:</w:t>
      </w:r>
    </w:p>
    <w:p>
      <w:pPr>
        <w:pStyle w:val="MainText"/>
        <w:rPr/>
      </w:pPr>
      <w:r>
        <w:rPr/>
        <w:t>n — количество предстоящих платежей процентов и основного долга;</w:t>
      </w:r>
    </w:p>
    <w:p>
      <w:pPr>
        <w:pStyle w:val="MainText"/>
        <w:rPr/>
      </w:pPr>
      <w:r>
        <w:rPr/>
        <w:t>C</w:t>
      </w:r>
      <w:r>
        <w:rPr>
          <w:vertAlign w:val="subscript"/>
        </w:rPr>
        <w:t>i</w:t>
      </w:r>
      <w:r>
        <w:rPr/>
        <w:t> — размер одного платежа;</w:t>
      </w:r>
    </w:p>
    <w:p>
      <w:pPr>
        <w:pStyle w:val="MainText"/>
        <w:rPr/>
      </w:pPr>
      <w:r>
        <w:rPr/>
        <w:t>t</w:t>
      </w:r>
      <w:r>
        <w:rPr>
          <w:vertAlign w:val="subscript"/>
        </w:rPr>
        <w:t>i</w:t>
      </w:r>
      <w:r>
        <w:rPr/>
        <w:t> — количество дней начиная с отчетной даты и до погашения;</w:t>
      </w:r>
    </w:p>
    <w:p>
      <w:pPr>
        <w:pStyle w:val="MainText"/>
        <w:rPr/>
      </w:pPr>
      <w:r>
        <w:rPr/>
        <w:t>r — внутренняя норма доходности в долях.</w:t>
      </w:r>
    </w:p>
    <w:p>
      <w:pPr>
        <w:pStyle w:val="MainText"/>
        <w:rPr/>
      </w:pPr>
      <w:r>
        <w:rPr/>
        <w:t>В целях составления Отчета под внутренней нормой доходности понимается ставка дисконтирования, необходимая для того, чтобы расчетная текущая стоимость всех будущих денежных потоков по ценной бумаге была равна ее первоначальной стоимости.</w:t>
      </w:r>
    </w:p>
    <w:p>
      <w:pPr>
        <w:pStyle w:val="MainText"/>
        <w:rPr/>
      </w:pPr>
      <w:r>
        <w:rPr/>
        <w:t>При этом выплата купонов эмитентом должна отражаться по графе 2 разделов 1 и 3 (как снижение стоимости ценной бумаги), а не по графе 6 (как доход или расход отчитывающегося банка).</w:t>
      </w:r>
    </w:p>
    <w:p>
      <w:pPr>
        <w:pStyle w:val="MainText"/>
        <w:rPr/>
      </w:pPr>
      <w:r>
        <w:rPr/>
        <w:t>В случае если в отчетном периоде нерезидент предъявил к погашению отчитывающемуся банку выпущенные им долговые ценные бумаги, первоначально проданные резиденту, то в графе 2 необходимо отразить условную продажу бумаги нерезиденту и ее последующее погашение по цене выкупа у нерезидента. При размещении ценной бумаги в периоды, предшествующие отчетному, при отсутствии дополнительной информации у отчитывающегося банка о переходе прав собственности на ценную бумагу делается допущение, что нерезидент приобрел данный финансовый инструмент в отчетном периоде.</w:t>
      </w:r>
    </w:p>
    <w:p>
      <w:pPr>
        <w:pStyle w:val="MainText"/>
        <w:rPr/>
      </w:pPr>
      <w:r>
        <w:rPr/>
        <w:t>В случае если нерезидент покупает у отчитывающегося банка эмитированные им долговые ценные бумаги, а погашение осуществляется в пользу резидента, при заполнении Отчета в периоде погашения бумаги указывается ее условный выкуп резидентом у нерезидента по цене погашения на дату погашения.</w:t>
      </w:r>
    </w:p>
    <w:p>
      <w:pPr>
        <w:pStyle w:val="Primer1"/>
        <w:ind w:firstLine="567" w:start="0" w:end="0"/>
        <w:rPr/>
      </w:pPr>
      <w:r>
        <w:rPr/>
        <w:t>Пример. В отчетном периоде А отчитывающийся банк продал нерезиденту вексель номиналом 80 тыс. долларов США за 75 тыс. долларов. В течение отчетного периода А на него был начислен дисконт 4 тыс. долларов США. В отчетном периоде Б на вексель был начислен дисконт 1 тыс. долларов США, однако к погашению его предъявил резидент.</w:t>
      </w:r>
    </w:p>
    <w:p>
      <w:pPr>
        <w:pStyle w:val="Primer2"/>
        <w:keepNext w:val="true"/>
        <w:spacing w:before="0" w:after="60"/>
        <w:ind w:firstLine="284" w:end="0"/>
        <w:jc w:val="end"/>
        <w:rPr/>
      </w:pPr>
      <w:r>
        <w:rPr/>
        <w:t>тыс. долларов США</w:t>
      </w:r>
    </w:p>
    <w:tbl>
      <w:tblPr>
        <w:tblW w:w="10988" w:type="dxa"/>
        <w:jc w:val="center"/>
        <w:tblInd w:w="0" w:type="dxa"/>
        <w:tblLayout w:type="fixed"/>
        <w:tblCellMar>
          <w:top w:w="0" w:type="dxa"/>
          <w:start w:w="28" w:type="dxa"/>
          <w:bottom w:w="0" w:type="dxa"/>
          <w:end w:w="28" w:type="dxa"/>
        </w:tblCellMar>
      </w:tblPr>
      <w:tblGrid>
        <w:gridCol w:w="673"/>
        <w:gridCol w:w="3828"/>
        <w:gridCol w:w="852"/>
        <w:gridCol w:w="1275"/>
        <w:gridCol w:w="1090"/>
        <w:gridCol w:w="1090"/>
        <w:gridCol w:w="1090"/>
        <w:gridCol w:w="1090"/>
      </w:tblGrid>
      <w:tr>
        <w:trPr>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частию в апитале, начисленные в отчетном периоде</w:t>
            </w:r>
          </w:p>
        </w:tc>
      </w:tr>
      <w:tr>
        <w:trPr>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0988"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Отчетный период 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1П7</w:t>
            </w:r>
          </w:p>
        </w:tc>
        <w:tc>
          <w:tcPr>
            <w:tcW w:w="10315"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Долговые ценные бумаги, выпущенные отчитывающимся банком (непросроченные) и приобретенные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1П7.1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2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79,0=75,0+4,0</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79,0</w:t>
            </w:r>
          </w:p>
        </w:tc>
        <w:tc>
          <w:tcPr>
            <w:tcW w:w="109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4,0</w:t>
            </w:r>
          </w:p>
        </w:tc>
      </w:tr>
      <w:tr>
        <w:trPr>
          <w:cantSplit/>
        </w:trPr>
        <w:tc>
          <w:tcPr>
            <w:tcW w:w="10988"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Отчетный период Б</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1П7</w:t>
            </w:r>
          </w:p>
        </w:tc>
        <w:tc>
          <w:tcPr>
            <w:tcW w:w="10315"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Долговые ценные бумаги, выпущенные отчитывающимся банком (непросроченные) и приобретенные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1П7.1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79,0</w:t>
            </w:r>
          </w:p>
        </w:tc>
        <w:tc>
          <w:tcPr>
            <w:tcW w:w="127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79,0=1,0–80,0</w:t>
            </w:r>
          </w:p>
        </w:tc>
        <w:tc>
          <w:tcPr>
            <w:tcW w:w="109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9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9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9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r>
    </w:tbl>
    <w:p>
      <w:pPr>
        <w:pStyle w:val="MainTextPodzagolovok401"/>
        <w:rPr>
          <w:rFonts w:ascii="Arial" w:hAnsi="Arial" w:cs="Arial"/>
        </w:rPr>
      </w:pPr>
      <w:r>
        <w:rPr>
          <w:rFonts w:cs="Arial" w:ascii="Arial" w:hAnsi="Arial"/>
        </w:rPr>
        <w:t>II.9.11.1. Бескупонные ценные бумаги</w:t>
      </w:r>
    </w:p>
    <w:p>
      <w:pPr>
        <w:pStyle w:val="MainText"/>
        <w:rPr/>
      </w:pPr>
      <w:r>
        <w:rPr/>
        <w:t>Включаются ценные бумаги, представляющие собой обращающиеся права на получение одной фиксированной суммы средств (номинала или основной суммы и процентов) на определенную дату в будущем. К таким ценным бумагам относятся документарные векселя, депозитные сертификаты, государственные и частные бескупонные облигации, включая выпущенные в электронной форме. Особенностью бескупонных ценных бумаг (кроме депозитных сертификатов) является то, что они приобретаются и продаются с начисленным дисконтом.</w:t>
      </w:r>
    </w:p>
    <w:p>
      <w:pPr>
        <w:pStyle w:val="MainText"/>
        <w:rPr/>
      </w:pPr>
      <w:r>
        <w:rPr/>
        <w:t>Операция по приобретению бескупонных ценных бумаг, выпущенных нерезидентами, оценивается по стоимости приобретения, в которую включаются признанные существенными затраты, связанные с приобретением ценных бумаг. Начисленный в отчетном периоде дисконт по долговому обязательству отражается по графам 2 и 6 соответствующей строки раздела 1.</w:t>
      </w:r>
    </w:p>
    <w:p>
      <w:pPr>
        <w:pStyle w:val="MainText"/>
        <w:rPr/>
      </w:pPr>
      <w:r>
        <w:rPr/>
        <w:t>Операция по выбытию ценных бумаг, выпущенных нерезидентами, оценивается по стоимости реализации, в которую включаются признанные существенными затраты, связанные с реализацией ценных бумаг.</w:t>
      </w:r>
    </w:p>
    <w:p>
      <w:pPr>
        <w:pStyle w:val="MainText"/>
        <w:rPr/>
      </w:pPr>
      <w:r>
        <w:rPr/>
        <w:t>Приобретение и продажа нерезидентами векселей, выпущенных отчитывающимся банком, оцениваются по тем же правилам, что приобретение отчитывающимся банком векселей, выпущенных нерезидентами. Это, в частности, означает, что продажа нерезидентам векселей, выпущенных отчитывающимся банком, оценивается не по номиналу, а исходя из размера фактически полученных от их продажи (размещения) денежных средств, а накопленная по ним задолженность перед нерезидентами отражается с учетом дисконта, начисленного на стоимость размещения.</w:t>
      </w:r>
    </w:p>
    <w:p>
      <w:pPr>
        <w:pStyle w:val="Primer1"/>
        <w:ind w:firstLine="567" w:start="0" w:end="0"/>
        <w:rPr/>
      </w:pPr>
      <w:r>
        <w:rPr/>
        <w:t>Пример. Отчитывающийся банк приобретает 10 краткосрочных векселей кипрской компании “CYP” номиналом 1 тыс. долларов США каждый за 8 тыс. долларов США. После начисления дисконта в размере 1 тыс. долларов США на весь пакет отчитывающийся банк продает 5 векселей за 4,5 тыс. долларов США и 2 векселя за 1,5 тыс. долларов США. До конца отчетного периода на оставшиеся векселя начисляется процентный доход в размере 0,3 тыс. долларов США.</w:t>
      </w:r>
    </w:p>
    <w:p>
      <w:pPr>
        <w:pStyle w:val="Primer2"/>
        <w:keepNext w:val="true"/>
        <w:spacing w:before="0" w:after="60"/>
        <w:ind w:firstLine="284" w:end="0"/>
        <w:jc w:val="end"/>
        <w:rPr/>
      </w:pPr>
      <w:r>
        <w:rPr/>
        <w:t>тыс. долларов США</w:t>
      </w:r>
    </w:p>
    <w:tbl>
      <w:tblPr>
        <w:tblW w:w="10985" w:type="dxa"/>
        <w:jc w:val="center"/>
        <w:tblInd w:w="0" w:type="dxa"/>
        <w:tblLayout w:type="fixed"/>
        <w:tblCellMar>
          <w:top w:w="0" w:type="dxa"/>
          <w:start w:w="28" w:type="dxa"/>
          <w:bottom w:w="0" w:type="dxa"/>
          <w:end w:w="28" w:type="dxa"/>
        </w:tblCellMar>
      </w:tblPr>
      <w:tblGrid>
        <w:gridCol w:w="673"/>
        <w:gridCol w:w="1473"/>
        <w:gridCol w:w="1473"/>
        <w:gridCol w:w="1473"/>
        <w:gridCol w:w="1677"/>
        <w:gridCol w:w="1134"/>
        <w:gridCol w:w="1541"/>
        <w:gridCol w:w="154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4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езультате переоценки (гр. 5 – гр. 1 – гр. 2 – гр. 4)</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5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5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4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5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5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1А8</w:t>
            </w:r>
          </w:p>
        </w:tc>
        <w:tc>
          <w:tcPr>
            <w:tcW w:w="10312"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Долговые ценные бумаги (непросроченные), эмитированные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1А8.1</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Краткосрочные</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4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3,3</w:t>
            </w:r>
          </w:p>
        </w:tc>
        <w:tc>
          <w:tcPr>
            <w:tcW w:w="1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0,3</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5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w:t>
            </w:r>
          </w:p>
        </w:tc>
        <w:tc>
          <w:tcPr>
            <w:tcW w:w="154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Объяснение</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47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8+1–4,5–1,5+0,3</w:t>
            </w:r>
          </w:p>
        </w:tc>
        <w:tc>
          <w:tcPr>
            <w:tcW w:w="1677"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3–0–3,3–0</w:t>
            </w:r>
          </w:p>
        </w:tc>
        <w:tc>
          <w:tcPr>
            <w:tcW w:w="113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54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3х8/10+3х1/10+0,3</w:t>
            </w:r>
          </w:p>
        </w:tc>
        <w:tc>
          <w:tcPr>
            <w:tcW w:w="154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1+0,3</w:t>
            </w:r>
          </w:p>
        </w:tc>
      </w:tr>
    </w:tbl>
    <w:p>
      <w:pPr>
        <w:pStyle w:val="Primer2"/>
        <w:spacing w:before="60" w:after="0"/>
        <w:ind w:firstLine="567" w:start="0" w:end="0"/>
        <w:rPr/>
      </w:pPr>
      <w:r>
        <w:rPr/>
        <w:t>Изменения в результате переоценки в сумме 0,3 тыс. долларов США отражают тот факт, что по первой сделке продажи векселей операционный доход был нулевым (0,8 + 0,1) х 5 – 4,5, а по второй имел место операционный расход 1,5 — (0,8 + 0,1) х 2.</w:t>
      </w:r>
    </w:p>
    <w:p>
      <w:pPr>
        <w:pStyle w:val="MainTextPodzagolovok401"/>
        <w:rPr>
          <w:rFonts w:ascii="Arial" w:hAnsi="Arial" w:cs="Arial"/>
        </w:rPr>
      </w:pPr>
      <w:r>
        <w:rPr>
          <w:rFonts w:cs="Arial" w:ascii="Arial" w:hAnsi="Arial"/>
        </w:rPr>
        <w:t>II.9.11.2. Ценные бумаги типа купонных облигаций</w:t>
      </w:r>
    </w:p>
    <w:p>
      <w:pPr>
        <w:pStyle w:val="MainText"/>
        <w:rPr/>
      </w:pPr>
      <w:r>
        <w:rPr/>
        <w:t>Включаются ценные бумаги, представляющие собой обращающееся право на получение фиксированной суммы средств (номинала, а также в некоторых случаях процентного платежа) на одну определенную дату в будущем, а также сумм средств (купонов), причитающихся на ряд определенных дат в будущем. Такие ценные бумаги обычно называются купонными облигациями. Они могут приобретаться и продаваться с дисконтом или премией.</w:t>
      </w:r>
    </w:p>
    <w:p>
      <w:pPr>
        <w:pStyle w:val="MainText"/>
        <w:rPr/>
      </w:pPr>
      <w:r>
        <w:rPr/>
        <w:t>Операция по приобретению купонных облигаций, выпущенных нерезидентами, оценивается и отражается в графе 2 разделов 1 и 3 по стоимости приобретения, включая оплату части купона предыдущему владельцу и признанные существенными затраты, связанные с приобретением ценных бумаг. Приобретение и продажа нерезидентами купонных облигаций, выпущенных отчитывающимся банком, оценивается по тем же правилам, что приобретение отчитывающимся банком купонных облигаций, выпущенных нерезидентами. Это, в частности, означает, что продажа нерезидентам купонных облигаций, выпущенных отчитывающимся банком, оценивается не по номиналу, а исходя из размера фактически полученных от их продажи (размещения) денежных средств, а накопленная задолженность по ним отражается с учетом процентного (купонного) дохода, начисленного на стоимость размещения. Операция по выбытию купонных облигаций, выпущенных нерезидентами, оценивается по стоимости реализации, в которую включаются признанные существенными затраты, связанные с реализацией ценных бумаг.</w:t>
      </w:r>
    </w:p>
    <w:p>
      <w:pPr>
        <w:pStyle w:val="MainText"/>
        <w:rPr/>
      </w:pPr>
      <w:r>
        <w:rPr/>
        <w:t>Операционный доход (расход), сформировавшийся как разница между стоимостью реализуемой ценной бумаги (с учетом начисленных дисконта и процентного (купонного) дохода) и полученными денежными средствами, в Отчете учитывается как курсовая разница.</w:t>
      </w:r>
    </w:p>
    <w:p>
      <w:pPr>
        <w:pStyle w:val="Primer1"/>
        <w:ind w:firstLine="567" w:start="0" w:end="0"/>
        <w:rPr/>
      </w:pPr>
      <w:r>
        <w:rPr/>
        <w:t>Пример 1. Отчитывающийся банк в течение отчетного периода производит следующие операции:</w:t>
      </w:r>
    </w:p>
    <w:p>
      <w:pPr>
        <w:pStyle w:val="Primer2"/>
        <w:ind w:firstLine="567" w:start="0" w:end="0"/>
        <w:rPr/>
      </w:pPr>
      <w:r>
        <w:rPr/>
        <w:t>приобретает 10 котируемых долговых ценных бумаг американского казначейства с первоначальным сроком погашения 2 года и номиналом 1 тыс. долларов США по цене 1,2 тыс. долларов США за одну облигацию с учетом оплаты купона;</w:t>
      </w:r>
    </w:p>
    <w:p>
      <w:pPr>
        <w:pStyle w:val="Primer2"/>
        <w:ind w:firstLine="567" w:start="0" w:end="0"/>
        <w:rPr/>
      </w:pPr>
      <w:r>
        <w:rPr/>
        <w:t>начисляет процентный (купонный) доход 1,4 тыс. долларов США за весь пакет.</w:t>
      </w:r>
    </w:p>
    <w:p>
      <w:pPr>
        <w:pStyle w:val="Primer2"/>
        <w:ind w:firstLine="567" w:start="0" w:end="0"/>
        <w:rPr/>
      </w:pPr>
      <w:r>
        <w:rPr/>
        <w:t>Рыночная котировка 1 облигации на дату закрытия отчета — 1,35 доллара США.</w:t>
      </w:r>
    </w:p>
    <w:p>
      <w:pPr>
        <w:pStyle w:val="Primer2"/>
        <w:ind w:firstLine="567" w:start="0" w:end="0"/>
        <w:rPr/>
      </w:pPr>
      <w:r>
        <w:rPr/>
        <w:t>Отчитывающийся банк в течение следующего отчетного периода производит следующие операции:</w:t>
      </w:r>
    </w:p>
    <w:p>
      <w:pPr>
        <w:pStyle w:val="Primer2"/>
        <w:ind w:firstLine="567" w:start="0" w:end="0"/>
        <w:rPr/>
      </w:pPr>
      <w:r>
        <w:rPr/>
        <w:t>продает 5 облигаций за 7,0 тыс. долларов США (с учетом оплаты накопленного купона);</w:t>
      </w:r>
    </w:p>
    <w:p>
      <w:pPr>
        <w:pStyle w:val="Primer2"/>
        <w:ind w:firstLine="567" w:start="0" w:end="0"/>
        <w:rPr/>
      </w:pPr>
      <w:r>
        <w:rPr/>
        <w:t>начисляет процентный (купонный) доход 0,5 тыс. долларов США на оставшийся пакет;</w:t>
      </w:r>
    </w:p>
    <w:p>
      <w:pPr>
        <w:pStyle w:val="Primer2"/>
        <w:ind w:firstLine="567" w:start="0" w:end="0"/>
        <w:rPr/>
      </w:pPr>
      <w:r>
        <w:rPr/>
        <w:t>эмитент выплачивает купон по облигациям отчитывающемуся банку в размере 1,5 тыс. долларов США на весь пакет;</w:t>
      </w:r>
    </w:p>
    <w:p>
      <w:pPr>
        <w:pStyle w:val="Primer2"/>
        <w:ind w:firstLine="567" w:start="0" w:end="0"/>
        <w:rPr/>
      </w:pPr>
      <w:r>
        <w:rPr/>
        <w:t>начисляет процентный (купонный) доход 0,3 тыс. долларов США;</w:t>
      </w:r>
    </w:p>
    <w:p>
      <w:pPr>
        <w:pStyle w:val="Primer2"/>
        <w:ind w:firstLine="567" w:start="0" w:end="0"/>
        <w:rPr/>
      </w:pPr>
      <w:r>
        <w:rPr/>
        <w:t>покупает 2 аналогичные облигации за 2,2 тыс. долларов США;</w:t>
      </w:r>
    </w:p>
    <w:p>
      <w:pPr>
        <w:pStyle w:val="Primer2"/>
        <w:ind w:firstLine="567" w:start="0" w:end="0"/>
        <w:rPr/>
      </w:pPr>
      <w:r>
        <w:rPr/>
        <w:t>до конца отчетного периода начисляет процентный (купонный) доход 0,5 тыс. долларов США.</w:t>
      </w:r>
    </w:p>
    <w:p>
      <w:pPr>
        <w:pStyle w:val="Primer2"/>
        <w:ind w:firstLine="567" w:start="0" w:end="0"/>
        <w:rPr/>
      </w:pPr>
      <w:r>
        <w:rPr/>
        <w:t>Рыночная котировка 1 облигации на дату закрытия отчета — 1,25 доллара США.</w:t>
      </w:r>
    </w:p>
    <w:p>
      <w:pPr>
        <w:pStyle w:val="Primer2"/>
        <w:keepNext w:val="true"/>
        <w:spacing w:before="0" w:after="60"/>
        <w:ind w:firstLine="284" w:end="0"/>
        <w:jc w:val="end"/>
        <w:rPr/>
      </w:pPr>
      <w:r>
        <w:rPr/>
        <w:t>тыс. долларов США</w:t>
      </w:r>
    </w:p>
    <w:tbl>
      <w:tblPr>
        <w:tblW w:w="10989" w:type="dxa"/>
        <w:jc w:val="center"/>
        <w:tblInd w:w="0" w:type="dxa"/>
        <w:tblLayout w:type="fixed"/>
        <w:tblCellMar>
          <w:top w:w="0" w:type="dxa"/>
          <w:start w:w="28" w:type="dxa"/>
          <w:bottom w:w="0" w:type="dxa"/>
          <w:end w:w="28" w:type="dxa"/>
        </w:tblCellMar>
      </w:tblPr>
      <w:tblGrid>
        <w:gridCol w:w="673"/>
        <w:gridCol w:w="3545"/>
        <w:gridCol w:w="852"/>
        <w:gridCol w:w="1042"/>
        <w:gridCol w:w="1084"/>
        <w:gridCol w:w="992"/>
        <w:gridCol w:w="1701"/>
        <w:gridCol w:w="1100"/>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54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54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0989"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Первый отчетный период</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1А8</w:t>
            </w:r>
          </w:p>
        </w:tc>
        <w:tc>
          <w:tcPr>
            <w:tcW w:w="10316"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Долговые ценные бумаги (непросроченные), эмитированные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1А8.2</w:t>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13,4</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0,1</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13,5</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1,4</w:t>
            </w:r>
          </w:p>
        </w:tc>
      </w:tr>
      <w:tr>
        <w:trPr>
          <w:cantSplit/>
        </w:trPr>
        <w:tc>
          <w:tcPr>
            <w:tcW w:w="10989"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Объяснение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 Приобретение</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2. Начисление процентов</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1,4</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13,4</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1,4</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3. Определение остатка на конец отчетного периода</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13,4</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0,1</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13,5=1,35х10</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r>
      <w:tr>
        <w:trPr>
          <w:cantSplit/>
        </w:trPr>
        <w:tc>
          <w:tcPr>
            <w:tcW w:w="10989"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Второй отчетный период</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1А8</w:t>
            </w:r>
          </w:p>
        </w:tc>
        <w:tc>
          <w:tcPr>
            <w:tcW w:w="10316"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Долговые ценные бумаги (непросроченные), эмитированные нерезидентами</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1А8.2</w:t>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13,5</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5,0</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0,25</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8,75</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w:t>
            </w:r>
          </w:p>
        </w:tc>
      </w:tr>
      <w:tr>
        <w:trPr>
          <w:cantSplit/>
        </w:trPr>
        <w:tc>
          <w:tcPr>
            <w:tcW w:w="10989"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Объяснение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 Продажа облигации номиналом 5 тыс. долл. США</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13,5</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7,0</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0,2</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6,7=5х12/10+5х1,4/10</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2. Начисление процентов</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6,7</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0,5</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7,2</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0,5</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3. Выплата купона</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7,2</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1,5</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5,7</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4. Начисление процентов</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5,7</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0,3</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6,0</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5. Покупка 2 облигаций за 2,2 тыс. долл. США</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6,0</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2,2</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8,2</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6. Начисление процентов</w:t>
            </w:r>
          </w:p>
        </w:tc>
        <w:tc>
          <w:tcPr>
            <w:tcW w:w="85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8,2</w:t>
            </w:r>
          </w:p>
        </w:tc>
        <w:tc>
          <w:tcPr>
            <w:tcW w:w="104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0,5</w:t>
            </w:r>
          </w:p>
        </w:tc>
        <w:tc>
          <w:tcPr>
            <w:tcW w:w="108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8,7</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0,5</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5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7. Определение остатка на конец отчетного периода</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8,7</w:t>
            </w:r>
          </w:p>
        </w:tc>
        <w:tc>
          <w:tcPr>
            <w:tcW w:w="104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08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0,05</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8,75=7х1,25</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r>
    </w:tbl>
    <w:p>
      <w:pPr>
        <w:pStyle w:val="Primer2"/>
        <w:spacing w:before="60" w:after="0"/>
        <w:ind w:firstLine="567" w:start="0" w:end="0"/>
        <w:rPr/>
      </w:pPr>
      <w:r>
        <w:rPr/>
        <w:t>Изменения в результате переоценки в сумме 0,1 тыс. долларов США в отчетном периоде и 0,45 тыс. долларов США — в следующем отражают изменение стоимости ценных бумаг (с учетом начисленных процентов), находящихся на балансе отчитывающегося банка, и рыночной стоимости на дату составления отчета.</w:t>
      </w:r>
    </w:p>
    <w:p>
      <w:pPr>
        <w:pStyle w:val="Primer1"/>
        <w:ind w:firstLine="567" w:start="0" w:end="0"/>
        <w:rPr/>
      </w:pPr>
      <w:r>
        <w:rPr/>
        <w:t>Пример 2. Отчитывающийся банк в течение отчетного периода производит следующие операции:</w:t>
      </w:r>
    </w:p>
    <w:p>
      <w:pPr>
        <w:pStyle w:val="Primer2"/>
        <w:ind w:firstLine="567" w:start="0" w:end="0"/>
        <w:rPr/>
      </w:pPr>
      <w:r>
        <w:rPr/>
        <w:t>приобретает 10 некотируемых долговых ценных бумаг итальянской компании “ITL” с первоначальным сроком погашения 2 года и номиналом 1 тыс. долларов США по цене 1,2 тыс. долларов США за одну облигацию с учетом оплаты купона;</w:t>
      </w:r>
    </w:p>
    <w:p>
      <w:pPr>
        <w:pStyle w:val="Primer2"/>
        <w:ind w:firstLine="567" w:start="0" w:end="0"/>
        <w:rPr/>
      </w:pPr>
      <w:r>
        <w:rPr/>
        <w:t>начисляет процентный (купонный) доход 1,4 тыс. долларов США за весь пакет;</w:t>
      </w:r>
    </w:p>
    <w:p>
      <w:pPr>
        <w:pStyle w:val="Primer2"/>
        <w:ind w:firstLine="567" w:start="0" w:end="0"/>
        <w:rPr/>
      </w:pPr>
      <w:r>
        <w:rPr/>
        <w:t>продает 5 облигаций за 7,0 тыс. долларов США;</w:t>
      </w:r>
    </w:p>
    <w:p>
      <w:pPr>
        <w:pStyle w:val="Primer2"/>
        <w:ind w:firstLine="567" w:start="0" w:end="0"/>
        <w:rPr/>
      </w:pPr>
      <w:r>
        <w:rPr/>
        <w:t>начисляет процентный (купонный) доход 0,5 тыс. долларов США на оставшийся пакет;</w:t>
      </w:r>
    </w:p>
    <w:p>
      <w:pPr>
        <w:pStyle w:val="Primer2"/>
        <w:ind w:firstLine="567" w:start="0" w:end="0"/>
        <w:rPr/>
      </w:pPr>
      <w:r>
        <w:rPr/>
        <w:t>эмитент выплачивает купон по облигациям отчитывающемуся банку в размере 1,5 тыс. долларов США на весь пакет;</w:t>
      </w:r>
    </w:p>
    <w:p>
      <w:pPr>
        <w:pStyle w:val="Primer2"/>
        <w:ind w:firstLine="567" w:start="0" w:end="0"/>
        <w:rPr/>
      </w:pPr>
      <w:r>
        <w:rPr/>
        <w:t>начисляет процентный (купонный) доход 0,3 тыс. долларов США;</w:t>
      </w:r>
    </w:p>
    <w:p>
      <w:pPr>
        <w:pStyle w:val="Primer2"/>
        <w:ind w:firstLine="567" w:start="0" w:end="0"/>
        <w:rPr/>
      </w:pPr>
      <w:r>
        <w:rPr/>
        <w:t>покупает 2 аналогичные облигации за 2,2 тыс. долларов США;</w:t>
      </w:r>
    </w:p>
    <w:p>
      <w:pPr>
        <w:pStyle w:val="Primer2"/>
        <w:ind w:firstLine="567" w:start="0" w:end="0"/>
        <w:rPr/>
      </w:pPr>
      <w:r>
        <w:rPr/>
        <w:t>до конца отчетного периода начисляет процентный (купонный) доход 0,5 тыс. долларов США.</w:t>
      </w:r>
    </w:p>
    <w:p>
      <w:pPr>
        <w:pStyle w:val="Primer2"/>
        <w:ind w:firstLine="567" w:start="0" w:end="0"/>
        <w:rPr/>
      </w:pPr>
      <w:r>
        <w:rPr/>
        <w:t>Изменения в результате переоценки в сумме 0,3 тыс. долларов США отражают операционный доход отчитывающегося банка, поскольку облигации стоимостью 6,7 тыс. долларов США (с учетом начисленных процентов) были проданы за 7,0 тыс. долларов США.</w:t>
      </w:r>
    </w:p>
    <w:p>
      <w:pPr>
        <w:pStyle w:val="Primer2"/>
        <w:keepNext w:val="true"/>
        <w:spacing w:before="60" w:after="60"/>
        <w:ind w:firstLine="284" w:end="0"/>
        <w:jc w:val="end"/>
        <w:rPr/>
      </w:pPr>
      <w:r>
        <w:rPr/>
        <w:t>тыс. долларов США</w:t>
      </w:r>
    </w:p>
    <w:tbl>
      <w:tblPr>
        <w:tblW w:w="10981" w:type="dxa"/>
        <w:jc w:val="center"/>
        <w:tblInd w:w="0" w:type="dxa"/>
        <w:tblLayout w:type="fixed"/>
        <w:tblCellMar>
          <w:top w:w="0" w:type="dxa"/>
          <w:start w:w="28" w:type="dxa"/>
          <w:bottom w:w="0" w:type="dxa"/>
          <w:end w:w="28" w:type="dxa"/>
        </w:tblCellMar>
      </w:tblPr>
      <w:tblGrid>
        <w:gridCol w:w="673"/>
        <w:gridCol w:w="2126"/>
        <w:gridCol w:w="992"/>
        <w:gridCol w:w="1133"/>
        <w:gridCol w:w="1701"/>
        <w:gridCol w:w="992"/>
        <w:gridCol w:w="1682"/>
        <w:gridCol w:w="1682"/>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212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1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68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68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126"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68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68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w:t>
            </w:r>
          </w:p>
        </w:tc>
        <w:tc>
          <w:tcPr>
            <w:tcW w:w="10308"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(непросроченные), эмитированные нерезидентам</w:t>
            </w:r>
          </w:p>
          <w:p>
            <w:pPr>
              <w:pStyle w:val="MainText"/>
              <w:ind w:hanging="0" w:end="0"/>
              <w:jc w:val="center"/>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1А8.2</w:t>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8,4</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0,3</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8,7</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2,7</w:t>
            </w:r>
          </w:p>
        </w:tc>
      </w:tr>
      <w:tr>
        <w:trPr>
          <w:cantSplit/>
        </w:trPr>
        <w:tc>
          <w:tcPr>
            <w:tcW w:w="10981"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Объяснение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Приобретение</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Начисление процентов</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1,4</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13,4</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1,4</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Продажа 5 облигаций</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13,4</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7,0</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0,3</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6,7=5х12/10+5х1,4/10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 Начисление процентов</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6,7</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0,5</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7,2</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0,5</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 Выплата купона</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7,2</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1,5</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5,7</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 Начисление процентов</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5,7</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0,3</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7. Покупка 2 облигаций</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6,0</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2,2</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8,2</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21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8. Начисление процентов</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8,2</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0,5</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8,7</w:t>
            </w:r>
          </w:p>
        </w:tc>
        <w:tc>
          <w:tcPr>
            <w:tcW w:w="168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0,5</w:t>
            </w:r>
          </w:p>
        </w:tc>
      </w:tr>
    </w:tbl>
    <w:p>
      <w:pPr>
        <w:pStyle w:val="MainTextPodzagolovok401"/>
        <w:rPr>
          <w:rFonts w:ascii="Arial" w:hAnsi="Arial" w:cs="Arial"/>
        </w:rPr>
      </w:pPr>
      <w:r>
        <w:rPr>
          <w:rFonts w:cs="Arial" w:ascii="Arial" w:hAnsi="Arial"/>
        </w:rPr>
        <w:t>II.9.12. Участие в капитале</w:t>
      </w:r>
    </w:p>
    <w:p>
      <w:pPr>
        <w:pStyle w:val="MainText"/>
        <w:rPr/>
      </w:pPr>
      <w:r>
        <w:rPr/>
        <w:t>Включаются права на долю в активах банка или иной организации, остающихся после удовлетворения требований всех их кредиторов.</w:t>
      </w:r>
    </w:p>
    <w:p>
      <w:pPr>
        <w:pStyle w:val="MainText"/>
        <w:rPr/>
      </w:pPr>
      <w:r>
        <w:rPr/>
        <w:t>По строке для активов включаются обыкновенные и привилегированные акции, выпущенные нерезидентами и приобретенные отчитывающимся банком, исключая акции, полученные по операциям, совершаемым на возвратной основе без их признания, но включая акции, переданные по операциям, совершаемым на возвратной основе без прекращения их признания отчитывающимся банком. Учитываются также акции нерезидентов, на которые выпущены депозитарные расписки (в частности, американские депозитарные расписки), а также паи, доли в имуществе нерезидентов, принадлежащие отчитывающемуся банку.</w:t>
      </w:r>
    </w:p>
    <w:p>
      <w:pPr>
        <w:pStyle w:val="MainText"/>
        <w:rPr/>
      </w:pPr>
      <w:r>
        <w:rPr/>
        <w:t>Участием в капитале нерезидентов считается также участие в капитале находящихся на территориях иностранных государств дочерних банков и отделений (юридических лиц) отчитывающегося банка.</w:t>
      </w:r>
    </w:p>
    <w:p>
      <w:pPr>
        <w:pStyle w:val="MainText"/>
        <w:rPr/>
      </w:pPr>
      <w:r>
        <w:rPr/>
        <w:t>Участие отчитывающегося банка в капитале нерезидентов оценивается по текущей (справедливой) стоимости.</w:t>
      </w:r>
    </w:p>
    <w:p>
      <w:pPr>
        <w:pStyle w:val="MainText"/>
        <w:rPr/>
      </w:pPr>
      <w:r>
        <w:rPr/>
        <w:t>Оценочная стоимость не котируемых на биржевом рынке ценных бумаг, обеспечивающих участие в капитале, для целей данного Отчета может быть определена на основе следующих методов:</w:t>
      </w:r>
    </w:p>
    <w:p>
      <w:pPr>
        <w:pStyle w:val="MainText"/>
        <w:rPr/>
      </w:pPr>
      <w:r>
        <w:rPr/>
        <w:t>по стоимости чистых активов эмитента (стоимость чистых активов равна стоимости активов (включая нематериальные активы) за вычетом стоимости обязательств и оплаченного капитала в виде акций, не дающих владельцам права голоса; стоимость активов и обязательств рассчитывается в текущих ценах, а не в ценах их приобретения (первоначальных ценах);</w:t>
      </w:r>
    </w:p>
    <w:p>
      <w:pPr>
        <w:pStyle w:val="MainText"/>
        <w:rPr/>
      </w:pPr>
      <w:r>
        <w:rPr/>
        <w:t>по стоимости, установленной органами управления эмитента;</w:t>
      </w:r>
    </w:p>
    <w:p>
      <w:pPr>
        <w:pStyle w:val="MainText"/>
        <w:rPr/>
      </w:pPr>
      <w:r>
        <w:rPr/>
        <w:t>по цене последней сделки с данными ценными бумагами при условии, что со дня ее проведения и до отчетной даты не произошло существенных изменений экономических условий.</w:t>
      </w:r>
    </w:p>
    <w:p>
      <w:pPr>
        <w:pStyle w:val="MainText"/>
        <w:rPr/>
      </w:pPr>
      <w:r>
        <w:rPr/>
        <w:t>По строке для пассивов включаются паи и доли в капитале отчитывающегося банка, принадлежащие нерезидентам, а также обыкновенные и привилегированные акции, выпущенные отчитывающимся банком и приобретенные нерезидентами. Здесь учитываются акции отчитывающегося банка, на которые выпущены депозитарные расписки (в частности, американские депозитарные расписки). Из состава иностранных обязательств отчитывающегося банка в форме участия в капитале исключаются акции, полученные по операциям, совершаемым на возвратной основе без их признания, но включаются акции, переданные по операциям, совершаемым на возвратной основе без прекращения их признания отчитывающимся банком, если отчитывающийся банк обладает информацией о такого рода операциях.</w:t>
      </w:r>
    </w:p>
    <w:p>
      <w:pPr>
        <w:pStyle w:val="MainText"/>
        <w:rPr/>
      </w:pPr>
      <w:r>
        <w:rPr/>
        <w:t>Участие нерезидентов в капитале отчитывающегося банка оценивается по состоянию на начало и конец отчетного периода по рыночной стоимости путем умножения количества ценных бумаг, принадлежащих нерезидентам, на рыночную цену 1 акции, определяемую в соответствии с Постановлением Федеральной комиссии по рынку ценных бумаг от 24 декабря 2003 года № 03-52/пс “Об утверждении порядка расчета рыночной цены эмиссионных ценных бумаг и инвестиционных паев паевых инвестиционных фондов, допущенных к обращению через организаторов торговли, и установлении предельной границы колебаний рыночной цены”, зарегистрированным Министерством юстиции Российской Федерации 23 января 2004 года № 5480 (“Российская газета” от 30 января 2004 года № 16).</w:t>
      </w:r>
    </w:p>
    <w:p>
      <w:pPr>
        <w:pStyle w:val="MainText"/>
        <w:rPr/>
      </w:pPr>
      <w:r>
        <w:rPr/>
        <w:t>Если акции отчитывающегося банка не котируются на биржевом рынке, то участие нерезидентов в его капитале по состоянию на начало и конец отчетного периода оценивается путем умножения доли нерезидентов в оплаченном уставном капитале на величину собственных средств отчитывающегося банка по состоянию на начало и конец отчетного периода соответственно. При определении размера собственных средств необходимо руководствоваться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17 июля 2006 года № 8091, 7 марта 2007 года № 9072, 26 июля 2007 года № 9910, 20 декабря 2007 года № 10778, 12 декабря 2008 года № 12840, 19 декабря 2008 года № 12905, 29 июня 2009 года № 14161 (“Вестник Банка России” от 20 марта 2003 года № 15, от 26 июля 2006 года № 41, от 14 марта 2007 года № 14, от 2 августа 2007 года № 44, от 26 декабря 2007 года № 71, от 17 декабря 2008 года № 73, от 24 декабря 2008 года № 74, от 8 июля 2009 года № 40).</w:t>
      </w:r>
    </w:p>
    <w:p>
      <w:pPr>
        <w:pStyle w:val="MainText"/>
        <w:rPr/>
      </w:pPr>
      <w:r>
        <w:rPr/>
        <w:t>Если значение, полученное по этой методике, отрицательное, отчитывающийся банк должен использовать в качестве оценки собственных средств нулевое значение.</w:t>
      </w:r>
    </w:p>
    <w:p>
      <w:pPr>
        <w:pStyle w:val="MainText"/>
        <w:rPr/>
      </w:pPr>
      <w:r>
        <w:rPr/>
        <w:t>Оценка накопленного участия нерезидентов в капитале отчитывающегося банка производится в соответствии с формулой:</w:t>
      </w:r>
    </w:p>
    <w:p>
      <w:pPr>
        <w:pStyle w:val="MainTextBezOtstupa"/>
        <w:keepNext w:val="true"/>
        <w:keepLines/>
        <w:spacing w:before="60" w:after="0"/>
        <w:ind w:start="1276" w:end="0"/>
        <w:jc w:val="start"/>
        <w:rPr/>
      </w:pPr>
      <w:r>
        <w:rPr/>
        <w:t>Fs(t)</w:t>
      </w:r>
    </w:p>
    <w:p>
      <w:pPr>
        <w:pStyle w:val="MainTextBezOtstupa"/>
        <w:keepNext w:val="true"/>
        <w:keepLines/>
        <w:ind w:start="567" w:end="0"/>
        <w:jc w:val="start"/>
        <w:rPr/>
      </w:pPr>
      <w:r>
        <w:rPr/>
        <w:t>Es(t) = ——— х К(t),</w:t>
      </w:r>
    </w:p>
    <w:p>
      <w:pPr>
        <w:pStyle w:val="MainTextBezOtstupa"/>
        <w:ind w:start="1276" w:end="0"/>
        <w:jc w:val="start"/>
        <w:rPr/>
      </w:pPr>
      <w:r>
        <w:rPr/>
        <w:t>F(t)</w:t>
      </w:r>
    </w:p>
    <w:p>
      <w:pPr>
        <w:pStyle w:val="MainText"/>
        <w:rPr/>
      </w:pPr>
      <w:r>
        <w:rPr/>
        <w:t>где:</w:t>
      </w:r>
    </w:p>
    <w:p>
      <w:pPr>
        <w:pStyle w:val="MainText"/>
        <w:rPr/>
      </w:pPr>
      <w:r>
        <w:rPr/>
        <w:t>Fs(t) — номинал акций или паев, которые на дату t принадлежат нерезидентам;</w:t>
      </w:r>
    </w:p>
    <w:p>
      <w:pPr>
        <w:pStyle w:val="MainText"/>
        <w:rPr/>
      </w:pPr>
      <w:r>
        <w:rPr/>
        <w:t>F(t) — общий номинал обыкновенных и привилегированных акций и паев (то есть оплаченный уставный капитал) на дату t;</w:t>
      </w:r>
    </w:p>
    <w:p>
      <w:pPr>
        <w:pStyle w:val="MainText"/>
        <w:rPr/>
      </w:pPr>
      <w:r>
        <w:rPr/>
        <w:t>К(t) — собственные средства отчитывающегося банка на дату t.</w:t>
      </w:r>
    </w:p>
    <w:p>
      <w:pPr>
        <w:pStyle w:val="MainText"/>
        <w:rPr/>
      </w:pPr>
      <w:r>
        <w:rPr/>
        <w:t>Отдельно производится расчет по обыкновенным акциям, долям, паям и прочему участию в капитале отчитывающегося банка, с одной стороны, и по привилегированным акциям — с другой.</w:t>
      </w:r>
    </w:p>
    <w:p>
      <w:pPr>
        <w:pStyle w:val="MainText"/>
        <w:rPr/>
      </w:pPr>
      <w:r>
        <w:rPr/>
        <w:t>Возможна ситуация, когда обыкновенные акции отчитывающегося банка являются котируемыми, а привилегированные — некотируемыми. В данном случае участие нерезидентов в капитале отчитывающегося банка в форме обыкновенных акций рассчитывается по рыночной стоимости, а в форме привилегированных акций — исходя из доли нерезидентов в оплаченном уставном капитале и величины собственных средств отчитывающегося банка. Аналогичный подход применяется и в обратной ситуации.</w:t>
      </w:r>
    </w:p>
    <w:p>
      <w:pPr>
        <w:pStyle w:val="MainText"/>
        <w:rPr/>
      </w:pPr>
      <w:r>
        <w:rPr/>
        <w:t>При формировании Отчета в качестве источника информации об операциях нерезидентов с долевыми инструментами отчитывающегося банка и сложившейся доле нерезидентов в его капитале на определенную дату должны использоваться:</w:t>
      </w:r>
    </w:p>
    <w:p>
      <w:pPr>
        <w:pStyle w:val="MainText"/>
        <w:rPr/>
      </w:pPr>
      <w:r>
        <w:rPr/>
        <w:t>реестр участников кредитной организации (далее — Реестр);</w:t>
      </w:r>
    </w:p>
    <w:p>
      <w:pPr>
        <w:pStyle w:val="MainText"/>
        <w:rPr/>
      </w:pPr>
      <w:r>
        <w:rPr/>
        <w:t>информационные базы отчитывающегося банка, если операции с нерезидентами осуществляются с его участием или расчеты проводятся через него.</w:t>
      </w:r>
    </w:p>
    <w:p>
      <w:pPr>
        <w:pStyle w:val="MainText"/>
        <w:rPr/>
      </w:pPr>
      <w:r>
        <w:rPr/>
        <w:t>Строки 1П8.1, 1П8.2 раздела 1 Отчета и при необходимости — строки 3П1.1.1, 3П1.1.2, 3П2.1.1, 3П2.1.2 раздела 3 Отчета заполняются с учетом следующего:</w:t>
      </w:r>
    </w:p>
    <w:p>
      <w:pPr>
        <w:pStyle w:val="MainText"/>
        <w:rPr/>
      </w:pPr>
      <w:r>
        <w:rPr/>
        <w:t>1. При составлении Отчета в первую очередь следует ориентироваться на долю нерезидентов, соответствующую сведениям, получаемым из Реестра. Зафиксированная в Реестре на определенную дату месяца доля нерезидентов в капитале отчитывающегося банка используется для расчета показателей графы 5 Отчета за тот же месяц. Для получения стоимостной оценки применяется рыночная котировка ценных бумаг, эмитированных отчитывающимся банком, на конец месяца, а при отсутствии таковой — величина собственных средств отчитывающегося банка.</w:t>
      </w:r>
    </w:p>
    <w:p>
      <w:pPr>
        <w:pStyle w:val="MainText"/>
        <w:rPr/>
      </w:pPr>
      <w:r>
        <w:rPr/>
        <w:t>2. Рассчитанные таким образом показатели Отчета в случае отсутствия актуальных данных из Реестра на последующие даты отчетного периода должны корректироваться отчитывающимся банком при наличии у него информации об операциях: в графе 2 следует отражать операции с долевыми инструментами отчитывающегося банка по цене конкретной сделки, в графе 5 — имеющиеся данные Реестра по доле нерезидентов с учетом изменений доли их участия в результате прошедших операций. Стоимостная оценка графы 5 производится способом, описанным в подпункте 1 настоящего подпункта, разница по переоценке относится в графу 3.</w:t>
      </w:r>
    </w:p>
    <w:p>
      <w:pPr>
        <w:pStyle w:val="MainText"/>
        <w:rPr/>
      </w:pPr>
      <w:r>
        <w:rPr/>
        <w:t>3. При отсутствии у отчитывающегося банка какой-либо информации об операциях с его ценными бумагами в отчетном месяце для формирования показателей графы 5 разделов 1 и 3 следует продолжать использовать доли нерезидентов в капитале, рассчитанные согласно подпункту 1 либо подпункту 2 настоящего подпункта, проводя их ежемесячную переоценку через графу 3 разделов 1 и 3.</w:t>
      </w:r>
    </w:p>
    <w:p>
      <w:pPr>
        <w:pStyle w:val="MainText"/>
        <w:rPr/>
      </w:pPr>
      <w:r>
        <w:rPr/>
        <w:t>4. При поступлении новых данных из Реестра произошедшие изменения в доле нерезидентов по сравнению с их долей, отраженной в графе 5 разделов 1 и 3 по состоянию на предыдущую отчетную дату и рассчитанной описанными выше способами, следует указывать в графе 2 либо в графе 4 разделов 1 и 3 или в графах 2 и 4 разделов 1 и 3, а именно:</w:t>
      </w:r>
    </w:p>
    <w:p>
      <w:pPr>
        <w:pStyle w:val="MainText"/>
        <w:rPr/>
      </w:pPr>
      <w:r>
        <w:rPr/>
        <w:t>в графе 2 — если операции осуществлялись в текущем отчетном периоде самим отчитывающимся банком либо расчеты резидентов с нерезидентами за участие в капитале производились через счета, открытые в отчитывающемся банке (отражается фактическая сумма средств, полученных (выплаченных) нерезидентами в ходе этих операций);</w:t>
      </w:r>
    </w:p>
    <w:p>
      <w:pPr>
        <w:pStyle w:val="MainText"/>
        <w:rPr/>
      </w:pPr>
      <w:r>
        <w:rPr/>
        <w:t>в графе 4 — во всех остальных случаях, при этом если изменилась доля нерезидентов в отчитывающемся банке, акции которого являются котируемыми, то такое изменение оценивается путем умножения количества акций, проданных или приобретенных нерезидентами, на среднюю рыночную цену 1 акции за отчетный период. Если акции отчитывающегося банка являются некотируемыми, то изменение оценивается путем умножения доли, которая была приобретена или продана нерезидентами, на средний размер собственных средств за отчетный период. В последнем случае для заполнения графы 4 оценка изменения доли нерезидентов в капитале, совершенного за период t, по которому отчитывающийся банк не имеет информации, рассчитывается по формуле:</w:t>
      </w:r>
    </w:p>
    <w:p>
      <w:pPr>
        <w:pStyle w:val="MainTextBezOtstupa"/>
        <w:keepNext w:val="true"/>
        <w:keepLines/>
        <w:spacing w:before="60" w:after="0"/>
        <w:ind w:start="1276" w:end="0"/>
        <w:jc w:val="start"/>
        <w:rPr/>
      </w:pPr>
      <w:r>
        <w:rPr/>
        <w:t>Fo(t)</w:t>
      </w:r>
    </w:p>
    <w:p>
      <w:pPr>
        <w:pStyle w:val="MainTextBezOtstupa"/>
        <w:keepNext w:val="true"/>
        <w:keepLines/>
        <w:ind w:start="567" w:end="0"/>
        <w:jc w:val="start"/>
        <w:rPr/>
      </w:pPr>
      <w:r>
        <w:rPr/>
        <w:t>Eo(t) = ——— х К,</w:t>
      </w:r>
    </w:p>
    <w:p>
      <w:pPr>
        <w:pStyle w:val="MainTextBezOtstupa"/>
        <w:ind w:start="1276" w:end="0"/>
        <w:jc w:val="start"/>
        <w:rPr/>
      </w:pPr>
      <w:r>
        <w:rPr/>
        <w:t>F(t)</w:t>
      </w:r>
    </w:p>
    <w:p>
      <w:pPr>
        <w:pStyle w:val="MainText"/>
        <w:rPr/>
      </w:pPr>
      <w:r>
        <w:rPr/>
        <w:t>где:</w:t>
      </w:r>
    </w:p>
    <w:p>
      <w:pPr>
        <w:pStyle w:val="MainText"/>
        <w:rPr/>
      </w:pPr>
      <w:r>
        <w:rPr/>
        <w:t>Fo(t) — номинал акций или паев, которые были приобретены нерезидентами за период t, за вычетом номинала акций или паев, которые были проданы нерезидентами за период t, о которых отчитывающийся банк не имеет информации;</w:t>
      </w:r>
    </w:p>
    <w:p>
      <w:pPr>
        <w:pStyle w:val="MainText"/>
        <w:rPr/>
      </w:pPr>
      <w:r>
        <w:rPr/>
        <w:t>F(t) — общий номинал акций и паев (то есть средний оплаченный уставный капитал) за период t;</w:t>
      </w:r>
    </w:p>
    <w:p>
      <w:pPr>
        <w:pStyle w:val="MainText"/>
        <w:rPr/>
      </w:pPr>
      <w:r>
        <w:rPr/>
        <w:t>К — средний размер собственных средств отчитывающегося банка за период t.</w:t>
      </w:r>
    </w:p>
    <w:p>
      <w:pPr>
        <w:pStyle w:val="MainText"/>
        <w:rPr/>
      </w:pPr>
      <w:r>
        <w:rPr/>
        <w:t>Стоимостную оценку по графам 1 и 5 разделов 1 и 3 следует получать способом, описанным в подпункте 1 настоящего подпункта, разницу относить в графу 3 разделов 1 и 3.</w:t>
      </w:r>
    </w:p>
    <w:p>
      <w:pPr>
        <w:pStyle w:val="MainText"/>
        <w:rPr/>
      </w:pPr>
      <w:r>
        <w:rPr/>
        <w:t>5. При получении информации в течение месяца из обоих источников необходимо руководствоваться подпунктом 1 настоящего подпункта (если операции были осуществлены до составления Реестра) или подпунктом 2 настоящего подпункта (если операции имели место после закрытия Реестра).</w:t>
      </w:r>
    </w:p>
    <w:p>
      <w:pPr>
        <w:pStyle w:val="MainText"/>
        <w:rPr/>
      </w:pPr>
      <w:r>
        <w:rPr/>
        <w:t>Операции, учитываемые в графе 2 разделов 1 и 3, должны отражаться в размере фактических средств, полученных (выплаченных) в ходе размещения, продажи (выкупа) участия.</w:t>
      </w:r>
    </w:p>
    <w:p>
      <w:pPr>
        <w:pStyle w:val="MainText"/>
        <w:rPr/>
      </w:pPr>
      <w:r>
        <w:rPr/>
        <w:t>В рамках данного Отчета номинальные держатели не рассматриваются в качестве собственников акций отчитывающегося банка. Переоформление ценных бумаг на номинального держателя не является сменой прав собственности и не отражается в Отчете.</w:t>
      </w:r>
    </w:p>
    <w:p>
      <w:pPr>
        <w:pStyle w:val="MainText"/>
        <w:rPr/>
      </w:pPr>
      <w:r>
        <w:rPr/>
        <w:t>Если изменения оценки участия в капитале как нерезидентов (в части иностранных активов), так и отчитывающегося банка (в части иностранных пассивов) произошли не за счет операций с акциями, паями, которые совершаются на первичном или вторичном рынке, и не за счет капитализации нераспределенной прибыли путем дополнительного выпуска акций, такие изменения отражаются в графе 3 разделов 1 и 3 как изменения участия в капитале в результате переоценки.</w:t>
      </w:r>
    </w:p>
    <w:p>
      <w:pPr>
        <w:pStyle w:val="Primer1"/>
        <w:ind w:firstLine="567" w:start="0" w:end="0"/>
        <w:rPr/>
      </w:pPr>
      <w:r>
        <w:rPr/>
        <w:t>Пример. Обыкновенные акции отчитывающегося банка номиналом 100 тыс. рублей приобретаются нерезидентом при первичном размещении за 120 тыс. рублей. Официальный курс доллара США по отношению к рублю, установленный Банком России, на дату приобретения составил 25 рублей за один доллар США, то есть эквивалент в долларах США стоимости приобретения акций составил 120 / 25 = 4,8 тыс. долларов США. Официальный курс доллара США по отношению к рублю, установленный Банком России, не изменился до конца отчетного периода. Эквивалент в долларах США участия нерезидентов в капитале отчитывающегося банка по состоянию на конец отчетного периода, рассчитанный в соответствии с настоящим Порядком, составил 5,0 тыс. долларов США.</w:t>
      </w:r>
    </w:p>
    <w:p>
      <w:pPr>
        <w:pStyle w:val="Primer2"/>
        <w:keepNext w:val="true"/>
        <w:spacing w:before="0" w:after="60"/>
        <w:ind w:firstLine="284" w:end="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1П8</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Участие (акции, паи) нерезидентов в капитале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1П8.1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4,8</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0,2</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Podzagolovok401"/>
        <w:rPr>
          <w:rFonts w:ascii="Arial" w:hAnsi="Arial" w:cs="Arial"/>
        </w:rPr>
      </w:pPr>
      <w:r>
        <w:rPr>
          <w:rFonts w:cs="Arial" w:ascii="Arial" w:hAnsi="Arial"/>
        </w:rPr>
        <w:t>II.9.13. Недвижимое имущество филиалов и представительств на территориях иностранных государств</w:t>
      </w:r>
    </w:p>
    <w:p>
      <w:pPr>
        <w:pStyle w:val="MainText"/>
        <w:rPr/>
      </w:pPr>
      <w:r>
        <w:rPr/>
        <w:t>Включаются приобретение и долгосрочная аренда зданий, сооружений, земли и другого недвижимого имущества на территориях иностранных государств для обеспечения деятельности филиалов и представительств (не являющихся самостоятельными юридическими лицами) отчитывающегося банка. Указанные активы отражаются по строке 1А10 раздела 1.</w:t>
      </w:r>
    </w:p>
    <w:p>
      <w:pPr>
        <w:pStyle w:val="MainTextPodzagolovok401"/>
        <w:rPr>
          <w:rFonts w:ascii="Arial" w:hAnsi="Arial" w:cs="Arial"/>
        </w:rPr>
      </w:pPr>
      <w:r>
        <w:rPr>
          <w:rFonts w:cs="Arial" w:ascii="Arial" w:hAnsi="Arial"/>
        </w:rPr>
        <w:t>II.9.14. Просроченная задолженность</w:t>
      </w:r>
    </w:p>
    <w:p>
      <w:pPr>
        <w:pStyle w:val="MainText"/>
        <w:rPr/>
      </w:pPr>
      <w:r>
        <w:rPr/>
        <w:t>Включаются обязательства, которые не были погашены в срок, предусмотренный первоначальным соглашением, и которые не переоформлены в новую задолженность (то есть задолженность с новыми условиями погашения).</w:t>
      </w:r>
    </w:p>
    <w:p>
      <w:pPr>
        <w:pStyle w:val="MainText"/>
        <w:rPr/>
      </w:pPr>
      <w:r>
        <w:rPr/>
        <w:t>Кроме просроченной задолженности по ссудам прочая просроченная задолженность включает:</w:t>
      </w:r>
    </w:p>
    <w:p>
      <w:pPr>
        <w:pStyle w:val="MainText"/>
        <w:rPr/>
      </w:pPr>
      <w:r>
        <w:rPr/>
        <w:t>просроченную задолженность по векселям и депозитам;</w:t>
      </w:r>
    </w:p>
    <w:p>
      <w:pPr>
        <w:pStyle w:val="MainText"/>
        <w:rPr/>
      </w:pPr>
      <w:r>
        <w:rPr/>
        <w:t>суммы, не взысканные с нерезидентов по их гарантиям (активы отчитывающегося банка), а также суммы, не перечисленные нерезидентам по гарантиям, выданным отчитывающимся банком (обязательства отчитывающегося банка), например неисполненные непокрытые безотзывные аккредитивы;</w:t>
      </w:r>
    </w:p>
    <w:p>
      <w:pPr>
        <w:pStyle w:val="MainText"/>
        <w:rPr/>
      </w:pPr>
      <w:r>
        <w:rPr/>
        <w:t>остатки на счетах, расчеты по которым приостановлены из-за неплатежеспособности дебитора;</w:t>
      </w:r>
    </w:p>
    <w:p>
      <w:pPr>
        <w:pStyle w:val="MainText"/>
        <w:rPr/>
      </w:pPr>
      <w:r>
        <w:rPr/>
        <w:t>неисполненные обязательства перед нерезидентами по срочным сделкам, а также неисполненные обязательства нерезидентов перед отчитывающимся банком по срочным сделкам;</w:t>
      </w:r>
    </w:p>
    <w:p>
      <w:pPr>
        <w:pStyle w:val="MainText"/>
        <w:rPr/>
      </w:pPr>
      <w:r>
        <w:rPr/>
        <w:t>прочую просроченную задолженность.</w:t>
      </w:r>
    </w:p>
    <w:p>
      <w:pPr>
        <w:pStyle w:val="MainText"/>
        <w:rPr/>
      </w:pPr>
      <w:r>
        <w:rPr/>
        <w:t>Также включаются обязательства, не выплаченные в срок по причине введения органами государственного управления одностороннего моратория на погашение внешнего долга (если кредитор не дал согласия на их отсрочку), даже если такие обязательства не отражаются на счетах для учета просроченной задолженности.</w:t>
      </w:r>
    </w:p>
    <w:p>
      <w:pPr>
        <w:pStyle w:val="MainText"/>
        <w:rPr/>
      </w:pPr>
      <w:r>
        <w:rPr/>
        <w:t>Просроченные обязательства по беспоставочным (индексным) форвардным операциям оцениваются в размере чистой суммы непоставленных активов или денежных средств, но не в размере номинальной суммы обязательств, на основе которой была определена чистая сумма непоставленных активов.</w:t>
      </w:r>
    </w:p>
    <w:p>
      <w:pPr>
        <w:pStyle w:val="MainText"/>
        <w:rPr/>
      </w:pPr>
      <w:r>
        <w:rPr/>
        <w:t>В то же время просроченные обязательства по поставочным форвардным операциям оцениваются в размере номинальной суммы обязательств.</w:t>
      </w:r>
    </w:p>
    <w:p>
      <w:pPr>
        <w:pStyle w:val="MainText"/>
        <w:rPr/>
      </w:pPr>
      <w:r>
        <w:rPr/>
        <w:t>Если поставочный форвардный контракт не был исполнен по вине отчитывающегося банка, встречное требование к нерезиденту по этому форвардному контракту не является просроченной задолженностью нерезидента, поскольку оно не было выплачено в срок не по вине последнего и должно отражаться по строке для учета прочих требований к нерезидентам. Аналогично если поставочный форвардный контракт не был исполнен по вине нерезидента, то встречное обязательство перед нерезидентом по этому форвардному контракту не является просроченной задолженностью отчитывающегося банка и должно отражаться по строке для учета прочих обязательств перед нерезидентами.</w:t>
      </w:r>
    </w:p>
    <w:p>
      <w:pPr>
        <w:pStyle w:val="Primer1"/>
        <w:ind w:firstLine="567" w:start="0" w:end="0"/>
        <w:rPr/>
      </w:pPr>
      <w:r>
        <w:rPr/>
        <w:t>Пример 1. В течение отчетного периода было просрочено погашение основного долга в сумме 10 тыс. долларов США и проценты в сумме 1 тыс. долларов США по долгосрочной ссуде, привлеченной от банка-нерезидента, а также исполнение поставочного форвардного контракта на продажу 20 тыс. долларов США за 580 тыс. российских рублей и индексного форвардного контракта, по которому нерезиденту должно было быть выплачено 2 тыс. долларов США. Официальный курс доллара США по отношению к рублю, устанавливавшийся Банком России, в течение всего отчетного периода был равен 30 рублям за один доллар США.</w:t>
      </w:r>
    </w:p>
    <w:p>
      <w:pPr>
        <w:pStyle w:val="Primer2"/>
        <w:keepNext w:val="true"/>
        <w:spacing w:before="0" w:after="60"/>
        <w:ind w:firstLine="284" w:end="0"/>
        <w:jc w:val="end"/>
        <w:rPr/>
      </w:pPr>
      <w:r>
        <w:rPr/>
        <w:t>тыс. долларов США</w:t>
      </w:r>
    </w:p>
    <w:tbl>
      <w:tblPr>
        <w:tblW w:w="10988" w:type="dxa"/>
        <w:jc w:val="center"/>
        <w:tblInd w:w="0" w:type="dxa"/>
        <w:tblLayout w:type="fixed"/>
        <w:tblCellMar>
          <w:top w:w="0" w:type="dxa"/>
          <w:start w:w="28" w:type="dxa"/>
          <w:bottom w:w="0" w:type="dxa"/>
          <w:end w:w="28" w:type="dxa"/>
        </w:tblCellMar>
      </w:tblPr>
      <w:tblGrid>
        <w:gridCol w:w="673"/>
        <w:gridCol w:w="3120"/>
        <w:gridCol w:w="850"/>
        <w:gridCol w:w="1561"/>
        <w:gridCol w:w="1196"/>
        <w:gridCol w:w="1196"/>
        <w:gridCol w:w="1196"/>
        <w:gridCol w:w="1196"/>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12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8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12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8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w:t>
            </w:r>
          </w:p>
        </w:tc>
        <w:tc>
          <w:tcPr>
            <w:tcW w:w="10315"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1П5.2</w:t>
            </w:r>
          </w:p>
        </w:tc>
        <w:tc>
          <w:tcPr>
            <w:tcW w:w="31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8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w:t>
            </w:r>
            <w:r>
              <w:rPr>
                <w:sz w:val="16"/>
              </w:rPr>
              <w:t>10,0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1П9</w:t>
            </w:r>
          </w:p>
        </w:tc>
        <w:tc>
          <w:tcPr>
            <w:tcW w:w="10315"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Просроченная задолженность перед нерезидентами (обязательства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1П9.1</w:t>
            </w:r>
          </w:p>
        </w:tc>
        <w:tc>
          <w:tcPr>
            <w:tcW w:w="31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Не погашенный в срок основной долг</w:t>
            </w:r>
          </w:p>
        </w:tc>
        <w:tc>
          <w:tcPr>
            <w:tcW w:w="8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32,0 (=10+20+2)</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32,0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1П9.2</w:t>
            </w:r>
          </w:p>
        </w:tc>
        <w:tc>
          <w:tcPr>
            <w:tcW w:w="312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Не погашенные в срок проценты</w:t>
            </w:r>
          </w:p>
        </w:tc>
        <w:tc>
          <w:tcPr>
            <w:tcW w:w="8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56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c>
          <w:tcPr>
            <w:tcW w:w="11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1А50</w:t>
            </w:r>
          </w:p>
        </w:tc>
        <w:tc>
          <w:tcPr>
            <w:tcW w:w="10315"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требования к 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1А50.1</w:t>
            </w:r>
          </w:p>
        </w:tc>
        <w:tc>
          <w:tcPr>
            <w:tcW w:w="312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85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5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19,3 (580/30)</w:t>
            </w:r>
          </w:p>
        </w:tc>
        <w:tc>
          <w:tcPr>
            <w:tcW w:w="119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9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19,3</w:t>
            </w:r>
          </w:p>
        </w:tc>
        <w:tc>
          <w:tcPr>
            <w:tcW w:w="1196"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
        <w:spacing w:before="120" w:after="0"/>
        <w:rPr/>
      </w:pPr>
      <w:r>
        <w:rPr/>
        <w:t>Если начисленные в отчетном периоде проценты по непросроченной задолженности были в этом же периоде просрочены, они вначале должны быть показаны в графе 6 разделов 1, 3 и 4 как начисленные по той строке, по которой была отражена эта задолженность, а затем — как увеличение просроченной задолженности в графе 2 разделов 1 и 3 по строке для учета задолженности по просроченным процентам.</w:t>
      </w:r>
    </w:p>
    <w:p>
      <w:pPr>
        <w:pStyle w:val="Primer1"/>
        <w:ind w:firstLine="567" w:start="0" w:end="0"/>
        <w:rPr/>
      </w:pPr>
      <w:r>
        <w:rPr/>
        <w:t>Пример 2. В течение отчетного периода было просрочено погашение процентов в сумме 1 тыс. долларов США по долгосрочной ссуде в 10 тыс. долларов США, привлеченной от банка-нерезидента, которая должна быть погашена только в следующем отчетном периоде.</w:t>
      </w:r>
    </w:p>
    <w:p>
      <w:pPr>
        <w:pStyle w:val="Primer2"/>
        <w:keepNext w:val="true"/>
        <w:spacing w:before="60" w:after="60"/>
        <w:ind w:firstLine="284" w:end="0"/>
        <w:jc w:val="end"/>
        <w:rPr/>
      </w:pPr>
      <w:r>
        <w:rPr/>
        <w:t>тыс. долларов США</w:t>
      </w:r>
    </w:p>
    <w:tbl>
      <w:tblPr>
        <w:tblW w:w="10986" w:type="dxa"/>
        <w:jc w:val="center"/>
        <w:tblInd w:w="0" w:type="dxa"/>
        <w:tblLayout w:type="fixed"/>
        <w:tblCellMar>
          <w:top w:w="0" w:type="dxa"/>
          <w:start w:w="28" w:type="dxa"/>
          <w:bottom w:w="0" w:type="dxa"/>
          <w:end w:w="28" w:type="dxa"/>
        </w:tblCellMar>
      </w:tblPr>
      <w:tblGrid>
        <w:gridCol w:w="673"/>
        <w:gridCol w:w="3119"/>
        <w:gridCol w:w="1199"/>
        <w:gridCol w:w="1199"/>
        <w:gridCol w:w="1199"/>
        <w:gridCol w:w="1199"/>
        <w:gridCol w:w="1199"/>
        <w:gridCol w:w="1199"/>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11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операций</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пассивов в результате переоценки (гр. 5 – гр. 1 – гр. 2 – гр. 4)</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пассивов</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11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Ссуды, привлеченные от нерезидентов (непросроченные)</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1П5.2</w:t>
            </w:r>
          </w:p>
        </w:tc>
        <w:tc>
          <w:tcPr>
            <w:tcW w:w="311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w:t>
            </w:r>
          </w:p>
        </w:tc>
        <w:tc>
          <w:tcPr>
            <w:tcW w:w="119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1П9</w:t>
            </w:r>
          </w:p>
        </w:tc>
        <w:tc>
          <w:tcPr>
            <w:tcW w:w="10313"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Просроченная задолженность перед нерезидентами (обязательства отчитывающегося банка)</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1П9.2</w:t>
            </w:r>
          </w:p>
        </w:tc>
        <w:tc>
          <w:tcPr>
            <w:tcW w:w="311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119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9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9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9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9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w:t>
            </w:r>
          </w:p>
        </w:tc>
        <w:tc>
          <w:tcPr>
            <w:tcW w:w="119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Podzagolovok401"/>
        <w:rPr>
          <w:rFonts w:ascii="Arial" w:hAnsi="Arial" w:cs="Arial"/>
        </w:rPr>
      </w:pPr>
      <w:r>
        <w:rPr>
          <w:rFonts w:cs="Arial" w:ascii="Arial" w:hAnsi="Arial"/>
        </w:rPr>
        <w:t>II.9.15. Прочие требования и обязательства</w:t>
      </w:r>
    </w:p>
    <w:p>
      <w:pPr>
        <w:pStyle w:val="MainText"/>
        <w:rPr/>
      </w:pPr>
      <w:r>
        <w:rPr/>
        <w:t>Включаются непросроченные требования и обязательства, возникающие в процессе расчетов, включая остатки по счетам незавершенных расчетов (с момента идентификации клиента по соответствующим суммам). Кроме того, непросроченные требования и обязательства по конверсионным, хозяйственным операциям, непросроченные обязательства с истекшим сроком обращения (такие обязательства считаются краткосрочными), требования и обязательства по непросроченным невыплаченным процентам, если последние не отражены по другим строкам, и другие.</w:t>
      </w:r>
    </w:p>
    <w:p>
      <w:pPr>
        <w:pStyle w:val="MainText"/>
        <w:rPr/>
      </w:pPr>
      <w:r>
        <w:rPr/>
        <w:t>По строке для обязательств также включаются платежные документы, выпущенные отчитывающимся банком и приобретенные нерезидентами.</w:t>
      </w:r>
    </w:p>
    <w:p>
      <w:pPr>
        <w:pStyle w:val="MainText"/>
        <w:spacing w:before="0" w:after="120"/>
        <w:rPr/>
      </w:pPr>
      <w:r>
        <w:rPr/>
        <w:t>При проведении денежных переводов средства, внесенные отправителем — физическим лицом — нерезидентом, при заполнении Отчета следует рассматривать как иностранные обязательства отчитывающегося банка перед перевододателем. При этом порядок заполнения Отчета по стране и по группе стран определяется исходя из гражданства данного физического лица.</w:t>
      </w:r>
    </w:p>
    <w:p>
      <w:pPr>
        <w:pStyle w:val="SnoskaLineTab"/>
        <w:pBdr>
          <w:top w:val="single" w:sz="6" w:space="1" w:color="000000"/>
        </w:pBdr>
        <w:rPr/>
      </w:pPr>
      <w:r>
        <w:rPr>
          <w:vertAlign w:val="superscript"/>
        </w:rPr>
        <w:t>1</w:t>
      </w:r>
      <w:r>
        <w:rPr/>
        <w:t> В данном случае метод начисления доходов не применялся.</w:t>
      </w:r>
    </w:p>
    <w:p>
      <w:pPr>
        <w:pStyle w:val="Snoska"/>
        <w:rPr/>
      </w:pPr>
      <w:r>
        <w:rPr>
          <w:vertAlign w:val="superscript"/>
        </w:rPr>
        <w:t>2</w:t>
      </w:r>
      <w:r>
        <w:rPr/>
        <w:t> 0,60 — официальный курс доллара США по отношению к швейцарскому франку, который фактически имел место при совершении операции.</w:t>
      </w:r>
    </w:p>
    <w:p>
      <w:pPr>
        <w:pStyle w:val="SnoskaLineTab"/>
        <w:pBdr>
          <w:top w:val="nil"/>
        </w:pBdr>
        <w:rPr/>
      </w:pPr>
      <w:r>
        <w:rPr>
          <w:vertAlign w:val="superscript"/>
        </w:rPr>
        <w:t>3</w:t>
      </w:r>
      <w:r>
        <w:rPr/>
        <w:t> Данная сумма является результатом отражения по кредиту корреспондентского счета суммы в 15 тыс. долларов США и отражения по дебету корреспондентского счета суммы 10 тыс. долларов США в корреспонденции со счетом по учету кредитов “овердрафт”.</w:t>
      </w:r>
      <w:r>
        <w:br w:type="page"/>
      </w:r>
    </w:p>
    <w:p>
      <w:pPr>
        <w:pStyle w:val="MZagolovokCenter"/>
        <w:spacing w:before="227" w:after="170"/>
        <w:rPr>
          <w:b w:val="false"/>
        </w:rPr>
      </w:pPr>
      <w:r>
        <w:rPr>
          <w:b w:val="false"/>
          <w:color w:val="000000"/>
        </w:rPr>
        <w:t>Раздел III. Характеристика раздела 2 Отчета</w:t>
      </w:r>
    </w:p>
    <w:p>
      <w:pPr>
        <w:pStyle w:val="MainTextBezOtstupa"/>
        <w:rPr/>
      </w:pPr>
      <w:r>
        <w:rPr/>
        <w:t>III.1. В разделе 2 отражаются отдельные иностранные активы и обязательства отчитывающегося банка в разбивке по секторам кредиторов и дебиторов по состоянию на начало и конец отчетного периода. Эти данные представляют собой расшифровку соответствующих данных из граф 1 и 5 раздела 1 Отчета. Полное соответствие между данными разделов 1 и 2 Отчета приведено в пункте IX.2 настоящего Порядка.</w:t>
      </w:r>
    </w:p>
    <w:p>
      <w:pPr>
        <w:pStyle w:val="MZagolovokCenter"/>
        <w:spacing w:before="227" w:after="0"/>
        <w:rPr>
          <w:b w:val="false"/>
        </w:rPr>
      </w:pPr>
      <w:r>
        <w:rPr>
          <w:b w:val="false"/>
          <w:color w:val="000000"/>
        </w:rPr>
        <w:t>Раздел IV. Характеристика и порядок заполнения раздела 3 Отчета</w:t>
      </w:r>
    </w:p>
    <w:p>
      <w:pPr>
        <w:pStyle w:val="MainTextPodzagolovok401"/>
        <w:keepLines w:val="false"/>
        <w:spacing w:before="170" w:after="0"/>
        <w:rPr>
          <w:rFonts w:ascii="Arial" w:hAnsi="Arial" w:cs="Arial"/>
        </w:rPr>
      </w:pPr>
      <w:r>
        <w:rPr>
          <w:rFonts w:cs="Arial" w:ascii="Arial" w:hAnsi="Arial"/>
        </w:rPr>
        <w:t>IV.1. Общая характеристика раздела 3</w:t>
      </w:r>
    </w:p>
    <w:p>
      <w:pPr>
        <w:pStyle w:val="MainText"/>
        <w:rPr/>
      </w:pPr>
      <w:r>
        <w:rPr/>
        <w:t>В разделе 3 отражаются активы и обязательства, составляющие прямые иностранные инвестиции, по состоянию на начало и конец отчетного периода и их движение в течение этого периода.</w:t>
      </w:r>
    </w:p>
    <w:p>
      <w:pPr>
        <w:pStyle w:val="MainTextPodzagolovok401"/>
        <w:rPr>
          <w:rFonts w:ascii="Arial" w:hAnsi="Arial" w:cs="Arial"/>
        </w:rPr>
      </w:pPr>
      <w:r>
        <w:rPr>
          <w:rFonts w:cs="Arial" w:ascii="Arial" w:hAnsi="Arial"/>
        </w:rPr>
        <w:t>IV.2. Прямые инвестиции</w:t>
      </w:r>
    </w:p>
    <w:p>
      <w:pPr>
        <w:pStyle w:val="MainText"/>
        <w:rPr/>
      </w:pPr>
      <w:r>
        <w:rPr/>
        <w:t>Прямые иностранные инвестиции отчитывающегося банка представляют собой сумму участия в капитале нерезидентов и требований к ним, при условии что указанное участие обеспечивает не менее 10 процентов голосов в управлении капиталом. Аналогичным образом рассматриваются прямые иностранные инвестиции в отчитывающийся банк.</w:t>
      </w:r>
    </w:p>
    <w:p>
      <w:pPr>
        <w:pStyle w:val="MainText"/>
        <w:rPr/>
      </w:pPr>
      <w:r>
        <w:rPr/>
        <w:t>Все активы и обязательства, которые были отражены в разделе 3, должны быть также отражены по соответствующим строкам раздела 1 Отчета. Взаимосвязь между показателями разделов 1 и 3 приведена в пункте IX.4 настоящего Порядка.</w:t>
      </w:r>
    </w:p>
    <w:p>
      <w:pPr>
        <w:pStyle w:val="MainText"/>
        <w:rPr/>
      </w:pPr>
      <w:r>
        <w:rPr/>
        <w:t>В разделе 3 отражаются отдельные активы из раздела 1 Отчета, которые представляли собой требования к нерезидентам, в капитале которых по состоянию на начало и (или) конец отчетного периода участие отчитывающегося банка обеспечивало ему не менее 10 процентов голосов в управлении. Аналогично отражаются только те обязательства из раздела 1 Отчета, которые представляли собой обязательства по отношению к нерезидентам, участие каждого из которых по состоянию на начало и (или) конец отчетного периода в капитале отчитывающегося банка обеспечивало ему не менее 10 процентов голосов в управлении.</w:t>
      </w:r>
    </w:p>
    <w:p>
      <w:pPr>
        <w:pStyle w:val="MainTextPodzagolovok401"/>
        <w:rPr>
          <w:rFonts w:ascii="Arial" w:hAnsi="Arial" w:cs="Arial"/>
        </w:rPr>
      </w:pPr>
      <w:r>
        <w:rPr>
          <w:rFonts w:cs="Arial" w:ascii="Arial" w:hAnsi="Arial"/>
        </w:rPr>
        <w:t>IV.3. Голосующее и неголосующее участие в капитале</w:t>
      </w:r>
    </w:p>
    <w:p>
      <w:pPr>
        <w:pStyle w:val="MainText"/>
        <w:rPr/>
      </w:pPr>
      <w:r>
        <w:rPr/>
        <w:t>Голосующим участием в капитале является, как правило, участие в форме обыкновенных акций и в некоторых случаях — участие в форме привилегированных акций. За некоторыми исключениями неголосующим участием в капитале является участие в форме привилегированных акций.</w:t>
      </w:r>
    </w:p>
    <w:p>
      <w:pPr>
        <w:pStyle w:val="MainTextPodzagolovok401"/>
        <w:rPr>
          <w:rFonts w:ascii="Arial" w:hAnsi="Arial" w:cs="Arial"/>
        </w:rPr>
      </w:pPr>
      <w:r>
        <w:rPr>
          <w:rFonts w:cs="Arial" w:ascii="Arial" w:hAnsi="Arial"/>
        </w:rPr>
        <w:t>IV.4. Общие правила заполнения раздела 3</w:t>
      </w:r>
    </w:p>
    <w:p>
      <w:pPr>
        <w:pStyle w:val="MainText"/>
        <w:rPr/>
      </w:pPr>
      <w:r>
        <w:rPr/>
        <w:t>Структура и все общие принципы, касающиеся заполнения раздела 3 (порядок пересчета остатков и оборотов в доллары США, правила отражения участия в капитале и других финансовых инструментов), полностью совпадают со структурой и общими принципами заполнения раздела 1 Отчета. Как и в разделе 1, по каждой строке раздела 3 должно выполняться соотношение: графа 1 + графа 2 + графа 3 + графа 4 = графа 5.</w:t>
      </w:r>
    </w:p>
    <w:p>
      <w:pPr>
        <w:pStyle w:val="Primer1"/>
        <w:ind w:firstLine="567" w:start="0" w:end="0"/>
        <w:rPr/>
      </w:pPr>
      <w:r>
        <w:rPr/>
        <w:t>Пример. На начало отчетного периода отчитывающийся банк владел 11 процентами обыкновенных акций банка-нерезидента стоимостью 120 тыс. долларов США и 3 процентами привилегированных акций стоимостью 30 тыс. долларов США. Кроме того, на начало отчетного периода отчитывающийся банк владел 9 процентами обыкновенных акций фирмы-нерезидента стоимостью 50 тыс. долларов США и 3 процентами привилегированных акций стоимостью 15 тыс. долларов США.</w:t>
      </w:r>
    </w:p>
    <w:p>
      <w:pPr>
        <w:pStyle w:val="Primer2"/>
        <w:keepNext w:val="true"/>
        <w:spacing w:before="0" w:after="60"/>
        <w:ind w:firstLine="567" w:start="0" w:end="0"/>
        <w:rPr/>
      </w:pPr>
      <w:r>
        <w:rPr/>
        <w:t>Участие в капитале юридических лиц — нерезидентов не является прямыми иностранными инвестициями, так как отчитывающийся банк владел только 9 процентами голосов в их управлении, хотя, возможно, с учетом привилегированных акций доля отчитывающегося банка в капитале юридических лиц — нерезидентов была больше 10 процентов.</w:t>
      </w:r>
    </w:p>
    <w:p>
      <w:pPr>
        <w:pStyle w:val="Primer2"/>
        <w:keepNext w:val="true"/>
        <w:spacing w:before="0" w:after="6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1</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в капитале 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170,0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45,0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банкам-нерезидентам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в капитале банков-нерезидентов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3А1.1.2</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прочим юридическим лицам — 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в капитале прочих юридических лиц — 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bl>
    <w:p>
      <w:pPr>
        <w:pStyle w:val="MainTextPodzagolovok401"/>
        <w:rPr>
          <w:rFonts w:ascii="Arial" w:hAnsi="Arial" w:cs="Arial"/>
        </w:rPr>
      </w:pPr>
      <w:r>
        <w:rPr>
          <w:rFonts w:cs="Arial" w:ascii="Arial" w:hAnsi="Arial"/>
        </w:rPr>
        <w:t>IV.5. Особенности отражения прочих изменений активов и обязательств в разделе 3</w:t>
      </w:r>
    </w:p>
    <w:p>
      <w:pPr>
        <w:pStyle w:val="MainText"/>
        <w:rPr/>
      </w:pPr>
      <w:r>
        <w:rPr/>
        <w:t>При отражении в графе 4 раздела 3 прочих изменений в объеме активов (обязательств) существуют некоторые особенности. В частности, в данной графе отражаются не только те изменения, которые указаны в порядке заполнения граф раздела 1 Отчета, но и изменения, связанные с ростом прямых инвестиций в результате изменения количества голосов с величины меньшей, чем 10 процентов, до величины большей, чем 10 процентов, и наоборот.</w:t>
      </w:r>
    </w:p>
    <w:p>
      <w:pPr>
        <w:pStyle w:val="MainText"/>
        <w:rPr/>
      </w:pPr>
      <w:r>
        <w:rPr/>
        <w:t>Приобретение участия, которое приводит к увеличению прав голосования с величины меньшей, чем 10 процентов, до величины большей, чем 10 процентов, отражается следующим образом. По строке для учета участия в капитале в графе 4 раздела 3 приводится рост участия в результате изменения его классификации (переход в категорию прямых инвестиций), в графе 2 по этой же строке показывается сумма приобретения.</w:t>
      </w:r>
    </w:p>
    <w:p>
      <w:pPr>
        <w:pStyle w:val="Primer1"/>
        <w:ind w:firstLine="567" w:start="0" w:end="0"/>
        <w:rPr/>
      </w:pPr>
      <w:r>
        <w:rPr/>
        <w:t>Пример 1. На начало отчетного периода отчитывающийся банк владел 6 процентами голосующих (обыкновенных) акций банка-нерезидента стоимостью 120 тыс. долларов США, в течение отчетного периода отчитывающимся банком были приобретены акции этого нерезидента на сумму 180 тыс. долларов США, что привело к увеличению прав голосования до 15 процентов.</w:t>
      </w:r>
    </w:p>
    <w:p>
      <w:pPr>
        <w:pStyle w:val="Primer2"/>
        <w:keepNext w:val="true"/>
        <w:spacing w:before="0" w:after="6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Раздел 1</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1А.9</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Участие (акции, паи) в капитале 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1А9.1</w:t>
            </w:r>
          </w:p>
        </w:tc>
        <w:tc>
          <w:tcPr>
            <w:tcW w:w="38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180,0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300,0</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0,0</w:t>
            </w:r>
          </w:p>
        </w:tc>
      </w:tr>
      <w:tr>
        <w:trPr>
          <w:cantSplit/>
        </w:trPr>
        <w:tc>
          <w:tcPr>
            <w:tcW w:w="10987" w:type="dxa"/>
            <w:gridSpan w:val="8"/>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Раздел 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3А1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Требования к банкам-нерезидентам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3А.1.1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Участие в капитале банков-нерезидентов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180,0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Primer1"/>
        <w:ind w:firstLine="567" w:start="0" w:end="0"/>
        <w:rPr/>
      </w:pPr>
      <w:r>
        <w:rPr/>
        <w:t>Аналогичным образом отражается рост (снижение) прямых инвестиций в результате изменения доли прав голосования, которое имело место без участия отчитывающегося банка.</w:t>
      </w:r>
    </w:p>
    <w:p>
      <w:pPr>
        <w:pStyle w:val="Primer1"/>
        <w:ind w:firstLine="567" w:start="0" w:end="0"/>
        <w:rPr/>
      </w:pPr>
      <w:r>
        <w:rPr/>
        <w:t>Пример 2. На начало отчетного периода отчитывающийся банк владел 10 процентами голосующих (обыкновенных) акций банка-нерезидента стоимостью 100 тыс. долларов США, в течение отчетного периода в результате дополнительной эмиссии акции этого банка-нерезидента были приобретены третьей стороной. В итоге к концу отчетного периода доля акций отчитывающегося банка снизилась до 9 процентов.</w:t>
      </w:r>
    </w:p>
    <w:p>
      <w:pPr>
        <w:pStyle w:val="Primer2"/>
        <w:keepNext w:val="true"/>
        <w:spacing w:before="0" w:after="60"/>
        <w:jc w:val="end"/>
        <w:rPr/>
      </w:pPr>
      <w:r>
        <w:rPr/>
        <w:t>тыс. долларов США</w:t>
      </w:r>
    </w:p>
    <w:tbl>
      <w:tblPr>
        <w:tblW w:w="10987" w:type="dxa"/>
        <w:jc w:val="center"/>
        <w:tblInd w:w="0" w:type="dxa"/>
        <w:tblLayout w:type="fixed"/>
        <w:tblCellMar>
          <w:top w:w="0" w:type="dxa"/>
          <w:start w:w="28" w:type="dxa"/>
          <w:bottom w:w="0" w:type="dxa"/>
          <w:end w:w="28" w:type="dxa"/>
        </w:tblCellMar>
      </w:tblPr>
      <w:tblGrid>
        <w:gridCol w:w="673"/>
        <w:gridCol w:w="3828"/>
        <w:gridCol w:w="1081"/>
        <w:gridCol w:w="1081"/>
        <w:gridCol w:w="1081"/>
        <w:gridCol w:w="1081"/>
        <w:gridCol w:w="1081"/>
        <w:gridCol w:w="1081"/>
      </w:tblGrid>
      <w:tr>
        <w:trPr>
          <w:tblHeader w:val="true"/>
          <w:cantSplit/>
        </w:trPr>
        <w:tc>
          <w:tcPr>
            <w:tcW w:w="67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8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начало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операций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активов в результате переоценки (гр. 5 – гр. 1 – гр. 2 – гр. 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 изменения активов</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на конец отчетного периода</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Проценты и доходы по участию в капитале, начисленные в отчетном периоде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82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08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 разделе 1</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в капитале 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 разделе 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банкам-нерезидентам</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w:t>
            </w:r>
          </w:p>
        </w:tc>
        <w:tc>
          <w:tcPr>
            <w:tcW w:w="10314"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в капитале банков-нерезидентов</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3А1.1.1</w:t>
            </w:r>
          </w:p>
        </w:tc>
        <w:tc>
          <w:tcPr>
            <w:tcW w:w="382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100,0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08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bl>
    <w:p>
      <w:pPr>
        <w:pStyle w:val="MainTextPodzagolovok401"/>
        <w:rPr>
          <w:rFonts w:ascii="Arial" w:hAnsi="Arial" w:cs="Arial"/>
        </w:rPr>
      </w:pPr>
      <w:r>
        <w:rPr>
          <w:rFonts w:cs="Arial" w:ascii="Arial" w:hAnsi="Arial"/>
        </w:rPr>
        <w:t>IV.6. Строки раздела 3 для учета долговых финансовых инструментов</w:t>
      </w:r>
    </w:p>
    <w:p>
      <w:pPr>
        <w:pStyle w:val="MainText"/>
        <w:rPr/>
      </w:pPr>
      <w:r>
        <w:rPr/>
        <w:t>В строках подраздела 3А раздела 3 для учета долговых финансовых инструментов (строки 3А1.2, 3А2.2, 3А2.3, 3А2.4, 3А2.5, 3А2.10, 3А2.11) отражаются требования к нерезидентам, участие отчитывающегося банка в капитале которых по состоянию на начало и (или) конец отчетного периода обеспечивало ему не менее 10 процентов голосов в управлении. Примером являются ссуды не являющейся банком дочерней организации нерезиденту и другие требования к нему, а также субординированные кредиты (бессрочные ссуды) дочернему банку-нерезиденту.</w:t>
      </w:r>
    </w:p>
    <w:p>
      <w:pPr>
        <w:pStyle w:val="MainText"/>
        <w:rPr/>
      </w:pPr>
      <w:r>
        <w:rPr/>
        <w:t>В строках подраздела 3П раздела 3 для учета долговых финансовых инструментов (строки 3П1.2, 3П2.2) отражаются обязательства перед нерезидентами, участие каждого из которых по состоянию на начало и (или) конец отчетного периода в капитале отчитывающегося банка обеспечивало ему не менее 10 процентов голосов в управлении. Примером являются субординированные кредиты (бессрочные ссуды), привлеченные от головного банка — нерезидента или материнской иностранной организации.</w:t>
      </w:r>
    </w:p>
    <w:p>
      <w:pPr>
        <w:pStyle w:val="MainText"/>
        <w:rPr/>
      </w:pPr>
      <w:r>
        <w:rPr/>
        <w:t>В графах 1, 5, 6 указанных строк для учета долговых финансовых инструментов в разделе 3 ненулевое значение может быть отражено только в том случае, если участие нерезидентов в капитале существует (то есть нерезидентам принадлежит часть уставного капитала), в том числе если стоимостная оценка участия нерезидентов в капитале в соответствии с порядком, изложенным в подпункте II.9.12 пункта II.9 настоящего Порядка, равна нулю.</w:t>
      </w:r>
    </w:p>
    <w:p>
      <w:pPr>
        <w:pStyle w:val="MainText"/>
        <w:rPr/>
      </w:pPr>
      <w:r>
        <w:rPr/>
        <w:t>Некоторые показатели, используемые в разделе 3.</w:t>
      </w:r>
    </w:p>
    <w:p>
      <w:pPr>
        <w:pStyle w:val="MainText"/>
        <w:rPr/>
      </w:pPr>
      <w:r>
        <w:rPr/>
        <w:t>Далее приведены показатели, которые отражаются только в разделе 3. Учет остальных показателей производится в соответствии с подпунктами II.9.8, II.9.10, II.9.11, II.9.11.1, II.9.11.2, II.9.12, II.9.14, II.9.15 пункта II.9 настоящего Порядка.</w:t>
      </w:r>
    </w:p>
    <w:p>
      <w:pPr>
        <w:pStyle w:val="MainTextPodzagolovok401"/>
        <w:rPr>
          <w:rFonts w:ascii="Arial" w:hAnsi="Arial" w:cs="Arial"/>
        </w:rPr>
      </w:pPr>
      <w:r>
        <w:rPr>
          <w:rFonts w:cs="Arial" w:ascii="Arial" w:hAnsi="Arial"/>
        </w:rPr>
        <w:t>IV.7. Субординированные (бессрочные) кредиты</w:t>
      </w:r>
    </w:p>
    <w:p>
      <w:pPr>
        <w:pStyle w:val="MainText"/>
        <w:rPr/>
      </w:pPr>
      <w:r>
        <w:rPr/>
        <w:t>Включаются бессрочные ссуды (то есть ссуды, которые могут быть погашены по желанию дебитора, но не кредитора), предоставленные банку или иностранной организации, в которых кредитор обладал участием в капитале. Как правило, выплаты начисленных процентов по субординированным кредитам осуществляются также по желанию дебитора, но эти выплаты становятся твердым обязательством дебитора при принятии им решения о выплате дивидендов. В разделе 1 они отражаются по строкам для долгосрочных ссуд (1А6.2 и 1П5.2).</w:t>
      </w:r>
    </w:p>
    <w:p>
      <w:pPr>
        <w:pStyle w:val="MainTextPodzagolovok401"/>
        <w:rPr>
          <w:rFonts w:ascii="Arial" w:hAnsi="Arial" w:cs="Arial"/>
        </w:rPr>
      </w:pPr>
      <w:r>
        <w:rPr>
          <w:rFonts w:cs="Arial" w:ascii="Arial" w:hAnsi="Arial"/>
        </w:rPr>
        <w:t>IV.8. Часть нераспределенной прибыли (убытка) отчетного периода, соответствующая доле участия отчитывающегося банка в капитале нерезидентов</w:t>
      </w:r>
    </w:p>
    <w:p>
      <w:pPr>
        <w:pStyle w:val="MainText"/>
        <w:rPr/>
      </w:pPr>
      <w:r>
        <w:rPr/>
        <w:t>Часть нераспределенной прибыли (убытка) отчетного периода, соответствующая доле участия отчитывающегося банка в капитале нерезидентов, обеспечивавшей ему по состоянию на конец отчетного периода не менее чем 10 процентов голосов в управлении.</w:t>
      </w:r>
    </w:p>
    <w:p>
      <w:pPr>
        <w:pStyle w:val="MainText"/>
        <w:rPr/>
      </w:pPr>
      <w:r>
        <w:rPr/>
        <w:t>Нераспределенная прибыль (убыток) нерезидентов представляет собой разницу между доходами и расходами нерезидентов, которые были начислены в отчетном периоде. В расходы включаются налоговые платежи, объявление дивидендов, распределение прибыли, но не включается создание фондов из прибыли. Если имеются данные о расходах и доходах нерезидентов, представляющих собой курсовые разницы, другие виды переоценки активов и обязательств, а также списание активов на убытки, то они в расчет нераспределенной прибыли (убытка) не включаются.</w:t>
      </w:r>
    </w:p>
    <w:p>
      <w:pPr>
        <w:pStyle w:val="MainText"/>
        <w:rPr/>
      </w:pPr>
      <w:r>
        <w:rPr/>
        <w:t>Если в отчетном периоде у одного из нерезидентов, участие отчитывающегося банка в капитале которого обеспечивало ему не менее 10 процентов голосов, разница между доходами и расходами отрицательная (то есть образовался чистый убыток по текущим операциям), то по строке 3А3 показывается чистый убыток с отрицательным значением.</w:t>
      </w:r>
    </w:p>
    <w:p>
      <w:pPr>
        <w:pStyle w:val="MainText"/>
        <w:rPr/>
      </w:pPr>
      <w:r>
        <w:rPr/>
        <w:t>В случае отсутствия данных о нераспределенной прибыли (убытке) нерезидентов за отчетный период они включаются в расчет строки 3А3 за тот период, в который эти данные были получены от нерезидента.</w:t>
      </w:r>
    </w:p>
    <w:p>
      <w:pPr>
        <w:pStyle w:val="Primer1"/>
        <w:ind w:firstLine="567" w:start="0" w:end="0"/>
        <w:rPr/>
      </w:pPr>
      <w:r>
        <w:rPr/>
        <w:t>Пример. За отчетный период доходы иностранного отделения отчитывающегося банка (самостоятельного юридического лица со стопроцентным участием) в долларовом эквиваленте составили 100 тыс. долларов США, расходы — 50 тыс. долларов США. Значение данного показателя должно быть равно 50,0 тыс. долларов США (100 – 50) х 100%).</w:t>
      </w:r>
    </w:p>
    <w:p>
      <w:pPr>
        <w:pStyle w:val="MainTextPodzagolovok401"/>
        <w:rPr>
          <w:rFonts w:ascii="Arial" w:hAnsi="Arial" w:cs="Arial"/>
        </w:rPr>
      </w:pPr>
      <w:r>
        <w:rPr>
          <w:rFonts w:cs="Arial" w:ascii="Arial" w:hAnsi="Arial"/>
        </w:rPr>
        <w:t>IV.9. Часть нераспределенной прибыли (убытка) отчетного периода, соответствующая доле участия нерезидентов в капитале отчитывающегося банка</w:t>
      </w:r>
    </w:p>
    <w:p>
      <w:pPr>
        <w:pStyle w:val="MainText"/>
        <w:rPr/>
      </w:pPr>
      <w:r>
        <w:rPr/>
        <w:t>По данной строке учитывается часть нераспределенной прибыли (убытка) отчетного периода, соответствующая доле участия нерезидентов в капитале отчитывающегося банка, каждый из которых обладал по состоянию на конец отчетного периода не менее чем 10 процентами голосов в управлении.</w:t>
      </w:r>
    </w:p>
    <w:p>
      <w:pPr>
        <w:pStyle w:val="MainText"/>
        <w:rPr/>
      </w:pPr>
      <w:r>
        <w:rPr/>
        <w:t>Нераспределенная прибыль (убыток) отчитывающегося банка представляет собой инвестиционный доход акционеров-нерезидентов, который для целей данного Отчета необходимо рассчитывать с использованием показателей приложения 4 “Отчет о прибылях и убытках” (далее — Отчет о прибылях и убытках) и приложения 9 “Баланс кредитной организации Российской Федерации” (далее — Баланс) к приложению к Положению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зарегистрированному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 (далее — Положение Банка России № 302-П), отчитывающегося банка. Расчет состоит в том, что из неиспользованной прибыли (убытка) отчитывающегося банка за отчетный период исключаются реализованные и нереализованные доходы и расходы, связанные с рыночными и курсовыми переоценками активов и обязательств, прочими изменениями, не являющимися результатом основной деятельности отчитывающегося банка. Неиспользованная прибыль (убыток) показывается за вычетом налоговых выплат и распределенной прибыли (дивидендов).</w:t>
      </w:r>
    </w:p>
    <w:p>
      <w:pPr>
        <w:pStyle w:val="MainText"/>
        <w:rPr/>
      </w:pPr>
      <w:r>
        <w:rPr/>
        <w:t>Нераспределенная прибыль (убыток) отчитывающегося банка в отчетном периоде рассчитывается с учетом следующего.</w:t>
      </w:r>
    </w:p>
    <w:p>
      <w:pPr>
        <w:pStyle w:val="MainTextPodzagolovok401"/>
        <w:spacing w:before="120" w:after="120"/>
        <w:jc w:val="both"/>
        <w:rPr>
          <w:rFonts w:ascii="Arial" w:hAnsi="Arial" w:cs="Arial"/>
        </w:rPr>
      </w:pPr>
      <w:r>
        <w:rPr/>
        <w:t>IV.9.1. Из неиспользованной прибыли (убытка) отчитывающегося банка за отчетный период (на основе данных Отчета о прибылях и убытках) исключаются суммы по статьям доходов и расходов, приведенным в таблице корректировок:</w:t>
      </w:r>
    </w:p>
    <w:tbl>
      <w:tblPr>
        <w:tblW w:w="10989" w:type="dxa"/>
        <w:jc w:val="center"/>
        <w:tblInd w:w="0" w:type="dxa"/>
        <w:tblLayout w:type="fixed"/>
        <w:tblCellMar>
          <w:top w:w="0" w:type="dxa"/>
          <w:start w:w="28" w:type="dxa"/>
          <w:bottom w:w="0" w:type="dxa"/>
          <w:end w:w="28" w:type="dxa"/>
        </w:tblCellMar>
      </w:tblPr>
      <w:tblGrid>
        <w:gridCol w:w="817"/>
        <w:gridCol w:w="9072"/>
        <w:gridCol w:w="1100"/>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90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Наименование корректировки</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Символ</w:t>
            </w:r>
            <w:r>
              <w:rPr>
                <w:vertAlign w:val="superscript"/>
              </w:rPr>
              <w:t>1</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90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11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1017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Корректировки, которые вычитаются из неиспользованной прибыли (символ 33001) или убытка (символ 33002) Отчета о прибылях и убытках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купли-продажи иностранной валюты в наличной и безналичной формах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12201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1017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Положительная переоценка ценных бумаг, средств в иностранной валюте, драгоценных металлов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ценных бумаг</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15101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средств в иностранной валюте</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15102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драгоценных металлов</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15103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1017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применения встроенных производных инструментов, не отделяемых от основного договора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курса ценной бумаги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15201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валютного курса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15202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индекса цен</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15203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других переменных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15204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расчетных (беспоставочных) срочных сделок</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ставки процента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16101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курса ценной бумаги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16102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валютного курса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16103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индекса цен</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16104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1.4.5</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других переменных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16105</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выбытия (реализации) имущества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16302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дооценки основных средств после их уценки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16303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восстановления сумм резервов на возможные потери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16305</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прошлых лет, выявленные в отчетном году</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операциям привлечения и предоставления (размещения) денежных средств</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17201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другим банковским операциям и сделкам</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17202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прочим (хозяйственным) операциям</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17203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1.9</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оприходования излишков материальных ценностей</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17303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1.10</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оприходования излишков денежной наличности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17304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от списания обязательств и невостребованной кредиторской задолженности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17305</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017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Корректировки, которые прибавляются к неиспользованной прибыли (символ 33001) или убытку (символ 33002) Отчета о прибылях и убытках</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купле-продаже иностранной валюты в наличной и безналичной формах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22101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Отрицательная переоценка ценных бумаг, средств в иностранной валюте, драгоценных металлов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ценных бумаг</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24101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средств в иностранной валюте</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24102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драгоценных металлов</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24103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от применения встроенных производных инструментов, не отделяемых от основного договора</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курса ценной бумаги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24201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валютного курса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24202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индекса цен</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24203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других переменных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24204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расчетным (беспоставочным) срочным сделкам</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ставки процента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25101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курса ценной бумаги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25102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валютного курса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25103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индекса цен</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25104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2.4.5</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 изменения других переменных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25105</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Отчисления в резервы на возможные потери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25302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уценке основных средств</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26306</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по выбытию (реализации) имущества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26307</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прошлых лет, выявленные в отчетном году</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операциям привлечения и предоставления (размещения) денежных средств</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27201</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другим банковским операциям и сделкам</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27202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прочим (хозяйственным) операциям</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27203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2.9</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от списания недостач материальных ценностей</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27302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2.10</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от списания недостач денежной наличности, сумм по имеющим признаки подделки денежным знакам</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27303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Расходы от списания активов (требований) и невзысканной дебиторской задолженности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27304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Отчисления на формирование и пополнение резервного фонда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32002</w:t>
            </w:r>
          </w:p>
        </w:tc>
      </w:tr>
    </w:tbl>
    <w:p>
      <w:pPr>
        <w:pStyle w:val="SnoskaLineTab"/>
        <w:pBdr>
          <w:top w:val="single" w:sz="6" w:space="1" w:color="000000"/>
        </w:pBdr>
        <w:spacing w:before="120" w:after="120"/>
        <w:rPr/>
      </w:pPr>
      <w:r>
        <w:rPr>
          <w:vertAlign w:val="superscript"/>
        </w:rPr>
        <w:t>1</w:t>
      </w:r>
      <w:r>
        <w:rPr/>
        <w:t> Используются символы Отчета о прибылях и убытках.</w:t>
      </w:r>
    </w:p>
    <w:p>
      <w:pPr>
        <w:pStyle w:val="MainText"/>
        <w:rPr/>
      </w:pPr>
      <w:r>
        <w:rPr/>
        <w:t>Доходы (расходы) от выбытия (реализации) имущества (символы 16302 и 26307 Отчета о прибылях и убытках) вследствие перехода прав собственности на имущество или его принудительной реализации рассматриваются как переоценка и исключаются из неиспользованной прибыли (убытка) отчитывающегося банка, в то время как доходы (расходы) от выбытия (реализации) имущества вследствие его физического и морального износа или случайного повреждения (списание имущества из-за непригодности) следует учитывать в расчете показателя нераспределенной прибыли (убытка) отчитывающегося банка.</w:t>
      </w:r>
    </w:p>
    <w:p>
      <w:pPr>
        <w:pStyle w:val="MainText"/>
        <w:rPr/>
      </w:pPr>
      <w:r>
        <w:rPr/>
        <w:t>В случае списания невостребованной кредиторской и невзысканной дебиторской задолженности (символы 17305 и 27304 Отчета о прибылях и убытках) прощение долга на основании договора отличается от списания нереальных для взыскания ссуд. Прощение долга на основании договора расценивается как сделка и не исключается при расчете нераспределенной прибыли (убытка) отчитывающегося банка, в то время как списание трактуется как переоценка до нулевой стоимости и исключается из неиспользованной прибыли (убытка) отчитывающегося банка.</w:t>
      </w:r>
    </w:p>
    <w:p>
      <w:pPr>
        <w:pStyle w:val="MainText"/>
        <w:rPr/>
      </w:pPr>
      <w:r>
        <w:rPr/>
        <w:t>При рассмотрении доходов (расходов) прошлых лет, выявленных в отчетном году (символы 17201, 17202, 17203, 27201, 27202, 27203 Отчета о прибылях и убытках), следует руководствоваться общим подходом к расчету нераспределенной прибыли и исключать те доходы (расходы), которые являются результатом курсовой и ценовой переоценки или прочих изменений, не связанных с основной деятельностью банка, как если бы они были отнесены к символам Отчета о прибылях и убытках, указанным в таблице корректировок, приведенных в настоящем подпункте, за исключением символов 17201, 17202, 17203, 27201, 27202, 27203. Все остальные доходы (расходы) прошлых лет, выявленные в отчетном году, необходимо учитывать в расчете нераспределенной прибыли (убытка) отчитывающегося банка.</w:t>
      </w:r>
    </w:p>
    <w:p>
      <w:pPr>
        <w:pStyle w:val="MainText"/>
        <w:rPr/>
      </w:pPr>
      <w:r>
        <w:rPr/>
        <w:t>Корректировки по статьям доходов вычитаются из неиспользованной прибыли (убытка), а по статьям расходов, наоборот, прибавляются.</w:t>
      </w:r>
    </w:p>
    <w:p>
      <w:pPr>
        <w:pStyle w:val="MainText"/>
        <w:rPr/>
      </w:pPr>
      <w:r>
        <w:rPr/>
        <w:t>Поскольку учет доходов и расходов в Отчете о прибылях и убытках ведется нарастающим итогом с начала года, то при расчете финансового результата за любой отчетный период, кроме первого, из финансового результата следует вычитать накопленные суммы за все предыдущие периоды.</w:t>
      </w:r>
    </w:p>
    <w:p>
      <w:pPr>
        <w:pStyle w:val="MainTextPodzagolovok401"/>
        <w:jc w:val="both"/>
        <w:rPr>
          <w:rFonts w:ascii="Arial" w:hAnsi="Arial" w:cs="Arial"/>
        </w:rPr>
      </w:pPr>
      <w:r>
        <w:rPr>
          <w:rFonts w:cs="Arial" w:ascii="Arial" w:hAnsi="Arial"/>
        </w:rPr>
        <w:t>IV.9.2. К результату, полученному в соответствии с подпунктом IV.9.1 настоящего пункта, необходимо добавить начисленные процентные доходы по финансовым активам, получение дохода по которым признается проблемным или неопределенным.</w:t>
      </w:r>
    </w:p>
    <w:p>
      <w:pPr>
        <w:pStyle w:val="MainText"/>
        <w:rPr/>
      </w:pPr>
      <w:r>
        <w:rPr/>
        <w:t>Процентные доходы, признанные проблемными, начисляются в отчетном периоде по кредиту балансового счета № 504 (включая дисконт) и по дебету внебалансового счета № 916.</w:t>
      </w:r>
    </w:p>
    <w:p>
      <w:pPr>
        <w:pStyle w:val="MainText"/>
        <w:rPr/>
      </w:pPr>
      <w:r>
        <w:rPr/>
        <w:t>Списание процентных доходов со счетов №№ 504 и 916 в отчетном периоде следует:</w:t>
      </w:r>
    </w:p>
    <w:p>
      <w:pPr>
        <w:pStyle w:val="MainText"/>
        <w:rPr/>
      </w:pPr>
      <w:r>
        <w:rPr/>
        <w:t>вычитать из финансового результата, если осуществляется последующий перенос на соответствующие статьи Отчета о прибылях и убытках (поскольку процентные доходы уже добавлены выше);</w:t>
      </w:r>
    </w:p>
    <w:p>
      <w:pPr>
        <w:pStyle w:val="MainText"/>
        <w:rPr/>
      </w:pPr>
      <w:r>
        <w:rPr/>
        <w:t>не учитывать в расчете, в случае если процентные доходы не были получены в срок и были списаны без отражения в Отчете о прибылях и убытках.</w:t>
      </w:r>
    </w:p>
    <w:p>
      <w:pPr>
        <w:pStyle w:val="MainTextPodzagolovok401"/>
        <w:jc w:val="both"/>
        <w:rPr>
          <w:rFonts w:ascii="Arial" w:hAnsi="Arial" w:cs="Arial"/>
        </w:rPr>
      </w:pPr>
      <w:r>
        <w:rPr>
          <w:rFonts w:cs="Arial" w:ascii="Arial" w:hAnsi="Arial"/>
        </w:rPr>
        <w:t>IV.9.3. Дивиденды, объявленные в отчетном периоде на основании решения годового собрания акционеров (участников) отчитывающегося банка и отражаемые по дебету балансового счета № 70801, следует вычитать из результата, рассчитанного в соответствии с подпунктами IV.9.1 и IV.9.2 настоящего пункта. В результате данной операции в ряде случаев будет возникать убыток.</w:t>
      </w:r>
    </w:p>
    <w:p>
      <w:pPr>
        <w:pStyle w:val="MainTextPodzagolovok401"/>
        <w:keepLines w:val="false"/>
        <w:jc w:val="both"/>
        <w:rPr>
          <w:rFonts w:ascii="Arial" w:hAnsi="Arial" w:cs="Arial"/>
        </w:rPr>
      </w:pPr>
      <w:r>
        <w:rPr>
          <w:rFonts w:cs="Arial" w:ascii="Arial" w:hAnsi="Arial"/>
        </w:rPr>
        <w:t>IV.9.4. При расчете нераспределенной прибыли (убытка) за отчетный период также следует учитывать корректирующие события, выявленные после 31 декабря предшествующего года и оцениваемые при составлении годового отчета кредитной организации. Такие события необходимо отражать в том периоде, в котором они были выявлены отчитывающимся банком, а не в том периоде, в котором они произошли. Принимаются в расчет те события, которые могут оказать влияние на размер нераспределенной прибыли (убытка) отчитывающегося банка, а именно:</w:t>
      </w:r>
    </w:p>
    <w:p>
      <w:pPr>
        <w:pStyle w:val="MainText"/>
        <w:rPr/>
      </w:pPr>
      <w:r>
        <w:rPr/>
        <w:t>определение после 31 декабря предшествующего года величины выплат кредиторам в связи с вынесением решения по судебному делу, возникшему по обязательствам кредитной организации до этой даты;</w:t>
      </w:r>
    </w:p>
    <w:p>
      <w:pPr>
        <w:pStyle w:val="MainText"/>
        <w:rPr/>
      </w:pPr>
      <w:r>
        <w:rPr/>
        <w:t>получение от страховой организации материалов по уточнению размеров страхового возмещения, по которому по состоянию на 31 декабря предшествующего года велись переговоры;</w:t>
      </w:r>
    </w:p>
    <w:p>
      <w:pPr>
        <w:pStyle w:val="MainText"/>
        <w:rPr/>
      </w:pPr>
      <w:r>
        <w:rPr/>
        <w:t>определение после 31 декабря предшествующего года величины выплат работникам кредитной организации по планам (системам) участия в прибыли или их премирования, если по состоянию на эту дату у кредитной организации имелась обязанность произвести такие выплаты;</w:t>
      </w:r>
    </w:p>
    <w:p>
      <w:pPr>
        <w:pStyle w:val="MainText"/>
        <w:rPr/>
      </w:pPr>
      <w:r>
        <w:rPr/>
        <w:t>определение после 31 декабря предшествующего года величины выплат в связи с принятием до этой даты решения о закрытии структурного подразделения;</w:t>
      </w:r>
    </w:p>
    <w:p>
      <w:pPr>
        <w:pStyle w:val="MainText"/>
        <w:rPr/>
      </w:pPr>
      <w:r>
        <w:rPr/>
        <w:t>начисления (корректировки, изменения) по налогам и сборам за предшествующий год, по которым в соответствии с законодательством Российской Федерации кредитные организации являются налогоплательщиками и плательщиками сборов;</w:t>
      </w:r>
    </w:p>
    <w:p>
      <w:pPr>
        <w:pStyle w:val="MainText"/>
        <w:rPr/>
      </w:pPr>
      <w:r>
        <w:rPr/>
        <w:t>обнаружение после 31 декабря предшествующего года существенной ошибки в бухгалтерском учете, нарушения законодательства Российской Федерации при осуществлении деятельности кредитной организации или фактов мошенничества, которые ведут к искажению бухгалтерской отчетности за предшествующий период и влияют на определение финансового результата;</w:t>
      </w:r>
    </w:p>
    <w:p>
      <w:pPr>
        <w:pStyle w:val="MainText"/>
        <w:rPr/>
      </w:pPr>
      <w:r>
        <w:rPr/>
        <w:t>объявление дивидендов (выплат) по принадлежащим кредитной организации акциям (долям, паям);</w:t>
      </w:r>
    </w:p>
    <w:p>
      <w:pPr>
        <w:pStyle w:val="MainText"/>
        <w:rPr/>
      </w:pPr>
      <w:r>
        <w:rPr/>
        <w:t>получение после 31 декабря предшествующего года первичных учетных документов, подтверждающих совершение операций до этой даты и (или) определяющих (уточняющих) стоимость работ, услуг, активов по таким операциям, а также уточняющих суммы доходов и расходов, относящихся к периоду до 31 декабря предшествующего года включительно.</w:t>
      </w:r>
    </w:p>
    <w:p>
      <w:pPr>
        <w:pStyle w:val="MainTextPodzagolovok401"/>
        <w:jc w:val="both"/>
        <w:rPr>
          <w:rFonts w:ascii="Arial" w:hAnsi="Arial" w:cs="Arial"/>
        </w:rPr>
      </w:pPr>
      <w:r>
        <w:rPr>
          <w:rFonts w:cs="Arial" w:ascii="Arial" w:hAnsi="Arial"/>
        </w:rPr>
        <w:t>IV.9.5. После выполнения вышеуказанных действий рассчитанную прибыль (убыток) необходимо умножить на сумму долей участия в капитале отчитывающегося банка тех нерезидентов, каждый из которых на конец отчетного периода имеет не менее 10 процентов голосов в управлении, и затем перевести полученную сумму в долларовый эквивалент. Если отчитывающийся банк не осуществляет пересчет по ежедневному курсу, то необходимо использовать средний номинальный курс доллара США за отчетный период.</w:t>
      </w:r>
    </w:p>
    <w:p>
      <w:pPr>
        <w:pStyle w:val="MainText"/>
        <w:rPr/>
      </w:pPr>
      <w:r>
        <w:rPr/>
        <w:t>Значение среднего номинального курса доллара США размещается на официальном сайте Банка России в сети Интернет</w:t>
      </w:r>
      <w:r>
        <w:rPr>
          <w:vertAlign w:val="superscript"/>
        </w:rPr>
        <w:t>1</w:t>
      </w:r>
      <w:r>
        <w:rPr/>
        <w:t>.</w:t>
      </w:r>
    </w:p>
    <w:p>
      <w:pPr>
        <w:pStyle w:val="MainText"/>
        <w:rPr/>
      </w:pPr>
      <w:r>
        <w:rPr/>
        <w:t>Если нераспределенная прибыль отрицательная, то по строке 3П3 показывается чистый убыток со знаком “–”.</w:t>
      </w:r>
    </w:p>
    <w:p>
      <w:pPr>
        <w:pStyle w:val="MainText"/>
        <w:rPr/>
      </w:pPr>
      <w:r>
        <w:rPr/>
        <w:t>Отчитывающийся банк определяет размер нераспределенной прибыли (убытка) на ежемесячной основе. В случае если отчитывающийся банк разрабатывает показатели Отчета о прибылях и убытках на квартальной основе, первые два месяца квартала отчитывающийся банк вправе использовать собственные оценки месячных показателей нераспределенной прибыли (убытка), а соответствующий показатель последнего месяца — рассчитывать как разницу между квартальным показателем и суммой оценок первых двух месяцев.</w:t>
      </w:r>
    </w:p>
    <w:p>
      <w:pPr>
        <w:pStyle w:val="Primer1"/>
        <w:ind w:firstLine="567" w:start="0" w:end="0"/>
        <w:rPr/>
      </w:pPr>
      <w:r>
        <w:rPr/>
        <w:t>Пример расчета доли нерезидентов.</w:t>
      </w:r>
    </w:p>
    <w:p>
      <w:pPr>
        <w:pStyle w:val="Primer2"/>
        <w:spacing w:before="0" w:after="120"/>
        <w:ind w:firstLine="567" w:start="0" w:end="0"/>
        <w:rPr/>
      </w:pPr>
      <w:r>
        <w:rPr/>
        <w:t>После учета всех корректировок Отчета о прибылях и убытках и Баланса неиспользованная прибыль отчитывающегося банка за отчетный период составила 35 тыс. долларов США. Участием в капитале отчитывающегося банка обладают три нерезидента, причем первый имеет 15 процентов обыкновенных акций и 20 процентов от общей величины капитала, второй нерезидент обладает 11 процентами обыкновенных акций и 9 процентами участия, а третий — 8 процентами обыкновенных акций и 10 процентами участия. Значение нераспределенной прибыли, приходящейся на нерезидентов, будет равно 35 x (0,2 + 0,09) = 10,15 тыс. долларов США.</w:t>
      </w:r>
    </w:p>
    <w:p>
      <w:pPr>
        <w:pStyle w:val="SnoskaLineTab"/>
        <w:pBdr>
          <w:top w:val="single" w:sz="6" w:space="1" w:color="000000"/>
        </w:pBdr>
        <w:rPr/>
      </w:pPr>
      <w:r>
        <w:rPr>
          <w:vertAlign w:val="superscript"/>
        </w:rPr>
        <w:t>1</w:t>
      </w:r>
      <w:r>
        <w:rPr/>
        <w:t> См. раздел “Статистика” / “Макроэкономическая статистика” / “Статистика внешнего сектора” / “Обменный курс рубля” / “Основные производные показатели динамики обменного курса рубля”.</w:t>
      </w:r>
    </w:p>
    <w:p>
      <w:pPr>
        <w:pStyle w:val="MZagolovokCenter"/>
        <w:spacing w:before="227" w:after="0"/>
        <w:rPr>
          <w:b w:val="false"/>
        </w:rPr>
      </w:pPr>
      <w:r>
        <w:rPr>
          <w:b w:val="false"/>
          <w:color w:val="000000"/>
        </w:rPr>
        <w:t>Раздел V. Взаимосвязь показателей разделов 1 и 3 Отчета и данных бухгалтерского учета</w:t>
      </w:r>
    </w:p>
    <w:p>
      <w:pPr>
        <w:pStyle w:val="MZagolovokCenter"/>
        <w:keepLines w:val="false"/>
        <w:spacing w:before="170" w:after="0"/>
        <w:rPr>
          <w:b w:val="false"/>
        </w:rPr>
      </w:pPr>
      <w:r>
        <w:rPr>
          <w:b w:val="false"/>
        </w:rPr>
        <w:t>Подраздел 1. Соответствия между показателями Отчета и балансовыми счетами, указанными в Положении Банка России № 302-П</w:t>
      </w:r>
    </w:p>
    <w:p>
      <w:pPr>
        <w:pStyle w:val="MainTextPodzagolovok401"/>
        <w:keepLines w:val="false"/>
        <w:spacing w:before="170" w:after="0"/>
        <w:jc w:val="both"/>
        <w:rPr>
          <w:rFonts w:ascii="Arial" w:hAnsi="Arial" w:cs="Arial"/>
        </w:rPr>
      </w:pPr>
      <w:r>
        <w:rPr>
          <w:rFonts w:cs="Arial" w:ascii="Arial" w:hAnsi="Arial"/>
        </w:rPr>
        <w:t>V.1. Соответствия указываются между строками Отчета и несколькими группами счетов второго порядка. Группы счетов отделены друг от друга точкой с запятой и разделены на буквенные подгруппы внутри каждой группы. Внутри каждой группы номера отдельных счетов отделены друг от друга с помощью запятых или тире. В скобках после каждой группы счетов указаны обозначения дополнительных критериев, по которым необходимо отбирать данные, учтенные по всем счетам данной группы.</w:t>
      </w:r>
    </w:p>
    <w:p>
      <w:pPr>
        <w:pStyle w:val="MainText"/>
        <w:rPr/>
      </w:pPr>
      <w:r>
        <w:rPr/>
        <w:t>Например, запись “а) 32102—32107, 32302—32307 (срочные и сберегательные депозиты)” означает, что из полных оборотов и остатков по счетам 32102—32107, 32302—32307 необходимо отобрать обороты и остатки, соответствующие оборотам и остаткам срочных и сберегательных депозитов в соответствии с настоящим Порядком.</w:t>
      </w:r>
    </w:p>
    <w:p>
      <w:pPr>
        <w:pStyle w:val="MainText"/>
        <w:spacing w:before="0" w:after="120"/>
        <w:rPr/>
      </w:pPr>
      <w:r>
        <w:rPr/>
        <w:t>Расшифровки основных обозначений дополнительных критериев:</w:t>
      </w:r>
    </w:p>
    <w:tbl>
      <w:tblPr>
        <w:tblW w:w="10988" w:type="dxa"/>
        <w:jc w:val="center"/>
        <w:tblInd w:w="0" w:type="dxa"/>
        <w:tblLayout w:type="fixed"/>
        <w:tblCellMar>
          <w:top w:w="0" w:type="dxa"/>
          <w:start w:w="28" w:type="dxa"/>
          <w:bottom w:w="0" w:type="dxa"/>
          <w:end w:w="28" w:type="dxa"/>
        </w:tblCellMar>
      </w:tblPr>
      <w:tblGrid>
        <w:gridCol w:w="3652"/>
        <w:gridCol w:w="7336"/>
      </w:tblGrid>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(иностранная валюта)</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активы (обязательства), выраженные (по данным аналитического учета) в иностранной валюте</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(нерезиденты)</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активы (обязательства) только по отношению к нерезидентам</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активы (обязательства) с первоначальным сроком погашения до 1 года включительно</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активы (обязательства) с первоначальным сроком погашения более 1 года</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(участие, обеспечивающее 10 и более процентов голосов в управлении)</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участие в капитале, обеспечивающее не менее 10 процентов голосов в управлении</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отношению к нерезидентам с 10 и более процентами голосов в управлении в их капитале)</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активы по отношению к нерезидентам, участие отчитывающегося банка в капитале которых обеспечивало ему не менее 10 процентов голосов в управлении</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(срочные и сберегательные депозиты)</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срочные и сберегательные депозиты в соответствии с настоящим Порядком</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ссуды в соответствии с настоящим Порядком</w:t>
            </w:r>
          </w:p>
        </w:tc>
      </w:tr>
      <w:tr>
        <w:trPr>
          <w:cantSplit/>
        </w:trPr>
        <w:tc>
          <w:tcPr>
            <w:tcW w:w="365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(залоговые депозиты)</w:t>
            </w:r>
          </w:p>
        </w:tc>
        <w:tc>
          <w:tcPr>
            <w:tcW w:w="73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залоговые депозиты в соответствии с настоящим Порядком</w:t>
            </w:r>
          </w:p>
        </w:tc>
      </w:tr>
    </w:tbl>
    <w:p>
      <w:pPr>
        <w:pStyle w:val="MainTextPodzagolovok401"/>
        <w:jc w:val="both"/>
        <w:rPr>
          <w:rFonts w:ascii="Arial" w:hAnsi="Arial" w:cs="Arial"/>
        </w:rPr>
      </w:pPr>
      <w:r>
        <w:rPr>
          <w:rFonts w:cs="Arial" w:ascii="Arial" w:hAnsi="Arial"/>
        </w:rPr>
        <w:t>V.2. Номера счетов служат общим ориентиром для составления разделов 1 и 3. Для точного заполнения Отчета в соответствии с настоящим Порядком необходимо выяснить детали конкретных операций (например, для разграничения межбанковских депозитов и кредитов) исходя из их группировок по лицевым счетам.</w:t>
      </w:r>
    </w:p>
    <w:p>
      <w:pPr>
        <w:pStyle w:val="MainTextPodzagolovok401"/>
        <w:keepLines w:val="false"/>
        <w:jc w:val="both"/>
        <w:rPr>
          <w:rFonts w:ascii="Arial" w:hAnsi="Arial" w:cs="Arial"/>
        </w:rPr>
      </w:pPr>
      <w:r>
        <w:rPr>
          <w:rFonts w:cs="Arial" w:ascii="Arial" w:hAnsi="Arial"/>
        </w:rPr>
        <w:t>V.3. Отбор данных со счетов ведется по отдельным странам, чтобы обеспечить правильное отнесение данных к отчетам по отдельным странам или группам стран (страны дальнего зарубежья, страны СНГ).</w:t>
      </w:r>
    </w:p>
    <w:p>
      <w:pPr>
        <w:pStyle w:val="MainText"/>
        <w:spacing w:before="0" w:after="120"/>
        <w:rPr/>
      </w:pPr>
      <w:r>
        <w:rPr/>
        <w:t>В приведенных ниже таблицах при отнесении данных по счетам, на которых активы и обязательства группируются по срокам погашения, необходимо исходить из первоначального срока погашения.</w:t>
      </w:r>
    </w:p>
    <w:tbl>
      <w:tblPr>
        <w:tblW w:w="10989" w:type="dxa"/>
        <w:jc w:val="center"/>
        <w:tblInd w:w="0" w:type="dxa"/>
        <w:tblLayout w:type="fixed"/>
        <w:tblCellMar>
          <w:top w:w="0" w:type="dxa"/>
          <w:start w:w="28" w:type="dxa"/>
          <w:bottom w:w="0" w:type="dxa"/>
          <w:end w:w="28" w:type="dxa"/>
        </w:tblCellMar>
      </w:tblPr>
      <w:tblGrid>
        <w:gridCol w:w="675"/>
        <w:gridCol w:w="3402"/>
        <w:gridCol w:w="6912"/>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показателя подраздела 1А</w:t>
            </w:r>
          </w:p>
        </w:tc>
        <w:tc>
          <w:tcPr>
            <w:tcW w:w="69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Счета баланса отчитывающегося банка</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69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Наличная иностранная валюта</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20202, 20206, 20207, 20208, 20209 (наличная иностранная валюта)</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Чеки (в том числе дорожные чеки), выпущенные нерезидентами</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20203, 20206, 20207, 20210 (чеки (в том числе дорожные чеки), выпущенные нерезидентами)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1А3</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Остатки на корреспондентских счетах</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30114, 30119;</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и депозиты до востребования</w:t>
            </w:r>
          </w:p>
        </w:tc>
        <w:tc>
          <w:tcPr>
            <w:tcW w:w="6912" w:type="dxa"/>
            <w:tcBorders>
              <w:start w:val="single" w:sz="6" w:space="0" w:color="000000"/>
              <w:end w:val="single" w:sz="6" w:space="0" w:color="000000"/>
            </w:tcBorders>
          </w:tcPr>
          <w:p>
            <w:pPr>
              <w:pStyle w:val="MainText"/>
              <w:ind w:hanging="0" w:end="0"/>
              <w:jc w:val="start"/>
              <w:rPr>
                <w:sz w:val="16"/>
              </w:rPr>
            </w:pPr>
            <w:r>
              <w:rPr>
                <w:sz w:val="16"/>
              </w:rPr>
              <w:t>б) 32110, 32301 (депозиты до востребования);</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в банках-нерезидентах</w:t>
            </w:r>
          </w:p>
        </w:tc>
        <w:tc>
          <w:tcPr>
            <w:tcW w:w="6912" w:type="dxa"/>
            <w:tcBorders>
              <w:start w:val="single" w:sz="6" w:space="0" w:color="000000"/>
              <w:end w:val="single" w:sz="6" w:space="0" w:color="000000"/>
            </w:tcBorders>
          </w:tcPr>
          <w:p>
            <w:pPr>
              <w:pStyle w:val="MainText"/>
              <w:ind w:hanging="0" w:end="0"/>
              <w:jc w:val="start"/>
              <w:rPr>
                <w:sz w:val="16"/>
              </w:rPr>
            </w:pPr>
            <w:r>
              <w:rPr>
                <w:sz w:val="16"/>
              </w:rPr>
              <w:t>в) 20316 (депозиты до востребования в банках-нерезидентах)</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1А4</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Залоговые депозиты и покрытия</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30211;</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по аккредитивам в банках-нерезидентах</w:t>
            </w:r>
          </w:p>
        </w:tc>
        <w:tc>
          <w:tcPr>
            <w:tcW w:w="6912" w:type="dxa"/>
            <w:tcBorders>
              <w:start w:val="single" w:sz="6" w:space="0" w:color="000000"/>
              <w:end w:val="single" w:sz="6" w:space="0" w:color="000000"/>
            </w:tcBorders>
          </w:tcPr>
          <w:p>
            <w:pPr>
              <w:pStyle w:val="MainText"/>
              <w:ind w:hanging="0" w:end="0"/>
              <w:jc w:val="start"/>
              <w:rPr>
                <w:sz w:val="16"/>
              </w:rPr>
            </w:pPr>
            <w:r>
              <w:rPr>
                <w:sz w:val="16"/>
              </w:rPr>
              <w:t>б) 30602, 47410 (нерезиденты);</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в) 32102—32110, 32301—32309 (залоговые депозиты)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Срочные и сберегательные депозиты в банках-нерезидентах (непросроченные)</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Краткосрочные (кроме депозитов до востребования)</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32302—32307, 32102—32107, 20316 (срочные и сберегательные депозиты)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Долгосрочные</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32308—32309, 32108, 32109, 20316 (срочные и сберегательные депозиты)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Ссуды (непросроченные), предоставленные нерезидентам</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1А6.1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32110 (ссуды);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20312, 32102—32107 (ссуды,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32301—32307, 47301—47305 (ссуды, кроме средств, размещенных по операциям на возвратной основе без признания ценных бумаг);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32101, 45601—45604, 45607, 45608, 45701—45704, 45707, 45708;</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40308 (краткосрочные)</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1А6.2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Долгосрочные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20312, 32108, 32109 (ссуды,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32308, 32309, 47306, 47307 (ссуды, кроме средств, размещенных по операциям на возвратной основе без признания ценных бумаг);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45605, 45606, 45705, 45706;</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г) 40308 (долгосрочные)</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1А7</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предоставленные по операциям, совершаемым с ценными бумагами на возвратной основе с нерезидентами без признания получаемых ценных бумаг</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32301—32309, 47301—47307 (средства, предоставленные нерезидентам по операциям, совершаемым с ценными бумагами на возвратной основе без признания получаемых ценных бумаг)</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(непросроченные), эмитированные нерезидентами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1А8.1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краткосрочные долговые ценные бумаги, учитываемые на счетах 50108, 50109, 50110, 50209, 50210, 50211, 50309, 50310,50311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краткосрочные долговые ценные бумаги, эмитированные нерезидентами и учитываемые на счетах 50118, 50218, 50318;</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в) векселя, учитываемые на счетах 51601—51605, 51701—51705, 51801—51805, 51901—51905</w:t>
            </w:r>
          </w:p>
        </w:tc>
      </w:tr>
      <w:tr>
        <w:trPr>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1А8.2</w:t>
            </w:r>
          </w:p>
        </w:tc>
        <w:tc>
          <w:tcPr>
            <w:tcW w:w="3402"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6912"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а) долгосрочные долговые ценные бумаги, учитываемые на счетах 50108, 50109, 50110, 50209, 50210, 50211, 50309, 50310, 50311 (долгосрочные);</w:t>
            </w:r>
          </w:p>
        </w:tc>
      </w:tr>
      <w:tr>
        <w:trPr>
          <w:cantSplit/>
        </w:trPr>
        <w:tc>
          <w:tcPr>
            <w:tcW w:w="675" w:type="dxa"/>
            <w:tcBorders>
              <w:start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keepNext w:val="true"/>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keepNext w:val="true"/>
              <w:ind w:hanging="0" w:end="0"/>
              <w:jc w:val="start"/>
              <w:rPr>
                <w:sz w:val="16"/>
              </w:rPr>
            </w:pPr>
            <w:r>
              <w:rPr>
                <w:sz w:val="16"/>
              </w:rPr>
              <w:t>б) долгосрочные долговые ценные бумаги, эмитированные нерезидентами и учитываемые на счетах 50118, 50218, 50318;</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в) векселя, учитываемые на счетах 51606, 51607, 51706, 51707, 51806, 51807, 51906, 51907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в капитале нерезидентов</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1А9.1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долевые ценные бумаги, учитываемые на счетах 50607, 50608, 50707, 50708 (кроме привилегированных акций);</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(кроме привилегированных акций)</w:t>
            </w:r>
          </w:p>
        </w:tc>
        <w:tc>
          <w:tcPr>
            <w:tcW w:w="6912" w:type="dxa"/>
            <w:tcBorders>
              <w:start w:val="single" w:sz="6" w:space="0" w:color="000000"/>
              <w:end w:val="single" w:sz="6" w:space="0" w:color="000000"/>
            </w:tcBorders>
          </w:tcPr>
          <w:p>
            <w:pPr>
              <w:pStyle w:val="MainText"/>
              <w:ind w:hanging="0" w:end="0"/>
              <w:jc w:val="start"/>
              <w:rPr>
                <w:sz w:val="16"/>
              </w:rPr>
            </w:pPr>
            <w:r>
              <w:rPr>
                <w:sz w:val="16"/>
              </w:rPr>
              <w:t>б) долевые ценные бумаги, эмитированные нерезидентами и учитываемые на счетах 50618, 50718 (кроме привилегированных акций);</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60103, 60104 (кроме привилегированных акций)</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60203, 60204</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1А9.2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привилегированные акции, учитываемые на счетах 50607, 50608, 50707, 50708;</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привилегированные акции, учитываемые на счетах 50618, 50718;</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60103, 60104 (привилегированные акции)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1А10</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Недвижимое имущество заграничных</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 60205;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филиалов и представительств банка на территории иностранных государств</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 60401, 60404, 60804, 607 за вычетом 60601 и 60805 (все счета в части недвижимого имущества на территории иностранных государств)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Просроченная задолженность нерезидентов (активы отчитывающегося банка)</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1А11.1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Не погашенный в срок основной долг</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32402;</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45816;</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45817;</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20318;</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51608, 51609, 51708, 51709, 51808, 51809, 51908, 51909 (основной долг);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е) 40310;</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ж) 47406, 47408 (нерезиденты, просроченные требования);</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з) 50505 (по ценным бумагам, эмитированным нерезидентами, основной долг)</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1А11.2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32502;</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45916;</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45917;</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20320;</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51608, 51609, 51708, 51709, 51808, 51809, 51908, 51909 (проценты);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е) 40311;</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ж) 50505 (по ценным бумагам, эмитированным нерезидентами, проценты)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требования к нерезидентам</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1А50.1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47402, 47406, 47408 (нерезиденты, кроме просроченных требований);</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60314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47427 (нерезиденты,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47423 (нерезиденты,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47802 (нерезиденты,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е) 47803 (нерезиденты, краткосрочные, за исключением сумм прав требований, переданных отчитывающемуся банку в обеспечение исполнения обязательств клиента перед отчитывающимся банком);</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ж) 30221, 30233, 47417, 50905, 61403 (нерезиденты);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з) 91603 (нерезиденты,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и) 91604 (нерезиденты, краткосрочные)</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1А50.2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Долгосрочные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60314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47427 (нерезиденты,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47423 (нерезиденты,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47802 (нерезиденты,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47803 (нерезиденты, долгосрочные, за исключением сумм прав требований, переданных отчитывающемуся банку в обеспечение исполнения обязательств клиента перед отчитывающимся банком);</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е) 91603 (нерезиденты, долгосрочные);</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ж) 91604 (нерезиденты, долгосрочные)</w:t>
            </w:r>
          </w:p>
        </w:tc>
      </w:tr>
    </w:tbl>
    <w:p>
      <w:pPr>
        <w:pStyle w:val="MainText"/>
        <w:rPr/>
      </w:pPr>
      <w:r>
        <w:rPr/>
      </w:r>
      <w:bookmarkStart w:id="0" w:name="DDE_LINK2"/>
      <w:bookmarkStart w:id="1" w:name="DDE_LINK1"/>
      <w:bookmarkEnd w:id="0"/>
      <w:bookmarkEnd w:id="1"/>
    </w:p>
    <w:tbl>
      <w:tblPr>
        <w:tblW w:w="10989" w:type="dxa"/>
        <w:jc w:val="center"/>
        <w:tblInd w:w="0" w:type="dxa"/>
        <w:tblLayout w:type="fixed"/>
        <w:tblCellMar>
          <w:top w:w="0" w:type="dxa"/>
          <w:start w:w="28" w:type="dxa"/>
          <w:bottom w:w="0" w:type="dxa"/>
          <w:end w:w="28" w:type="dxa"/>
        </w:tblCellMar>
      </w:tblPr>
      <w:tblGrid>
        <w:gridCol w:w="675"/>
        <w:gridCol w:w="3402"/>
        <w:gridCol w:w="6912"/>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показателя подраздела 1П</w:t>
            </w:r>
          </w:p>
        </w:tc>
        <w:tc>
          <w:tcPr>
            <w:tcW w:w="69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Счета баланса отчитывающегося банка</w:t>
            </w:r>
          </w:p>
        </w:tc>
      </w:tr>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1</w:t>
            </w:r>
          </w:p>
        </w:tc>
        <w:tc>
          <w:tcPr>
            <w:tcW w:w="340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2</w:t>
            </w:r>
          </w:p>
        </w:tc>
        <w:tc>
          <w:tcPr>
            <w:tcW w:w="6912"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Остатки на корреспондентских счетах</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20314 (депозиты до востребования банков-нерезидентов);</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и депозиты до востребования</w:t>
            </w:r>
          </w:p>
        </w:tc>
        <w:tc>
          <w:tcPr>
            <w:tcW w:w="6912" w:type="dxa"/>
            <w:tcBorders>
              <w:start w:val="single" w:sz="6" w:space="0" w:color="000000"/>
              <w:end w:val="single" w:sz="6" w:space="0" w:color="000000"/>
            </w:tcBorders>
          </w:tcPr>
          <w:p>
            <w:pPr>
              <w:pStyle w:val="MainText"/>
              <w:ind w:hanging="0" w:end="0"/>
              <w:jc w:val="start"/>
              <w:rPr>
                <w:sz w:val="16"/>
              </w:rPr>
            </w:pPr>
            <w:r>
              <w:rPr>
                <w:sz w:val="16"/>
              </w:rPr>
              <w:t>б) 30111, 30117, 30122, 30123, 30230, 30231;</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банков-нерезидентов</w:t>
            </w:r>
          </w:p>
        </w:tc>
        <w:tc>
          <w:tcPr>
            <w:tcW w:w="6912" w:type="dxa"/>
            <w:tcBorders>
              <w:start w:val="single" w:sz="6" w:space="0" w:color="000000"/>
              <w:end w:val="single" w:sz="6" w:space="0" w:color="000000"/>
            </w:tcBorders>
          </w:tcPr>
          <w:p>
            <w:pPr>
              <w:pStyle w:val="MainText"/>
              <w:ind w:hanging="0" w:end="0"/>
              <w:jc w:val="start"/>
              <w:rPr>
                <w:sz w:val="16"/>
              </w:rPr>
            </w:pPr>
            <w:r>
              <w:rPr>
                <w:sz w:val="16"/>
              </w:rPr>
              <w:t>в) 31410, 31601 (депозиты до востребования);</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40818 (банки)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Остатки на текущих счетах и депозиты</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40803, 40807, 40813, 40814, 40815;</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до востребования нерезидентов,</w:t>
            </w:r>
          </w:p>
        </w:tc>
        <w:tc>
          <w:tcPr>
            <w:tcW w:w="6912" w:type="dxa"/>
            <w:tcBorders>
              <w:start w:val="single" w:sz="6" w:space="0" w:color="000000"/>
              <w:end w:val="single" w:sz="6" w:space="0" w:color="000000"/>
            </w:tcBorders>
          </w:tcPr>
          <w:p>
            <w:pPr>
              <w:pStyle w:val="MainText"/>
              <w:ind w:hanging="0" w:end="0"/>
              <w:jc w:val="start"/>
              <w:rPr>
                <w:sz w:val="16"/>
              </w:rPr>
            </w:pPr>
            <w:r>
              <w:rPr>
                <w:sz w:val="16"/>
              </w:rPr>
              <w:t>б) 40804—40806, 40809, 40812, 40818 (кроме банков), 40820;</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кроме банков</w:t>
            </w:r>
          </w:p>
        </w:tc>
        <w:tc>
          <w:tcPr>
            <w:tcW w:w="6912" w:type="dxa"/>
            <w:tcBorders>
              <w:start w:val="single" w:sz="6" w:space="0" w:color="000000"/>
              <w:end w:val="single" w:sz="6" w:space="0" w:color="000000"/>
            </w:tcBorders>
          </w:tcPr>
          <w:p>
            <w:pPr>
              <w:pStyle w:val="MainText"/>
              <w:ind w:hanging="0" w:end="0"/>
              <w:jc w:val="start"/>
              <w:rPr>
                <w:sz w:val="16"/>
              </w:rPr>
            </w:pPr>
            <w:r>
              <w:rPr>
                <w:sz w:val="16"/>
              </w:rPr>
              <w:t>в) 42501, 42601, 42609, 44001 (депозиты до востребования);</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40910;</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20310</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1П3</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Залоговые депозиты нерезидентов</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47409, 40902 (нерезиденты);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и покрытия по аккредитивам,</w:t>
            </w:r>
          </w:p>
        </w:tc>
        <w:tc>
          <w:tcPr>
            <w:tcW w:w="6912" w:type="dxa"/>
            <w:tcBorders>
              <w:start w:val="single" w:sz="6" w:space="0" w:color="000000"/>
              <w:end w:val="single" w:sz="6" w:space="0" w:color="000000"/>
            </w:tcBorders>
          </w:tcPr>
          <w:p>
            <w:pPr>
              <w:pStyle w:val="MainText"/>
              <w:ind w:hanging="0" w:end="0"/>
              <w:jc w:val="start"/>
              <w:rPr>
                <w:sz w:val="16"/>
              </w:rPr>
            </w:pPr>
            <w:r>
              <w:rPr>
                <w:sz w:val="16"/>
              </w:rPr>
              <w:t>б) 42502—42507, 42602—42615, 44002—44007 (залоговые депозиты);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перечисленные нерезидентами</w:t>
            </w:r>
          </w:p>
        </w:tc>
        <w:tc>
          <w:tcPr>
            <w:tcW w:w="6912" w:type="dxa"/>
            <w:tcBorders>
              <w:start w:val="single" w:sz="6" w:space="0" w:color="000000"/>
              <w:end w:val="single" w:sz="6" w:space="0" w:color="000000"/>
            </w:tcBorders>
          </w:tcPr>
          <w:p>
            <w:pPr>
              <w:pStyle w:val="MainText"/>
              <w:ind w:hanging="0" w:end="0"/>
              <w:jc w:val="start"/>
              <w:rPr>
                <w:sz w:val="16"/>
              </w:rPr>
            </w:pPr>
            <w:r>
              <w:rPr>
                <w:sz w:val="16"/>
              </w:rPr>
              <w:t>в) 30227 (нерезиденты);</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г) 31402—31410, 31602—31609 (залоговые депозиты)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1П4</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Срочные и сберегательные депозиты, привлеченные от нерезидентов (непросроченные)</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1П4.1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Краткосрочные (кроме депозитов</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31402—31407 (срочные и сберегательные депозиты);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ind w:hanging="0" w:end="0"/>
              <w:jc w:val="start"/>
              <w:rPr>
                <w:sz w:val="16"/>
              </w:rPr>
            </w:pPr>
            <w:r>
              <w:rPr>
                <w:sz w:val="16"/>
              </w:rPr>
              <w:t>до востребования)</w:t>
            </w:r>
          </w:p>
        </w:tc>
        <w:tc>
          <w:tcPr>
            <w:tcW w:w="6912" w:type="dxa"/>
            <w:tcBorders>
              <w:start w:val="single" w:sz="6" w:space="0" w:color="000000"/>
              <w:end w:val="single" w:sz="6" w:space="0" w:color="000000"/>
            </w:tcBorders>
          </w:tcPr>
          <w:p>
            <w:pPr>
              <w:pStyle w:val="MainText"/>
              <w:ind w:hanging="0" w:end="0"/>
              <w:jc w:val="start"/>
              <w:rPr>
                <w:sz w:val="16"/>
              </w:rPr>
            </w:pPr>
            <w:r>
              <w:rPr>
                <w:sz w:val="16"/>
              </w:rPr>
              <w:t>б) 31602—31607, 42502—42505, 42602—42605, 42610—42613, 44002—44005 (срочные и сберегательные депозиты);</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в) 20314 (срочные и сберегательные депозиты, краткосрочные)</w:t>
            </w:r>
          </w:p>
        </w:tc>
      </w:tr>
      <w:tr>
        <w:trPr>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1П4.2</w:t>
            </w:r>
          </w:p>
        </w:tc>
        <w:tc>
          <w:tcPr>
            <w:tcW w:w="3402"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Долгосрочные</w:t>
            </w:r>
          </w:p>
        </w:tc>
        <w:tc>
          <w:tcPr>
            <w:tcW w:w="6912" w:type="dxa"/>
            <w:tcBorders>
              <w:top w:val="single" w:sz="6" w:space="0" w:color="000000"/>
              <w:start w:val="single" w:sz="6" w:space="0" w:color="000000"/>
              <w:end w:val="single" w:sz="6" w:space="0" w:color="000000"/>
            </w:tcBorders>
          </w:tcPr>
          <w:p>
            <w:pPr>
              <w:pStyle w:val="MainText"/>
              <w:keepNext w:val="true"/>
              <w:ind w:hanging="0" w:end="0"/>
              <w:jc w:val="start"/>
              <w:rPr>
                <w:sz w:val="16"/>
              </w:rPr>
            </w:pPr>
            <w:r>
              <w:rPr>
                <w:sz w:val="16"/>
              </w:rPr>
              <w:t>а) 31408, 31409 (срочные и сберегательные депозиты);</w:t>
            </w:r>
          </w:p>
        </w:tc>
      </w:tr>
      <w:tr>
        <w:trPr>
          <w:cantSplit/>
        </w:trPr>
        <w:tc>
          <w:tcPr>
            <w:tcW w:w="675" w:type="dxa"/>
            <w:tcBorders>
              <w:start w:val="single" w:sz="6" w:space="0" w:color="000000"/>
              <w:end w:val="single" w:sz="6" w:space="0" w:color="000000"/>
            </w:tcBorders>
          </w:tcPr>
          <w:p>
            <w:pPr>
              <w:pStyle w:val="MainText"/>
              <w:keepNext w:val="true"/>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keepNext w:val="true"/>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keepNext w:val="true"/>
              <w:ind w:hanging="0" w:end="0"/>
              <w:jc w:val="start"/>
              <w:rPr>
                <w:sz w:val="16"/>
              </w:rPr>
            </w:pPr>
            <w:r>
              <w:rPr>
                <w:sz w:val="16"/>
              </w:rPr>
              <w:t>б) 31608, 31609, 42506, 42507, 42606, 42607, 42614, 42615, 44006, 44007 (срочные и сберегательные депозиты);</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в) 20314 (срочные и сберегательные депозиты, долгосрочные)</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Ссуды, привлеченные от нерезидентов (непросроченные)</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1П5.1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31401;</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31402—31407, 31410 (ссуды);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31601—31607, 42609—42613, 44002—44005 (ссуды, кроме средств, привлеченных по операциям на возвратной основе от нерезидентов без прекращения признания ценных бумаг);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40307 (краткосрочные, непросроченные)</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1П5.2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Долгосрочные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31408, 31409 (ссуды);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31608, 31609, 42614, 42615, 44006, 44007 (ссуды, кроме средств, привлеченных по операциям на возвратной основе от нерезидентов без прекращения признания ценных бумаг);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60806 (нерезиденты);</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г) 40307 (долгосрочные, непросроченные)</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1П6</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привлеченные по операциям, совершаемым с ценными бумагами на возвратной основе от нерезидентов без прекращения признания передаваемых ценных бумаг</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31602—31609, 44002—44007 (средства, привлеченные по операциям, совершаемым с ценными бумагами на возвратной основе от нерезидентов без прекращения признания ценных бумаг)</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1П7</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Долговые ценные бумаги, выпущенные отчитывающимся банком (непросроченные) и приобретенные нерезидентами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1П7.1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520—523 (нерезиденты, краткосрочные) плюс суммы премий, полученных при выпуске ценных бумаг отчитывающегося банка и учтенных по кредиту счета 70601 на дату выпуска ценных бумаг, минус регулирующие проводки (к проводкам по счетам 520—523) по счету 52503 в части начисленного дисконта по ценным бумагам отчитывающегося банка;</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52501 (нерезиденты, по краткосрочным обязательствам)</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1П7.2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Долгосрочные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520—523 (нерезиденты, долгосрочные) плюс суммы премий, полученных при выпуске ценных бумаг отчитывающегося банка и учтенных по кредиту счета 70601 на дату выпуска ценных бумаг, минус регулирующие проводки (к проводкам по счетам 520—523) по счету 52503 в части начисленного дисконта по ценным бумагам отчитывающегося банка;</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б) 52501 (нерезиденты, по долгосрочным обязательствам)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1П8</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(акции, паи) нерезидентов в капитале отчитывающегося банка</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1П8.1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количество обыкновенных акций отчитывающегося банка, принадлежащих нерезидентам, умноженное на рыночную цену обыкновенных акций отчитывающегося банка (для котируемых обыкновенных акций отчитывающегося банка — см. подпункт II.9.12 пункта II.9 настоящего Порядка);</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(10207 + 10208, нерезиденты, кроме привилегированных акций) / (102 – 105) x собственные средства отчитывающегося банка (для некотируемых обыкновенных акций, долей, паев и прочего участия в капитале отчитывающегося банка — см. подпункт II.9.12 пункта II.9 настоящего Порядка)</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1П8.2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количество привилегированных акций отчитывающегося банка, принадлежащих нерезидентам, умноженное на рыночную цену привилегированных акций отчитывающегося банка (для котируемых привилегированных акций отчитывающегося банка — см. подпункт II.9.12 пункта II.9 настоящего Порядка);</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б) (10207, нерезиденты) / (102 – 105) x собственные средства отчитывающегося банка (для некотируемых привилегированных акций — см. подпункт II.9.12 пункта II.9 настоящего Порядка)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1П9</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Просроченная задолженность перед нерезидентами (обязательства отчитывающегося банка)</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1П9.1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Не погашенный в срок основной долг</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31703, 47602, 47605;</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40307 (просроченный основной долг);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47401, 47405, 47407 (просроченная задолженность перед нерезидентами);</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47418 (нерезиденты);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52401, 52403, 52404, 52406 (нерезиденты, просроченная задолженность);</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е) прочие счета в части просроченного основного долга перед нерезидентами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1П9.2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Не погашенные в срок проценты</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31803, 47607, 47609;</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52402, 52405, 52407 (нерезиденты, просроченная задолженность);</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в) прочие счета в части просроченных процентов по задолженности перед нерезидентами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1П50</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обязательства перед нерезидентами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1П50.1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40903 (нерезиденты);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47401 (нерезиденты, непросроченная задолженность, за исключением сумм прав требований, переданных отчитывающемуся банку в обеспечение исполнения обязательств клиента перед отчитывающимся банком);</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47405, 47407 (нерезиденты, непросроченная задолженность);</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60313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д) 47426, 47411 (нерезиденты,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е) 47422 (нерезиденты,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ж) 30606, 42609—42613, 40913;</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з) 30220, 30222, 30223, 30232, 47416 (нерезиденты);</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и) 524 (нерезиденты, непросроченные обязательства)</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1П50.2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Долгосрочные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42614, 42615;</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60313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47426, 47411 (нерезиденты, долгосрочные);</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г) 47422 (нерезиденты, долгосрочные)</w:t>
            </w:r>
          </w:p>
        </w:tc>
      </w:tr>
    </w:tbl>
    <w:p>
      <w:pPr>
        <w:pStyle w:val="MainText"/>
        <w:rPr/>
      </w:pPr>
      <w:r>
        <w:rPr/>
      </w:r>
    </w:p>
    <w:tbl>
      <w:tblPr>
        <w:tblW w:w="10989" w:type="dxa"/>
        <w:jc w:val="center"/>
        <w:tblInd w:w="0" w:type="dxa"/>
        <w:tblLayout w:type="fixed"/>
        <w:tblCellMar>
          <w:top w:w="0" w:type="dxa"/>
          <w:start w:w="28" w:type="dxa"/>
          <w:bottom w:w="0" w:type="dxa"/>
          <w:end w:w="28" w:type="dxa"/>
        </w:tblCellMar>
      </w:tblPr>
      <w:tblGrid>
        <w:gridCol w:w="675"/>
        <w:gridCol w:w="3402"/>
        <w:gridCol w:w="6912"/>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показателя подраздела 3А</w:t>
            </w:r>
          </w:p>
        </w:tc>
        <w:tc>
          <w:tcPr>
            <w:tcW w:w="69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Счета баланса отчитывающегося банка</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69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банкам-нерезидентам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в капитале банков-нерезидентов</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3А1.1.1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50607, 50707, 60103 (участие, обеспечивающее 10 и более процентов голосов в управлении) (кроме привилегированных акций);</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(кроме привилегированных акций)</w:t>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б) 60203, 60205 (участие, обеспечивающее 10 и более процентов голосов в управлении)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50607, 50707, 60103 (привилегированные акции, по отношению к банкам-нерезидентам с 10 и более процентами голосов в управлении, через владение обыкновенными акциями, а также голосующими привилегированными акциями)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Субординированные (бессрочные) кредиты</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32109, 32309 (бессрочные ссуды, по отношению к нерезидентам с 10 и более процентами голосов в управлении)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Требования к прочим юридическим лицам — нерезидентам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в капитале прочих юридических лиц — нерезидентов</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3А2.1.1</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50608, 50708, 60104 (участие, обеспечивающее 10 и более процентов голосующих акций) (кроме привилегированных акций);</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(кроме привилегированных акций)</w:t>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б) 60204 (участие, обеспечивающее 10 и более процентов голосов в управлении)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3А2.1.2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50608, 50708, 60104 (привилегированные акции, по отношению к прочим юридическим лицам — нерезидентам (кроме банков) с 10 и более процентами голосов в управлении, через владение обыкновенными акциями, а также голосующими привилегированными акциями)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3А2.2</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Ссуды предоставленные 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20312;</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45601—45604, 45607, 45608;</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47301—47305 (ссуды, кроме средств, размещенных по операциям на возвратной основе без признания ценных бумаг);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подпункты “а”—“в” настоящей строки — по отношению к нерезидентам с 10 и более процентами голосов в управлении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3А2.3</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Ссуды предоставленные долгосрочные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20312;</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45605, 45606;</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47306, 47307 (ссуды, кроме средств, размещенных по операциям на возвратной основе без признания ценных бумаг);</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г) 60312 (нерезиденты, по отношению к нерезидентам с 10 и более процентами голосов в управлении);</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подпункты “а”—“в” настоящей строки — по отношению к нерезидентам с 10 и более процентами голосов в управлении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3А2.4</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Долговые ценные бумаги краткосрочные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50110, 50211, 50311 (краткосрочные);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51901—51905;</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50118, 50218, 50318 (по прочим долговым обязательствам нерезидентов,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подпункты “а”—“в” настоящей строки — по отношению к нерезидентам с 10 и более процентами голосов в управлении</w:t>
            </w:r>
          </w:p>
        </w:tc>
      </w:tr>
      <w:tr>
        <w:trPr>
          <w:cantSplit/>
        </w:trPr>
        <w:tc>
          <w:tcPr>
            <w:tcW w:w="67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3А2.5</w:t>
            </w:r>
          </w:p>
        </w:tc>
        <w:tc>
          <w:tcPr>
            <w:tcW w:w="340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Долговые ценные бумаги долгосрочные</w:t>
            </w:r>
          </w:p>
        </w:tc>
        <w:tc>
          <w:tcPr>
            <w:tcW w:w="6912"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а) 50110, 50211, 50311 (долгосрочные);</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б) 51906, 51907;</w:t>
            </w:r>
          </w:p>
        </w:tc>
      </w:tr>
      <w:tr>
        <w:trPr>
          <w:cantSplit/>
        </w:trPr>
        <w:tc>
          <w:tcPr>
            <w:tcW w:w="675" w:type="dxa"/>
            <w:tcBorders>
              <w:start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end w:val="single" w:sz="6" w:space="0" w:color="000000"/>
            </w:tcBorders>
          </w:tcPr>
          <w:p>
            <w:pPr>
              <w:pStyle w:val="MainText"/>
              <w:ind w:hanging="0" w:end="0"/>
              <w:jc w:val="start"/>
              <w:rPr>
                <w:sz w:val="16"/>
              </w:rPr>
            </w:pPr>
            <w:r>
              <w:rPr>
                <w:sz w:val="16"/>
              </w:rPr>
              <w:t>в) 50118, 50218, 50318 (по прочим долговым обязательствам нерезидентов, долгосрочные);</w:t>
            </w:r>
          </w:p>
        </w:tc>
      </w:tr>
      <w:tr>
        <w:trPr>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rFonts w:cs="Arial"/>
                <w:sz w:val="16"/>
              </w:rPr>
            </w:r>
          </w:p>
        </w:tc>
        <w:tc>
          <w:tcPr>
            <w:tcW w:w="3402" w:type="dxa"/>
            <w:tcBorders>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6912"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подпункты “а”—“в” настоящей строки — по отношению к нерезидентам с 10 и более процентами голосов в управлении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3А2.10</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краткосрочные требования</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60314 (краткосрочные, по отношению к нерезидентам с 10 и более процентами голосов в управлении)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долгосрочные требования</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60314 (долгосрочные, по отношению к нерезидентам с 10 и более процентами голосов в управлении)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3А3</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нераспределенной прибыли (убытка) отчетного периода, соответствующая доле участия отчитывающегося банка в капитале нерезидентов</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отражается на балансовых счетах отчитывающегося банка</w:t>
            </w:r>
          </w:p>
        </w:tc>
      </w:tr>
    </w:tbl>
    <w:p>
      <w:pPr>
        <w:pStyle w:val="MainText"/>
        <w:rPr/>
      </w:pPr>
      <w:r>
        <w:rPr/>
      </w:r>
    </w:p>
    <w:tbl>
      <w:tblPr>
        <w:tblW w:w="10989" w:type="dxa"/>
        <w:jc w:val="center"/>
        <w:tblInd w:w="0" w:type="dxa"/>
        <w:tblLayout w:type="fixed"/>
        <w:tblCellMar>
          <w:top w:w="0" w:type="dxa"/>
          <w:start w:w="28" w:type="dxa"/>
          <w:bottom w:w="0" w:type="dxa"/>
          <w:end w:w="28" w:type="dxa"/>
        </w:tblCellMar>
      </w:tblPr>
      <w:tblGrid>
        <w:gridCol w:w="675"/>
        <w:gridCol w:w="3402"/>
        <w:gridCol w:w="6912"/>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показателя подраздела 3П</w:t>
            </w:r>
          </w:p>
        </w:tc>
        <w:tc>
          <w:tcPr>
            <w:tcW w:w="69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Счета баланса отчитывающегося банка</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34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691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 перед банками-нерезидентами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3П1.1.</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банков-нерезидентов в капитале отчитывающегося банка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3П1.1.1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соответствие то же, что и для строки 1П8.1, в части вложений банков-нерезидентов, каждый из которых по состоянию на начало и (или) конец отчетного периода обладал участием в капитале отчитывающегося банка, обеспечивавшим не менее 10 процентов голосов в управлении (см. подпункт II.9.12 пункта II.9 настоящего Порядка)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3П1.1.2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соответствие то же, что и для строки 1П8.2, в части вложений банков-нерезидентов, каждый из которых по состоянию на начало и (или) конец отчетного периода обладал участием в капитале отчитывающегося банка, обеспечивавшим не менее 10 процентов голосов в управлении (см. подпункт II.9.12 пункта II.9 настоящего Порядка)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Субординированные (бессрочные) кредиты</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31609 (субординированные кредиты)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 перед прочими нерезидентами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3П2.1</w:t>
            </w:r>
          </w:p>
        </w:tc>
        <w:tc>
          <w:tcPr>
            <w:tcW w:w="1031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Участие прочих нерезидентов в капитале отчитывающегося банка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3П2.1.1</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обыкновенных акций, долей, паев и прочего участия (кроме привилегированных акций)</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соответствие то же, что и для строки 1П8.1, в части вложений прочих нерезидентов (кроме банков), каждый из которых по состоянию на начало и (или) конец отчетного периода обладал участием в капитале отчитывающегося банка, обеспечивавшим не менее 10 процентов голосов в управлении (см. подпункт II.9.12 пункта II.9 настоящего Порядка)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3П2.1.2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форме привилегированных акций</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соответствие то же, что и для строки 1П8.2, в части вложений прочих нерезидентов (кроме банков), каждый из которых по состоянию на начало и (или) конец отчетного периода обладал участием в капитале отчитывающегося банка, обеспечивавшим не менее 10 процентов голосов в управлении (см. подпункт II.9.12 пункта II.9 настоящего Порядка)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3П2.2</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Субординированные (бессрочные) кредиты</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44007 (субординированные кредиты)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3П3</w:t>
            </w:r>
          </w:p>
        </w:tc>
        <w:tc>
          <w:tcPr>
            <w:tcW w:w="34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Часть нераспределенной прибыли (убытка) отчетного периода, соответствующая доле участия нерезидентов в капитале отчитывающегося банка</w:t>
            </w:r>
          </w:p>
        </w:tc>
        <w:tc>
          <w:tcPr>
            <w:tcW w:w="69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ежемесячная неиспользованная прибыль (убыток) по Отчету о прибылях и убытках (символ 33001 или 33002) минус сумма корректировок по доходам (символы 12201, 15101, 15102, 15103, 15201, 15202, 15203, 15204, 16101, 16102, 16103, 16104, 16105, 16302, 16303, 16305, 17201, 17202, 17203, 17303, 17304, 17305), плюс сумма корректировок по расходам (символы 22101, 24101, 24102, 24103, 24201, 24202, 24203, 24204, 25101, 25102, 25103, 25104, 25105, 25302, 26306, 26307, 27201, 27202, 27203, 27302, 27303, 27304, 32002), плюс кредит балансового счета № 50407, № 50408, плюс дебет балансового счета № 91603, № 91604, минус дебет балансового счета № 50407, № 50408 (в случае переноса на статьи Отчета о прибылях и убытках), минус кредит балансового счета № 91603, № 91604 (в случае переноса на статьи Отчета о прибылях и убытках), минус дебет балансового счета № 70801 (в части дивидендов, объявленных в отчетном периоде по итогам годового собрания акционеров), плюс (минус) суммы корректировок, выявленных в отчетном периоде в результате событий после 31 декабря предшествующего года (при составлении годового отчета). Результат, пересчитанный в долларовый эквивалент с использованием среднего номинального курса доллара США за отчетный период, умножается на сумму долей участия нерезидентов в капитале отчитывающегося банка, которое обеспечивало каждому из них не менее 10 процентов голосов в управлении</w:t>
            </w:r>
          </w:p>
        </w:tc>
      </w:tr>
    </w:tbl>
    <w:p>
      <w:pPr>
        <w:pStyle w:val="MainTextBezOtstupa"/>
        <w:spacing w:before="120" w:after="0"/>
        <w:rPr/>
      </w:pPr>
      <w:r>
        <w:rPr/>
        <w:t>V.4. В случае внесения изменений в Положение Банка России № 302-П в части счетов, касающихся операций с нерезидентами, при подготовке Отчета указанные счета следует учитывать в соответствии с общими принципами заполнения данного Отчета.</w:t>
      </w:r>
      <w:r>
        <w:br w:type="page"/>
      </w:r>
    </w:p>
    <w:p>
      <w:pPr>
        <w:pStyle w:val="MZagolovokCenter"/>
        <w:spacing w:before="227" w:after="0"/>
        <w:rPr>
          <w:b w:val="false"/>
        </w:rPr>
      </w:pPr>
      <w:r>
        <w:rPr>
          <w:b w:val="false"/>
          <w:color w:val="000000"/>
        </w:rPr>
        <w:t>Раздел VI. Характеристика раздела 4 Отчета</w:t>
      </w:r>
    </w:p>
    <w:p>
      <w:pPr>
        <w:pStyle w:val="MainTextPodzagolovok401"/>
        <w:keepLines w:val="false"/>
        <w:spacing w:before="170" w:after="0"/>
        <w:jc w:val="both"/>
        <w:rPr>
          <w:rFonts w:ascii="Arial" w:hAnsi="Arial" w:cs="Arial"/>
        </w:rPr>
      </w:pPr>
      <w:r>
        <w:rPr>
          <w:rFonts w:cs="Arial" w:ascii="Arial" w:hAnsi="Arial"/>
        </w:rPr>
        <w:t>VI.1. Собираемая информация используется Банком России для расчета показателей денежно-кредитной статистики.</w:t>
      </w:r>
    </w:p>
    <w:p>
      <w:pPr>
        <w:pStyle w:val="MainText"/>
        <w:rPr/>
      </w:pPr>
      <w:r>
        <w:rPr/>
        <w:t>В разделе отражаются составляющие иностранных активов и обязательств, сформировавшиеся в результате операций с ценными бумагами, совершаемых на возвратной основе с нерезидентами без прекращения признания получаемых ценных бумаг стороной, получившей денежные средства, по состоянию на начало и конец отчетного периода, а также их движение в течение периода без дифференциации по странам. Долговые обязательства отражаются в сумме средств, предоставленных (полученных) по операциям, совершаемым с ценными бумагами на возвратной основе, нерезидентам (от нерезидентов) без прекращения признания получаемых (передаваемых) ценных бумаг. Соответствие между данными разделов 1 и 4 Отчета указано в пункте IX.5 настоящего Порядка.</w:t>
      </w:r>
    </w:p>
    <w:p>
      <w:pPr>
        <w:pStyle w:val="MZagolovokCenter"/>
        <w:spacing w:before="227" w:after="120"/>
        <w:rPr>
          <w:b w:val="false"/>
        </w:rPr>
      </w:pPr>
      <w:r>
        <w:rPr>
          <w:b w:val="false"/>
          <w:color w:val="000000"/>
        </w:rPr>
        <w:t>Раздел VII. Характеристика и порядок заполнения раздела 5 Отчета</w:t>
      </w:r>
    </w:p>
    <w:p>
      <w:pPr>
        <w:pStyle w:val="MainTextPodzagolovok401"/>
        <w:keepLines w:val="false"/>
        <w:spacing w:before="170" w:after="0"/>
        <w:rPr>
          <w:rFonts w:ascii="Arial" w:hAnsi="Arial" w:cs="Arial"/>
        </w:rPr>
      </w:pPr>
      <w:r>
        <w:rPr>
          <w:rFonts w:cs="Arial" w:ascii="Arial" w:hAnsi="Arial"/>
        </w:rPr>
        <w:t>VII.1. В разделе 5 отражаются:</w:t>
      </w:r>
    </w:p>
    <w:p>
      <w:pPr>
        <w:pStyle w:val="MainText"/>
        <w:rPr/>
      </w:pPr>
      <w:r>
        <w:rPr/>
        <w:t>все иностранные активы и обязательства (кроме участия нерезидентов в капитале отчитывающегося банка), учтенные по графе 5 раздела 1 в разбивке по видам валют;</w:t>
      </w:r>
    </w:p>
    <w:p>
      <w:pPr>
        <w:pStyle w:val="MainText"/>
        <w:rPr/>
      </w:pPr>
      <w:r>
        <w:rPr/>
        <w:t>балансовые требования и обязательства отчитывающегося банка в иностранной валюте по отношению к резидентам Российской Федерации по состоянию на конец отчетного периода в разбивке по видам валют и секторам дебиторов (кредиторов);</w:t>
      </w:r>
    </w:p>
    <w:p>
      <w:pPr>
        <w:pStyle w:val="MainText"/>
        <w:rPr/>
      </w:pPr>
      <w:r>
        <w:rPr/>
        <w:t>начисленные проценты по не списанным с баланса кредитам, депозитам и иным размещенным средствам в иностранной валюте, предоставленным резидентам.</w:t>
      </w:r>
    </w:p>
    <w:p>
      <w:pPr>
        <w:pStyle w:val="MainTextPodzagolovok401"/>
        <w:jc w:val="both"/>
        <w:rPr>
          <w:rFonts w:ascii="Arial" w:hAnsi="Arial" w:cs="Arial"/>
        </w:rPr>
      </w:pPr>
      <w:r>
        <w:rPr>
          <w:rFonts w:cs="Arial" w:ascii="Arial" w:hAnsi="Arial"/>
        </w:rPr>
        <w:t>VII.2. В графе 1 отражаются все без исключения иностранные активы, учтенные по графе 5 в подразделе 1А раздела 1.</w:t>
      </w:r>
    </w:p>
    <w:p>
      <w:pPr>
        <w:pStyle w:val="MainText"/>
        <w:rPr/>
      </w:pPr>
      <w:r>
        <w:rPr/>
        <w:t>В графе 2 отражаются балансовые требования к кредитным организациям — резидентам в иностранной валюте, начисленные на них проценты, включая ценные бумаги, выпущенные кредитными организациями — резидентами и переданные нерезидентам и резидентам по операциям, совершаемым на возвратной основе без прекращения признания ценных бумаг отчитывающимся банком по состоянию на конец отчетного периода.</w:t>
      </w:r>
    </w:p>
    <w:p>
      <w:pPr>
        <w:pStyle w:val="MainText"/>
        <w:rPr/>
      </w:pPr>
      <w:r>
        <w:rPr/>
        <w:t>В графе 3 отражаются балансовые требования в иностранной валюте к резидентам, не являющимся кредитными организациями (например, Банку России, федеральным органам государственной власти, органам государственной власти субъектов Российской Федерации, органам местного самоуправления, юридическим лицам, общественным организациям, физическим лицам), начисленные на них проценты, включая ценные бумаги, выпущенные этими резидентами и переданные нерезидентам и резидентам по операциям, совершаемым на возвратной основе без прекращения признания ценных бумаг отчитывающимся банком по состоянию на конец отчетного периода.</w:t>
      </w:r>
    </w:p>
    <w:p>
      <w:pPr>
        <w:pStyle w:val="MainText"/>
        <w:rPr/>
      </w:pPr>
      <w:r>
        <w:rPr/>
        <w:t>В графе 4 отражаются все без исключения иностранные обязательства, учтенные по графе 5 в подразделе 1П раздела 1.</w:t>
      </w:r>
    </w:p>
    <w:p>
      <w:pPr>
        <w:pStyle w:val="MainText"/>
        <w:rPr/>
      </w:pPr>
      <w:r>
        <w:rPr/>
        <w:t>В графе 5 отражаются балансовые обязательства перед кредитными организациями — резидентами в иностранной валюте.</w:t>
      </w:r>
    </w:p>
    <w:p>
      <w:pPr>
        <w:pStyle w:val="MainText"/>
        <w:rPr/>
      </w:pPr>
      <w:r>
        <w:rPr/>
        <w:t>В графе 6 отражаются балансовые обязательства в иностранной валюте перед физическими лицами — резидентами, кроме индивидуальных предпринимателей.</w:t>
      </w:r>
    </w:p>
    <w:p>
      <w:pPr>
        <w:pStyle w:val="MainText"/>
        <w:rPr/>
      </w:pPr>
      <w:r>
        <w:rPr/>
        <w:t>В графе 7 отражаются балансовые обязательства в иностранной валюте перед резидентами, являющимися индивидуальными предпринимателями, а также перед юридическими лицами, не являющимися кредитными организациями, в том числе перед Банком России.</w:t>
      </w:r>
    </w:p>
    <w:p>
      <w:pPr>
        <w:pStyle w:val="MainTextPodzagolovok401"/>
        <w:jc w:val="both"/>
        <w:rPr>
          <w:rFonts w:ascii="Arial" w:hAnsi="Arial" w:cs="Arial"/>
        </w:rPr>
      </w:pPr>
      <w:r>
        <w:rPr>
          <w:rFonts w:cs="Arial" w:ascii="Arial" w:hAnsi="Arial"/>
        </w:rPr>
        <w:t>VII.3. В разделе 5 не учитываются остатки в иностранной валюте по счетам межфилиальных расчетов, учтенные в одинаковой сумме по кредиту этих счетов в головном офисе отчитывающегося банка или одном из филиалов (подразделений) отчитывающегося банка и по дебету этих счетов в другом подразделении отчитывающегося банка или головном офисе отчитывающегося банка. Указанные остатки не учитываются в данном разделе, поскольку они не являются требованиями и обязательствами отчитывающегося банка.</w:t>
      </w:r>
    </w:p>
    <w:p>
      <w:pPr>
        <w:pStyle w:val="MainText"/>
        <w:rPr/>
      </w:pPr>
      <w:r>
        <w:rPr/>
        <w:t>В разделе 5 не учитываются остатки на счетах доходов (расходов) будущих периодов в иностранной валюте, не являющиеся требованиями и обязательствами отчитывающегося банка. В то же время в данном разделе учитываются уплаченный (полученный) авансом накопленный процентный (купонный) доход по долговым обязательствам по ценным бумагам, а также требования и обязательства отчитывающегося банка по начисленным процентам.</w:t>
      </w:r>
    </w:p>
    <w:p>
      <w:pPr>
        <w:pStyle w:val="MainText"/>
        <w:rPr/>
      </w:pPr>
      <w:r>
        <w:rPr/>
        <w:t>Требования и обязательства в иностранной валюте по отношению к клиентам-резидентам, учитываемые на счетах незавершенных расчетов, отражаются в разделе 5 наравне с обычными видами требований и обязательств. Если получение данных о секторе дебитора (кредитора) по таким требованиям и обязательствам затруднительно, то отчитывающийся банк относит их в графы 3 и 7 раздела 5. Требования и обязательства в иностранной валюте по отношению к клиентам-нерезидентам, учитываемые на счетах незавершенных расчетов, отражаются в разделе 5 в графах 1 и 4 (а также в разделах 1, 2, 3 Отчета).</w:t>
      </w:r>
    </w:p>
    <w:p>
      <w:pPr>
        <w:pStyle w:val="MainText"/>
        <w:rPr/>
      </w:pPr>
      <w:r>
        <w:rPr/>
        <w:t>Остатки в иностранной валюте по счетам невыясненных сумм отражаются в графах 3 и 7 раздела 5.</w:t>
      </w:r>
    </w:p>
    <w:p>
      <w:pPr>
        <w:pStyle w:val="MainTextPodzagolovok401"/>
        <w:jc w:val="both"/>
        <w:rPr>
          <w:rFonts w:ascii="Arial" w:hAnsi="Arial" w:cs="Arial"/>
        </w:rPr>
      </w:pPr>
      <w:r>
        <w:rPr>
          <w:rFonts w:cs="Arial" w:ascii="Arial" w:hAnsi="Arial"/>
        </w:rPr>
        <w:t>VII.4. По строке 5.6 отражаются остатки по текущим, депозитным, ссудным и другим обезличенным металлическим счетам. Драгоценные металлы в физической форме по данной строке не отражаются.</w:t>
      </w:r>
    </w:p>
    <w:p>
      <w:pPr>
        <w:pStyle w:val="MainText"/>
        <w:rPr/>
      </w:pPr>
      <w:r>
        <w:rPr/>
        <w:t>По строке 5.8 отражаются активы и обязательства, номинированные в евро, а также в денежных знаках стран — участниц Экономического и валютного союза, утративших статус законного платежного средства (список стран содержится в Положении Банка России от 18 декабря 2001 года № 168-П “О порядке совершения уполномоченными банками (филиалами уполномоченных банков) операций с денежными знаками стран — участниц Экономического и валютного союза и банкнотами и монетой, номинированными в евро”, зарегистрированном Министерством юстиции Российской Федерации 20 декабря 2001 года № 3095, 3 апреля 2003 года № 4371, 17 июня 2004 года № 5860 (“Вестник Банка России” от 21 декабря 2001 года № 77, от 9 апреля 2003 года № 19, от 18 июня 2004 года № 36). Пересчет в доллары США производится с использованием коэффициентов пересчета национальных валют стран — участниц Экономического и валютного союза, определенных соответствующими решениями Совета Европейского союза.</w:t>
      </w:r>
    </w:p>
    <w:p>
      <w:pPr>
        <w:pStyle w:val="MainText"/>
        <w:rPr/>
      </w:pPr>
      <w:r>
        <w:rPr/>
        <w:t>По строке 5.49 отражаются активы и обязательства в следующих свободно конвертируемых валютах:</w:t>
      </w:r>
    </w:p>
    <w:p>
      <w:pPr>
        <w:pStyle w:val="MainText"/>
        <w:rPr/>
      </w:pPr>
      <w:r>
        <w:rPr/>
        <w:t>австралийские доллары;</w:t>
      </w:r>
    </w:p>
    <w:p>
      <w:pPr>
        <w:pStyle w:val="MainText"/>
        <w:rPr/>
      </w:pPr>
      <w:r>
        <w:rPr/>
        <w:t>датские кроны;</w:t>
      </w:r>
    </w:p>
    <w:p>
      <w:pPr>
        <w:pStyle w:val="MainText"/>
        <w:rPr/>
      </w:pPr>
      <w:r>
        <w:rPr/>
        <w:t>исландские кроны;</w:t>
      </w:r>
    </w:p>
    <w:p>
      <w:pPr>
        <w:pStyle w:val="MainText"/>
        <w:rPr/>
      </w:pPr>
      <w:r>
        <w:rPr/>
        <w:t>канадские доллары;</w:t>
      </w:r>
    </w:p>
    <w:p>
      <w:pPr>
        <w:pStyle w:val="MainText"/>
        <w:rPr/>
      </w:pPr>
      <w:r>
        <w:rPr/>
        <w:t>норвежские кроны;</w:t>
      </w:r>
    </w:p>
    <w:p>
      <w:pPr>
        <w:pStyle w:val="MainText"/>
        <w:rPr/>
      </w:pPr>
      <w:r>
        <w:rPr/>
        <w:t>турецкие лиры;</w:t>
      </w:r>
    </w:p>
    <w:p>
      <w:pPr>
        <w:pStyle w:val="MainText"/>
        <w:rPr/>
      </w:pPr>
      <w:r>
        <w:rPr/>
        <w:t>шведские кроны;</w:t>
      </w:r>
    </w:p>
    <w:p>
      <w:pPr>
        <w:pStyle w:val="MainText"/>
        <w:rPr/>
      </w:pPr>
      <w:r>
        <w:rPr/>
        <w:t>сингапурские доллары.</w:t>
      </w:r>
    </w:p>
    <w:p>
      <w:pPr>
        <w:pStyle w:val="MainText"/>
        <w:rPr/>
      </w:pPr>
      <w:r>
        <w:rPr/>
        <w:t>Данные валюты отнесены к свободно конвертируемым валютам только для целей составления Отчета.</w:t>
      </w:r>
    </w:p>
    <w:p>
      <w:pPr>
        <w:pStyle w:val="MainText"/>
        <w:rPr/>
      </w:pPr>
      <w:r>
        <w:rPr/>
        <w:t>По строке 5.50 отражаются активы и обязательства в валютах, которые не указаны по строкам 5.1—5.49.</w:t>
      </w:r>
    </w:p>
    <w:p>
      <w:pPr>
        <w:pStyle w:val="MainText"/>
        <w:rPr/>
      </w:pPr>
      <w:r>
        <w:rPr/>
        <w:t>По строке 5.51 в каждой графе показывается сумма строк 5.1—5.50.</w:t>
      </w:r>
    </w:p>
    <w:p>
      <w:pPr>
        <w:pStyle w:val="MainText"/>
        <w:rPr/>
      </w:pPr>
      <w:r>
        <w:rPr/>
        <w:t>Если вследствие округления сумма строк 5.1—5.50 расходится с итоговым значением, отчитывающийся банк должен таким образом округлить значения в данном разделе, чтобы указанное расхождение не имело места.</w:t>
      </w:r>
    </w:p>
    <w:p>
      <w:pPr>
        <w:pStyle w:val="MainText"/>
        <w:rPr/>
      </w:pPr>
      <w:r>
        <w:rPr/>
        <w:t>В случае если валюта заимствования отличается от валюты, в которой в соответствии с договором будет происходить его погашение, активы и обязательства отчитывающегося банка должны отражаться в валюте погашения.</w:t>
      </w:r>
    </w:p>
    <w:p>
      <w:pPr>
        <w:pStyle w:val="Primer1"/>
        <w:ind w:firstLine="567" w:start="0" w:end="0"/>
        <w:rPr/>
      </w:pPr>
      <w:r>
        <w:rPr/>
        <w:t>Пример. По состоянию на конец отчетного периода отчитывающийся банк располагает следующими видами активов и обязательств в иностранной валюте.</w:t>
      </w:r>
    </w:p>
    <w:p>
      <w:pPr>
        <w:pStyle w:val="Primer2"/>
        <w:keepNext w:val="true"/>
        <w:keepLines/>
        <w:ind w:hanging="0" w:start="0" w:end="0"/>
        <w:jc w:val="end"/>
        <w:rPr/>
      </w:pPr>
      <w:r>
        <w:rPr/>
        <w:t>Таблица 1</w:t>
      </w:r>
    </w:p>
    <w:p>
      <w:pPr>
        <w:pStyle w:val="Primer2"/>
        <w:keepNext w:val="true"/>
        <w:keepLines/>
        <w:spacing w:before="0" w:after="60"/>
        <w:ind w:hanging="0" w:start="0" w:end="0"/>
        <w:jc w:val="center"/>
        <w:rPr/>
      </w:pPr>
      <w:r>
        <w:rPr/>
        <w:t>Активы</w:t>
      </w:r>
    </w:p>
    <w:tbl>
      <w:tblPr>
        <w:tblW w:w="10984" w:type="dxa"/>
        <w:jc w:val="center"/>
        <w:tblInd w:w="0" w:type="dxa"/>
        <w:tblLayout w:type="fixed"/>
        <w:tblCellMar>
          <w:top w:w="0" w:type="dxa"/>
          <w:start w:w="28" w:type="dxa"/>
          <w:bottom w:w="0" w:type="dxa"/>
          <w:end w:w="28" w:type="dxa"/>
        </w:tblCellMar>
      </w:tblPr>
      <w:tblGrid>
        <w:gridCol w:w="3226"/>
        <w:gridCol w:w="2409"/>
        <w:gridCol w:w="1701"/>
        <w:gridCol w:w="992"/>
        <w:gridCol w:w="1328"/>
        <w:gridCol w:w="1328"/>
      </w:tblGrid>
      <w:tr>
        <w:trPr>
          <w:tblHeader w:val="true"/>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Финансовый инструмент</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Дебитор</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Валюта</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Сумма</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Кросс-курс Банка России к доллару США</w:t>
            </w:r>
            <w:r>
              <w:rPr>
                <w:sz w:val="16"/>
                <w:vertAlign w:val="superscript"/>
              </w:rPr>
              <w:t>1</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Эквивалент в тыс. долларов США</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Ссуда</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гривна</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125 тыс.</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5,3</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23,6</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Облигации внутреннего валютного займа Минфина России</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Минфин России</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доллар США</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200 тыс.</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200,0</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Ссуда</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физическое лицо — 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швейцарский франк</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25 тыс.</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14,7</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Еврооблигации</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банк-нерезидент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иена</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1,5 млн.</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135</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11,1</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Ссуда</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предприятие-резидент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тенге</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 млн.</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152</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6,6</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Наличная валюта</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банк-нерезидент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евро</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50 тыс.</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45,5</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Ссуда</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инвестиционная компания — 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шведская крона</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19 тыс.</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10,5</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1,8</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по корреспондентскому счету в драгоценных металлах</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банк-нерезидент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золото</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 кг</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10,3 долл./г</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10,3</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Акции банка — резидента Венгрии</w:t>
            </w:r>
          </w:p>
        </w:tc>
        <w:tc>
          <w:tcPr>
            <w:tcW w:w="240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банк-нерезидент</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форинт</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 млн.</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278</w:t>
            </w:r>
          </w:p>
        </w:tc>
        <w:tc>
          <w:tcPr>
            <w:tcW w:w="1328"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10,8</w:t>
            </w:r>
          </w:p>
        </w:tc>
      </w:tr>
    </w:tbl>
    <w:p>
      <w:pPr>
        <w:pStyle w:val="SnoskaLineTab"/>
        <w:keepLines w:val="false"/>
        <w:pBdr>
          <w:top w:val="single" w:sz="6" w:space="1" w:color="000000"/>
        </w:pBdr>
        <w:spacing w:before="120" w:after="0"/>
        <w:rPr/>
      </w:pPr>
      <w:r>
        <w:rPr>
          <w:vertAlign w:val="superscript"/>
        </w:rPr>
        <w:t>1</w:t>
      </w:r>
      <w:r>
        <w:rPr/>
        <w:t> По состоянию на конец отчетного периода.</w:t>
      </w:r>
    </w:p>
    <w:p>
      <w:pPr>
        <w:pStyle w:val="Primer2"/>
        <w:keepNext w:val="true"/>
        <w:keepLines/>
        <w:spacing w:before="120" w:after="0"/>
        <w:ind w:hanging="0" w:start="0" w:end="0"/>
        <w:jc w:val="end"/>
        <w:rPr/>
      </w:pPr>
      <w:r>
        <w:rPr/>
        <w:t>Таблица 2</w:t>
      </w:r>
    </w:p>
    <w:p>
      <w:pPr>
        <w:pStyle w:val="Primer2"/>
        <w:keepNext w:val="true"/>
        <w:keepLines/>
        <w:spacing w:before="0" w:after="60"/>
        <w:ind w:hanging="0" w:start="0" w:end="0"/>
        <w:jc w:val="center"/>
        <w:rPr/>
      </w:pPr>
      <w:r>
        <w:rPr/>
        <w:t>Обязательства</w:t>
      </w:r>
    </w:p>
    <w:tbl>
      <w:tblPr>
        <w:tblW w:w="10990" w:type="dxa"/>
        <w:jc w:val="center"/>
        <w:tblInd w:w="0" w:type="dxa"/>
        <w:tblLayout w:type="fixed"/>
        <w:tblCellMar>
          <w:top w:w="0" w:type="dxa"/>
          <w:start w:w="28" w:type="dxa"/>
          <w:bottom w:w="0" w:type="dxa"/>
          <w:end w:w="28" w:type="dxa"/>
        </w:tblCellMar>
      </w:tblPr>
      <w:tblGrid>
        <w:gridCol w:w="3226"/>
        <w:gridCol w:w="2410"/>
        <w:gridCol w:w="1702"/>
        <w:gridCol w:w="992"/>
        <w:gridCol w:w="1330"/>
        <w:gridCol w:w="1330"/>
      </w:tblGrid>
      <w:tr>
        <w:trPr>
          <w:tblHeader w:val="true"/>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Финансовый инструмент</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Кредитор</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Валюта</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Сумма</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Кросс-курс Банка России к доллару США</w:t>
            </w:r>
            <w:r>
              <w:rPr>
                <w:sz w:val="16"/>
                <w:vertAlign w:val="superscript"/>
              </w:rPr>
              <w:t>1</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Эквивалент в тыс. долларов США</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Ссуда</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банк-резидент</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гривна</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100 тыс.</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5,3</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18,9</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Ссуда</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банк-нерезидент</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датская крона</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130 тыс.</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8,5</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15,3</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Остаток по валютному расчетному счету</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федеральный орган власти</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доллар США</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50 тыс.</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50,0</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Остаток по валютному расчетному счету</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предприятие-резидент</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тенге</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850 тыс.</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152</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5,6</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Остаток по валютному транзитному счету</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предприятие-резидент</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швейцарский франк</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15 тыс.</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1,7</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8,8</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Остаток по валютному расчетному счету</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физическое лицо — резидент</w:t>
            </w:r>
          </w:p>
        </w:tc>
        <w:tc>
          <w:tcPr>
            <w:tcW w:w="17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доллар США</w:t>
            </w:r>
          </w:p>
        </w:tc>
        <w:tc>
          <w:tcPr>
            <w:tcW w:w="99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120 тыс.</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33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120,0</w:t>
            </w:r>
          </w:p>
        </w:tc>
      </w:tr>
      <w:tr>
        <w:trPr>
          <w:cantSplit/>
        </w:trPr>
        <w:tc>
          <w:tcPr>
            <w:tcW w:w="32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по счету типа “И”</w:t>
            </w:r>
          </w:p>
        </w:tc>
        <w:tc>
          <w:tcPr>
            <w:tcW w:w="241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предприятие-нерезидент</w:t>
            </w:r>
          </w:p>
        </w:tc>
        <w:tc>
          <w:tcPr>
            <w:tcW w:w="17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российский рубль</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 тыс.</w:t>
            </w:r>
          </w:p>
        </w:tc>
        <w:tc>
          <w:tcPr>
            <w:tcW w:w="133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30,6</w:t>
            </w:r>
          </w:p>
        </w:tc>
        <w:tc>
          <w:tcPr>
            <w:tcW w:w="133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3,3</w:t>
            </w:r>
          </w:p>
        </w:tc>
      </w:tr>
    </w:tbl>
    <w:p>
      <w:pPr>
        <w:pStyle w:val="SnoskaLineTab"/>
        <w:keepLines w:val="false"/>
        <w:pBdr>
          <w:top w:val="single" w:sz="6" w:space="1" w:color="000000"/>
        </w:pBdr>
        <w:spacing w:before="120" w:after="0"/>
        <w:rPr/>
      </w:pPr>
      <w:r>
        <w:rPr>
          <w:vertAlign w:val="superscript"/>
        </w:rPr>
        <w:t>1</w:t>
      </w:r>
      <w:r>
        <w:rPr/>
        <w:t> По состоянию на конец отчетного периода.</w:t>
      </w:r>
    </w:p>
    <w:p>
      <w:pPr>
        <w:pStyle w:val="Primer2"/>
        <w:keepNext w:val="true"/>
        <w:keepLines/>
        <w:spacing w:before="120" w:after="0"/>
        <w:ind w:hanging="0" w:start="0" w:end="0"/>
        <w:jc w:val="end"/>
        <w:rPr/>
      </w:pPr>
      <w:r>
        <w:rPr/>
        <w:t>Таблица 3</w:t>
      </w:r>
    </w:p>
    <w:p>
      <w:pPr>
        <w:pStyle w:val="Primer1"/>
        <w:keepNext w:val="true"/>
        <w:keepLines/>
        <w:spacing w:before="60" w:after="60"/>
        <w:ind w:start="0" w:end="0"/>
        <w:jc w:val="end"/>
        <w:rPr/>
      </w:pPr>
      <w:r>
        <w:rPr/>
        <w:t>тыс. долларов США</w:t>
      </w:r>
    </w:p>
    <w:tbl>
      <w:tblPr>
        <w:tblW w:w="10990" w:type="dxa"/>
        <w:jc w:val="center"/>
        <w:tblInd w:w="0" w:type="dxa"/>
        <w:tblLayout w:type="fixed"/>
        <w:tblCellMar>
          <w:top w:w="0" w:type="dxa"/>
          <w:start w:w="28" w:type="dxa"/>
          <w:bottom w:w="0" w:type="dxa"/>
          <w:end w:w="28" w:type="dxa"/>
        </w:tblCellMar>
      </w:tblPr>
      <w:tblGrid>
        <w:gridCol w:w="675"/>
        <w:gridCol w:w="2266"/>
        <w:gridCol w:w="1149"/>
        <w:gridCol w:w="1149"/>
        <w:gridCol w:w="924"/>
        <w:gridCol w:w="1149"/>
        <w:gridCol w:w="1149"/>
        <w:gridCol w:w="1605"/>
        <w:gridCol w:w="924"/>
      </w:tblGrid>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226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Валюта</w:t>
            </w:r>
          </w:p>
        </w:tc>
        <w:tc>
          <w:tcPr>
            <w:tcW w:w="3222" w:type="dxa"/>
            <w:gridSpan w:val="3"/>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Активы (требования)</w:t>
            </w:r>
          </w:p>
        </w:tc>
        <w:tc>
          <w:tcPr>
            <w:tcW w:w="4827"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Обязательства (кроме участия в капитале)</w:t>
            </w:r>
          </w:p>
        </w:tc>
      </w:tr>
      <w:tr>
        <w:trPr>
          <w:tblHeader w:val="true"/>
          <w:cantSplit/>
        </w:trPr>
        <w:tc>
          <w:tcPr>
            <w:tcW w:w="675" w:type="dxa"/>
            <w:tcBorders>
              <w:start w:val="single" w:sz="6" w:space="0" w:color="000000"/>
              <w:end w:val="single" w:sz="6" w:space="0" w:color="000000"/>
            </w:tcBorders>
          </w:tcPr>
          <w:p>
            <w:pPr>
              <w:pStyle w:val="MainText"/>
              <w:keepNext w:val="true"/>
              <w:ind w:hanging="0" w:end="0"/>
              <w:jc w:val="center"/>
              <w:rPr>
                <w:sz w:val="16"/>
              </w:rPr>
            </w:pPr>
            <w:r>
              <w:rPr>
                <w:sz w:val="16"/>
              </w:rPr>
              <w:t>строки</w:t>
            </w:r>
          </w:p>
        </w:tc>
        <w:tc>
          <w:tcPr>
            <w:tcW w:w="2266"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нерезиденты</w:t>
            </w:r>
          </w:p>
        </w:tc>
        <w:tc>
          <w:tcPr>
            <w:tcW w:w="2073"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резиденты</w:t>
            </w:r>
          </w:p>
        </w:tc>
        <w:tc>
          <w:tcPr>
            <w:tcW w:w="1149"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нерезиденты</w:t>
            </w:r>
          </w:p>
        </w:tc>
        <w:tc>
          <w:tcPr>
            <w:tcW w:w="3678"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резиденты</w:t>
            </w:r>
          </w:p>
        </w:tc>
      </w:tr>
      <w:tr>
        <w:trPr>
          <w:tblHeader w:val="true"/>
          <w:cantSplit/>
        </w:trPr>
        <w:tc>
          <w:tcPr>
            <w:tcW w:w="675" w:type="dxa"/>
            <w:tcBorders>
              <w:start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66" w:type="dxa"/>
            <w:tcBorders>
              <w:start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кредитные организации</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w:t>
            </w:r>
          </w:p>
        </w:tc>
        <w:tc>
          <w:tcPr>
            <w:tcW w:w="1149"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кредитные организации</w:t>
            </w:r>
          </w:p>
        </w:tc>
        <w:tc>
          <w:tcPr>
            <w:tcW w:w="160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физические лица, кроме индивидуальных предпринимателей</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прочие</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266"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14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60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92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5.1</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Доллары США</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200,0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5.2</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Швейцарские франки</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14,7</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8,8</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5.3</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Иены</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11,1</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5.4</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Гривны</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23,6</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18,9</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5.5</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Фунты стерлингов</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5.6</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Драгоценные металлы</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10,3</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5.7</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Российские рубли</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3,3</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5.8</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Евро</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45,5</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5.48</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Валюты стран СНГ, кроме российских рублей и гривен</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6,6</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5.49</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СКВ, кроме указанных по строкам 5.1, 5.2, 5.3, 5.5, 5.8</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1,8</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15,3</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5.50</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валюты</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10,8</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5.51</w:t>
            </w:r>
          </w:p>
        </w:tc>
        <w:tc>
          <w:tcPr>
            <w:tcW w:w="22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77,7</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23,6</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223,1</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18,6</w:t>
            </w:r>
          </w:p>
        </w:tc>
        <w:tc>
          <w:tcPr>
            <w:tcW w:w="114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18,9</w:t>
            </w:r>
          </w:p>
        </w:tc>
        <w:tc>
          <w:tcPr>
            <w:tcW w:w="16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120,0</w:t>
            </w:r>
          </w:p>
        </w:tc>
        <w:tc>
          <w:tcPr>
            <w:tcW w:w="924"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64,4</w:t>
            </w:r>
          </w:p>
        </w:tc>
      </w:tr>
    </w:tbl>
    <w:p>
      <w:pPr>
        <w:pStyle w:val="MainTextPodzagolovok401"/>
        <w:jc w:val="both"/>
        <w:rPr>
          <w:rFonts w:ascii="Arial" w:hAnsi="Arial" w:cs="Arial"/>
        </w:rPr>
      </w:pPr>
      <w:r>
        <w:rPr>
          <w:rFonts w:cs="Arial" w:ascii="Arial" w:hAnsi="Arial"/>
        </w:rPr>
        <w:t>VII.5. Для оценки выпущенных резидентами ценных бумаг в разделе 5 используются те же методы, что и для оценки ценных бумаг, составляющих иностранные активы и обязательства, учет которых определен подпунктами II.9.11, II.9.11.1, II.9.11.2, II.9.12 пункта II.9 настоящего Порядка.</w:t>
      </w:r>
    </w:p>
    <w:p>
      <w:pPr>
        <w:pStyle w:val="MainTextPodzagolovok401"/>
        <w:keepLines w:val="false"/>
        <w:rPr>
          <w:rFonts w:ascii="Arial" w:hAnsi="Arial" w:cs="Arial"/>
        </w:rPr>
      </w:pPr>
      <w:r>
        <w:rPr>
          <w:rFonts w:cs="Arial" w:ascii="Arial" w:hAnsi="Arial"/>
        </w:rPr>
        <w:t>VII.6. Взаимосвязь показателей раздела 5 и раздела 1 Отчета</w:t>
      </w:r>
    </w:p>
    <w:p>
      <w:pPr>
        <w:pStyle w:val="MainText"/>
        <w:rPr/>
      </w:pPr>
      <w:r>
        <w:rPr/>
        <w:t>Сумма активов по графе 1 раздела 5 должна быть равна итоговой сумме иностранных активов в отчетах по странам дальнего зарубежья и странам СНГ по графе 5 раздела 1. Сумма обязательств по графе 4 раздела 5 должна быть равна итоговой сумме иностранных обязательств в отчетах по странам дальнего зарубежья и странам СНГ по графе 5 раздела 1 за вычетом значений в графе 5 по строке 1П8 в этих отчетах.</w:t>
      </w:r>
      <w:r>
        <w:br w:type="page"/>
      </w:r>
    </w:p>
    <w:p>
      <w:pPr>
        <w:pStyle w:val="MZagolovokCenter"/>
        <w:spacing w:before="227" w:after="0"/>
        <w:rPr>
          <w:b w:val="false"/>
        </w:rPr>
      </w:pPr>
      <w:r>
        <w:rPr>
          <w:b w:val="false"/>
          <w:color w:val="000000"/>
        </w:rPr>
        <w:t>Раздел VIII. Характеристика и порядок заполнения раздела 6 Отчета</w:t>
      </w:r>
    </w:p>
    <w:p>
      <w:pPr>
        <w:pStyle w:val="MainTextPodzagolovok401"/>
        <w:keepLines w:val="false"/>
        <w:spacing w:before="170" w:after="0"/>
        <w:jc w:val="both"/>
        <w:rPr>
          <w:rFonts w:ascii="Arial" w:hAnsi="Arial" w:cs="Arial"/>
        </w:rPr>
      </w:pPr>
      <w:r>
        <w:rPr>
          <w:rFonts w:cs="Arial" w:ascii="Arial" w:hAnsi="Arial"/>
        </w:rPr>
        <w:t>VIII.1. В разделе 6 отражаются требования и обязательства резидентов по отношению к нерезидентам по контрактам с производными финансовыми инструментами по состоянию на начало и конец отчетного периода и их движение в течение этого периода. Данные представляются по видам контрактов в разбивке по секторам резидентов-кредиторов (дебиторов), отдельным видам валют и группам стран (для внебиржевых контрактов страна определяется по месту нахождения нерезидента, для биржевых контрактов — по месту нахождения биржи). Помимо собственных контрактов, заключенных отчитывающимся банком напрямую с нерезидентами, в разделе также отражаются данные о контрактах, заключенных отчитывающимся банком:</w:t>
      </w:r>
    </w:p>
    <w:p>
      <w:pPr>
        <w:pStyle w:val="MainText"/>
        <w:rPr/>
      </w:pPr>
      <w:r>
        <w:rPr/>
        <w:t>напрямую с нерезидентами в интересах и (или) за счет клиентов-резидентов,</w:t>
      </w:r>
    </w:p>
    <w:p>
      <w:pPr>
        <w:pStyle w:val="MainText"/>
        <w:rPr/>
      </w:pPr>
      <w:r>
        <w:rPr/>
        <w:t>напрямую с резидентами в интересах и (или) за счет клиентов-нерезидентов.</w:t>
      </w:r>
    </w:p>
    <w:p>
      <w:pPr>
        <w:pStyle w:val="MainText"/>
        <w:rPr/>
      </w:pPr>
      <w:r>
        <w:rPr/>
        <w:t>Остатки (позиции) и операции по контрактам рассматриваются отдельно от стоимости базовых активов, с которыми они связаны. В Отчет включается информация обо всех финансовых контрактах независимо от условий расчетов (с поставкой или без поставки базового актива).</w:t>
      </w:r>
    </w:p>
    <w:p>
      <w:pPr>
        <w:pStyle w:val="MainText"/>
        <w:rPr/>
      </w:pPr>
      <w:r>
        <w:rPr/>
        <w:t>Основным моментом для многих контрактов с производными финансовыми инструментами является то, что стороны приходят к соглашению по сделке в будущем и по заранее оговоренной цене на лежащие в основе активы. Текущая (рыночная) стоимость финансового производного инструмента определяется из разницы между заранее оговоренной контрактной ценой лежащего в основе актива и преобладающей рыночной ценой (или ценой, которая будет преобладать), соответственно продисконтированной.</w:t>
      </w:r>
    </w:p>
    <w:p>
      <w:pPr>
        <w:pStyle w:val="MainText"/>
        <w:rPr/>
      </w:pPr>
      <w:r>
        <w:rPr/>
        <w:t>В разделе 6 не отражаются:</w:t>
      </w:r>
    </w:p>
    <w:p>
      <w:pPr>
        <w:pStyle w:val="MainText"/>
        <w:rPr/>
      </w:pPr>
      <w:r>
        <w:rPr/>
        <w:t>встроенные производные инструменты, являющиеся неотделимой частью базового актива;</w:t>
      </w:r>
    </w:p>
    <w:p>
      <w:pPr>
        <w:pStyle w:val="MainText"/>
        <w:rPr/>
      </w:pPr>
      <w:r>
        <w:rPr/>
        <w:t>операции с ценными бумагами на возвратной основе без признания получаемых (передаваемых) ценных бумаг;</w:t>
      </w:r>
    </w:p>
    <w:p>
      <w:pPr>
        <w:pStyle w:val="MainText"/>
        <w:rPr/>
      </w:pPr>
      <w:r>
        <w:rPr/>
        <w:t>контракты с фиксированной ценой на товары и услуги, если они не являются товарными фьючерсами, обращающимися на бирже, а также если в контракте не оговорено, что связанный с ним рыночный риск может быть самостоятельным объектом купли-продажи на финансовых рынках;</w:t>
      </w:r>
    </w:p>
    <w:p>
      <w:pPr>
        <w:pStyle w:val="MainText"/>
        <w:rPr/>
      </w:pPr>
      <w:r>
        <w:rPr/>
        <w:t>страховые контракты;</w:t>
      </w:r>
    </w:p>
    <w:p>
      <w:pPr>
        <w:pStyle w:val="MainText"/>
        <w:rPr/>
      </w:pPr>
      <w:r>
        <w:rPr/>
        <w:t>аккредитивы и гарантии;</w:t>
      </w:r>
    </w:p>
    <w:p>
      <w:pPr>
        <w:pStyle w:val="MainText"/>
        <w:rPr/>
      </w:pPr>
      <w:r>
        <w:rPr/>
        <w:t>комиссии и другие издержки, возникающие при оформлении, исполнении или на протяжении срока действия контракта, уплачиваемые отдельными платежами резидентами в пользу нерезидентов (или нерезидентами в пользу резидентов). Если их выделение невозможно, их стоимость включается в стоимость производного финансового инструмента;</w:t>
      </w:r>
    </w:p>
    <w:p>
      <w:pPr>
        <w:pStyle w:val="MainText"/>
        <w:rPr/>
      </w:pPr>
      <w:r>
        <w:rPr/>
        <w:t>гарантийное обеспечение (начальная (депозитная) маржа) и прочие платежи, возвращаемые вносителю в случае закрытия позиции либо исполнения контракта.</w:t>
      </w:r>
    </w:p>
    <w:p>
      <w:pPr>
        <w:pStyle w:val="MainText"/>
        <w:rPr/>
      </w:pPr>
      <w:r>
        <w:rPr/>
        <w:t>Используемые в рамках данного Порядка термины “вариационная маржа”, “начальная маржа”, “опционный метод применения маржи”, “фьючерсный метод применения маржи” соответствуют используемым в платежных и расчетных системах терминам</w:t>
      </w:r>
      <w:r>
        <w:rPr>
          <w:vertAlign w:val="superscript"/>
        </w:rPr>
        <w:t>1</w:t>
      </w:r>
      <w:r>
        <w:rPr/>
        <w:t>.</w:t>
      </w:r>
    </w:p>
    <w:p>
      <w:pPr>
        <w:pStyle w:val="MainTextPodzagolovok401"/>
        <w:jc w:val="both"/>
        <w:rPr>
          <w:rFonts w:ascii="Arial" w:hAnsi="Arial" w:cs="Arial"/>
        </w:rPr>
      </w:pPr>
      <w:r>
        <w:rPr>
          <w:rFonts w:cs="Arial" w:ascii="Arial" w:hAnsi="Arial"/>
        </w:rPr>
        <w:t>VIII.2. В графе 2 подраздела 6.1 и 6.2 указан буквенный код валюты требования (обязательства) по контрактам. Отдельно выделяются контракты, заключенные в валюте Российской Федерации, в долларах США, в евро, а также в японских иенах. Контракты, заключенные в других валютах, отражаются в целом, без выделения по отдельным валютам, c кодом “Other” в графе 2.</w:t>
      </w:r>
    </w:p>
    <w:p>
      <w:pPr>
        <w:pStyle w:val="MainTextPodzagolovok401"/>
        <w:keepLines w:val="false"/>
        <w:rPr>
          <w:rFonts w:ascii="Arial" w:hAnsi="Arial" w:cs="Arial"/>
        </w:rPr>
      </w:pPr>
      <w:r>
        <w:rPr>
          <w:rFonts w:cs="Arial" w:ascii="Arial" w:hAnsi="Arial"/>
        </w:rPr>
        <w:t>VIII.3. В графе 3 подраздела 6.1 и 6.2 выделяются два вида резидентов:</w:t>
      </w:r>
    </w:p>
    <w:p>
      <w:pPr>
        <w:pStyle w:val="MainText"/>
        <w:rPr/>
      </w:pPr>
      <w:r>
        <w:rPr/>
        <w:t>кредитные организации, к которым относятся отчитывающийся банк и его клиенты — кредитные организации, в интересах и (или) за счет которых отчитывающийся банк заключает напрямую с нерезидентами контракты и осуществляет расчеты по ним, а также контрагенты — кредитные организации, с которыми отчитывающийся банк заключает контракты и осуществляет расчеты, действуя при этом в интересах и (или) за счет своих клиентов-нерезидентов;</w:t>
      </w:r>
    </w:p>
    <w:p>
      <w:pPr>
        <w:pStyle w:val="MainText"/>
        <w:rPr/>
      </w:pPr>
      <w:r>
        <w:rPr/>
        <w:t>прочие, к которым относятся все прочие резиденты, не являющиеся кредитными организациями, в интересах и (или) за счет которых выступает отчитывающийся банк, а также контрагенты-резиденты, с которыми отчитывающийся банк заключает контракты и осуществляет расчеты, действуя при этом в интересах и (или) за счет своих клиентов-нерезидентов.</w:t>
      </w:r>
    </w:p>
    <w:p>
      <w:pPr>
        <w:pStyle w:val="MainTextPodzagolovok401"/>
        <w:keepNext w:val="false"/>
        <w:jc w:val="both"/>
        <w:rPr>
          <w:rFonts w:ascii="Arial" w:hAnsi="Arial" w:cs="Arial"/>
        </w:rPr>
      </w:pPr>
      <w:r>
        <w:rPr>
          <w:rFonts w:cs="Arial" w:ascii="Arial" w:hAnsi="Arial"/>
        </w:rPr>
        <w:t>VIII.4. В графах 4—11 подраздела 6.1 отражаются сведения о всех опционах, выписанных (купленных) в течение отчетного периода, как биржевых, так и внебиржевых, использующих опционный метод применения маржи. В графах 12 и 13 отражаются сведения об опционах и фьючерсах, заключенных на биржах и использующих фьючерсный метод применения маржи.</w:t>
      </w:r>
    </w:p>
    <w:p>
      <w:pPr>
        <w:pStyle w:val="MainText"/>
        <w:rPr/>
      </w:pPr>
      <w:r>
        <w:rPr/>
        <w:t>В графах 4 и 7 подраздела 6.1 показываются накопленные обязательства резидентов перед нерезидентами, в том числе обязательства перед нерезидентами, в интересах и (или) за счет которых выступает отчитывающийся банк, по состоянию на начало и конец отчетного периода соответственно.</w:t>
      </w:r>
    </w:p>
    <w:p>
      <w:pPr>
        <w:pStyle w:val="MainText"/>
        <w:rPr/>
      </w:pPr>
      <w:r>
        <w:rPr/>
        <w:t>В графах 8 и 11 подраздела 6.1 показываются накопленные требования резидентов к нерезидентам, в том числе требования к нерезидентам, в интересах и (или) за счет которых выступает отчитывающийся банк, по состоянию на начало и конец отчетного периода соответственно.</w:t>
      </w:r>
    </w:p>
    <w:p>
      <w:pPr>
        <w:pStyle w:val="MainText"/>
        <w:rPr/>
      </w:pPr>
      <w:r>
        <w:rPr/>
        <w:t>Все контракты учитываются на валовой основе, то есть требования и обязательства по нескольким контрактам, заключенным с одним и тем же контрагентом, не сальдируются.</w:t>
      </w:r>
    </w:p>
    <w:p>
      <w:pPr>
        <w:pStyle w:val="MainText"/>
        <w:rPr/>
      </w:pPr>
      <w:r>
        <w:rPr/>
        <w:t>Остаток (позиция) на конец отчетного периода (графы 7 и 11) определяется на основе рыночных цен на последний день торгов в отчетном периоде. Для опционов цена зависит от потенциальной ценовой волатильности лежащего в основе инструмента, срока погашения, процентных ставок и разницы между ценой исполнения и рыночной ценой лежащего в основе актива. Если рыночная цена отсутствует, то цена может быть определена на основе общепринятой модели по оценке стоимости (например, модель Блэка-Шоулза). Для опционов (включая варранты) отражаемая рыночная стоимость — это текущая стоимость опциона, которая также является преобладающей рыночной ценой. В случае отсутствия рыночной цены может быть использована оценочная стоимость покупки прав у держателя (покупателя) опциона. Встречное обязательство приписывается продавцу опциона и оценивается по текущей стоимости покупки прав у держателя опциона. Для варранта встречное обязательство эмитента — это текущие затраты, требуемые для покупки прав держателя.</w:t>
      </w:r>
    </w:p>
    <w:p>
      <w:pPr>
        <w:pStyle w:val="MainText"/>
        <w:rPr/>
      </w:pPr>
      <w:r>
        <w:rPr/>
        <w:t>Стоимость остатков (позиций) на начало отчетного периода должна соответствовать стоимости остатков (позиций) на конец предыдущего отчетного периода.</w:t>
      </w:r>
    </w:p>
    <w:p>
      <w:pPr>
        <w:pStyle w:val="MainText"/>
        <w:rPr/>
      </w:pPr>
      <w:r>
        <w:rPr/>
        <w:t>В графах 5, 6, 9 и 10 подраздела 6.1 отражаются изменения, которые произошли в течение отчетного периода.</w:t>
      </w:r>
    </w:p>
    <w:p>
      <w:pPr>
        <w:pStyle w:val="MainText"/>
        <w:rPr/>
      </w:pPr>
      <w:r>
        <w:rPr/>
        <w:t>Рост обязательств (требований) отражается со знаком “плюс”. Снижение обязательств (требований) отражается со знаком “минус”.</w:t>
      </w:r>
    </w:p>
    <w:p>
      <w:pPr>
        <w:pStyle w:val="MainText"/>
        <w:rPr/>
      </w:pPr>
      <w:r>
        <w:rPr/>
        <w:t>В графах 5 и 9 подраздела 6.1 отражаются для выписанных (купленных) опционов в течение отчетного периода премии полученные (выплаченные), расчеты при исполнении опциона. Продажа (покупка) опционов на вторичном рынке отражается по рыночным ценам. Премия, полученная за закрывающую продажу приобретенного опциона, должна быть учтена как доход по приобретенным опционам, а премия, заплаченная за закрывающую покупку выписанного опциона, должна быть учтена как платеж по выписанным опционам. Платежи резидента — продавца опциона в пользу нерезидента — держателя опциона в период действия контракта или при его исполнении отражаются как снижение обязательства по контракту, купленному у нерезидента. Поступления денежных средств в пользу резидента — покупателя (держателя) опциона в период действия контракта или при его исполнении отражаются как снижение требования по контракту.</w:t>
      </w:r>
    </w:p>
    <w:p>
      <w:pPr>
        <w:pStyle w:val="MainText"/>
        <w:rPr/>
      </w:pPr>
      <w:r>
        <w:rPr/>
        <w:t>В графах 6 и 10 подраздела 6.1 отражаются все прочие изменения в стоимости контрактов, не имеющие отношения к операциям, включая изменения рыночных цен и валютных курсов. В указанных графах также отражается остаточная стоимость опциона, при его истечении — с нулевой стоимостью.</w:t>
      </w:r>
    </w:p>
    <w:p>
      <w:pPr>
        <w:pStyle w:val="Primer1"/>
        <w:ind w:firstLine="567" w:start="0" w:end="0"/>
        <w:rPr/>
      </w:pPr>
      <w:r>
        <w:rPr/>
        <w:t>Пример 1. Отчитывающийся банк на начало отчетного периода владел опционом стоимостью 600 тыс. рублей с истечением его в отчетном периоде. В момент заключения опционного контракта его рыночная стоимость была равна размеру уплаченной премии. Эта цена менялась по мере изменения рыночной цены базового актива и приближения срока исполнения. На протяжении всего срока действия контракта продавец опциона (нерезидент) будет постоянно нести обязательство, а покупатель опциона (отчитывающийся банк) — обладать производным финансовым активом. Официальный курс доллара США по отношению к рублю, установленный Банком России, на начало отчетного периода был равен 30 рублям за доллар США, на дату истечения срока опциона — 31 рублю за доллар США. В этих условиях покупателю опциона невыгодно его исполнять, в результате опцион истек с нулевой стоимостью.</w:t>
      </w:r>
    </w:p>
    <w:p>
      <w:pPr>
        <w:pStyle w:val="Primer2"/>
        <w:keepNext w:val="true"/>
        <w:keepLines/>
        <w:spacing w:before="0" w:after="60"/>
        <w:ind w:firstLine="284" w:end="0"/>
        <w:jc w:val="end"/>
        <w:rPr/>
      </w:pPr>
      <w:r>
        <w:rPr/>
        <w:t>тыс. долларов США</w:t>
      </w:r>
    </w:p>
    <w:tbl>
      <w:tblPr>
        <w:tblW w:w="10930" w:type="dxa"/>
        <w:jc w:val="center"/>
        <w:tblInd w:w="0" w:type="dxa"/>
        <w:tblLayout w:type="fixed"/>
        <w:tblCellMar>
          <w:top w:w="0" w:type="dxa"/>
          <w:start w:w="28" w:type="dxa"/>
          <w:bottom w:w="0" w:type="dxa"/>
          <w:end w:w="28" w:type="dxa"/>
        </w:tblCellMar>
      </w:tblPr>
      <w:tblGrid>
        <w:gridCol w:w="673"/>
        <w:gridCol w:w="566"/>
        <w:gridCol w:w="1135"/>
        <w:gridCol w:w="861"/>
        <w:gridCol w:w="861"/>
        <w:gridCol w:w="861"/>
        <w:gridCol w:w="805"/>
        <w:gridCol w:w="861"/>
        <w:gridCol w:w="861"/>
        <w:gridCol w:w="861"/>
        <w:gridCol w:w="805"/>
        <w:gridCol w:w="919"/>
        <w:gridCol w:w="861"/>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56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валюты</w:t>
            </w:r>
          </w:p>
        </w:tc>
        <w:tc>
          <w:tcPr>
            <w:tcW w:w="113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Резидент</w:t>
            </w:r>
          </w:p>
        </w:tc>
        <w:tc>
          <w:tcPr>
            <w:tcW w:w="3388"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Опционы, выписанные на нерезидентов</w:t>
            </w:r>
          </w:p>
        </w:tc>
        <w:tc>
          <w:tcPr>
            <w:tcW w:w="3388"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Опционы, купленные у нерезидентов</w:t>
            </w:r>
          </w:p>
        </w:tc>
        <w:tc>
          <w:tcPr>
            <w:tcW w:w="178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Опционы и фьючерсы, заключенные на биржах</w:t>
            </w:r>
          </w:p>
        </w:tc>
      </w:tr>
      <w:tr>
        <w:trPr>
          <w:tblHeader w:val="true"/>
          <w:cantSplit/>
        </w:trPr>
        <w:tc>
          <w:tcPr>
            <w:tcW w:w="673" w:type="dxa"/>
            <w:tcBorders>
              <w:start w:val="single" w:sz="6" w:space="0" w:color="000000"/>
              <w:end w:val="single" w:sz="6" w:space="0" w:color="000000"/>
            </w:tcBorders>
          </w:tcPr>
          <w:p>
            <w:pPr>
              <w:pStyle w:val="MainText"/>
              <w:snapToGrid w:val="false"/>
              <w:ind w:hanging="0" w:end="0"/>
              <w:jc w:val="center"/>
              <w:rPr>
                <w:sz w:val="14"/>
              </w:rPr>
            </w:pPr>
            <w:r>
              <w:rPr>
                <w:rFonts w:cs="Arial"/>
                <w:sz w:val="14"/>
              </w:rPr>
            </w:r>
          </w:p>
        </w:tc>
        <w:tc>
          <w:tcPr>
            <w:tcW w:w="566"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86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начало</w:t>
            </w:r>
          </w:p>
        </w:tc>
        <w:tc>
          <w:tcPr>
            <w:tcW w:w="17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изменения в отчетном периоде</w:t>
            </w:r>
          </w:p>
        </w:tc>
        <w:tc>
          <w:tcPr>
            <w:tcW w:w="80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конец</w:t>
            </w:r>
          </w:p>
        </w:tc>
        <w:tc>
          <w:tcPr>
            <w:tcW w:w="86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начало</w:t>
            </w:r>
          </w:p>
        </w:tc>
        <w:tc>
          <w:tcPr>
            <w:tcW w:w="17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изменения в отчетном периоде</w:t>
            </w:r>
          </w:p>
        </w:tc>
        <w:tc>
          <w:tcPr>
            <w:tcW w:w="80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конец</w:t>
            </w:r>
          </w:p>
        </w:tc>
        <w:tc>
          <w:tcPr>
            <w:tcW w:w="178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отклонения по марже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rFonts w:cs="Arial"/>
                <w:sz w:val="12"/>
              </w:rPr>
            </w:r>
          </w:p>
        </w:tc>
        <w:tc>
          <w:tcPr>
            <w:tcW w:w="566"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135"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61"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изменения в результате операций</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прочие изменения, включая переоценки</w:t>
            </w:r>
          </w:p>
        </w:tc>
        <w:tc>
          <w:tcPr>
            <w:tcW w:w="805"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изменения в результате операций</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прочие изменения, включая переоценки</w:t>
            </w:r>
          </w:p>
        </w:tc>
        <w:tc>
          <w:tcPr>
            <w:tcW w:w="805"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полученные от нерезидентов</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выплаченные нерезидентам</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8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8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6.1.1</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RUB</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20,0</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20,0</w:t>
            </w:r>
          </w:p>
        </w:tc>
        <w:tc>
          <w:tcPr>
            <w:tcW w:w="80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91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bl>
    <w:p>
      <w:pPr>
        <w:pStyle w:val="MainText"/>
        <w:spacing w:before="120" w:after="0"/>
        <w:rPr/>
      </w:pPr>
      <w:r>
        <w:rPr/>
        <w:t>В графах 12 и 13 подраздела 6.1 для опционов и фьючерсов, заключенных на биржах и использующих фьючерсный метод применения маржи, отражаются только операции. Отражаются отдельно полученная от нерезидентов вариационная маржа (включая маржинальные платежи нерезидентов, в интересах и (или) за счет которых выступает отчитывающийся банк) и выплаченная нерезидентам вариационная маржа (включая маржинальные платежи в пользу нерезидентов, в интересах и (или) за счет которых выступает отчитывающийся банк). На организованном биржевом рынке вариационная маржа определяется ежедневно путем фиксирования цены контракта и рыночной стоимости. Ее цель — покрыть реальные обязательства, возникшие по заключенным контрактам (опционам и фьючерсам). Вариационная маржа списывается со счета участника, у которого открыта убыточная позиция, и начисляется на счет участника, у которого открыта прибыльная позиция. Вариационная маржа взимается из гарантийного обеспечения, предоставляемого участниками сделки.</w:t>
      </w:r>
    </w:p>
    <w:p>
      <w:pPr>
        <w:pStyle w:val="Primer1"/>
        <w:ind w:firstLine="567" w:start="0" w:end="0"/>
        <w:rPr/>
      </w:pPr>
      <w:r>
        <w:rPr/>
        <w:t>Пример 2. Отчитывающийся банк, выступающий в интересах и за счет клиента-нерезидента, продал на рынке FORTS фьючерсный контракт на поставку 1000 акций компании “А” по фиксированной цене с исполнением в марте 2009 года. В момент соглашения цена фьючерса составляла 35,0 тыс. долларов США. На следующий день торги закрылись на отметке 34,8 тыс. долларов США. Вариационная маржа в размере 0,2 тыс. долларов США (35,0 – 34,8) списывается со счета покупателя контракта и перечисляется биржей, выступающей в качестве центрального контрагента, продавцу контракта — нерезиденту, в интересах и за счет которого выступает отчитывающийся банк. На третий день произошел рост цен и контракт на поставку 1000 акций компании “А” на момент окончания торгов стоил 35,3 тыс. долларов США. В этом случае вариационная маржа в размере 0,5 тыс. долларов США (35,3 – 34,8) списывается со счета нерезидента и перечисляется покупателю контракта. На четвертый день оба участника решили закрыть позиции. Цена сделки составила 35,2 тыс. долларов США. При ее совершении последний раз перечисляется вариационная маржа: 0,1 тыс. долларов США (35,3 – 35,2) списывается со счета покупателя и зачисляется на счет продавца-нерезидента. Результатом сделки стали: для покупателя контракта — прибыль в размере 0,2 тыс. долларов США, полученная в виде вариационной маржи (–0,2 + 0,5 – 0,1) или (35,2 – 35,0), а для продавца — убыток в том же размере.</w:t>
      </w:r>
    </w:p>
    <w:p>
      <w:pPr>
        <w:pStyle w:val="Primer1"/>
        <w:ind w:firstLine="567" w:start="0" w:end="0"/>
        <w:rPr/>
      </w:pPr>
      <w:r>
        <w:rPr/>
        <w:t>Пример 3. У отчитывающегося банка образуется обязательство по его позиции по фьючерсному контракту, заключенному на иностранной бирже, и ему необходимо выплатить клиринговой палате невозвратный гарантийный взнос (вариационную маржу) в размере 500 тыс. евро. Курс доллара США к евро на момент выплаты составил 1,26 доллара США за 1 евро.</w:t>
      </w:r>
    </w:p>
    <w:p>
      <w:pPr>
        <w:pStyle w:val="Primer2"/>
        <w:keepNext w:val="true"/>
        <w:keepLines/>
        <w:spacing w:before="0" w:after="60"/>
        <w:ind w:firstLine="284" w:end="0"/>
        <w:jc w:val="end"/>
        <w:rPr/>
      </w:pPr>
      <w:r>
        <w:rPr/>
        <w:t>тыс. долларов США</w:t>
      </w:r>
    </w:p>
    <w:tbl>
      <w:tblPr>
        <w:tblW w:w="10930" w:type="dxa"/>
        <w:jc w:val="center"/>
        <w:tblInd w:w="0" w:type="dxa"/>
        <w:tblLayout w:type="fixed"/>
        <w:tblCellMar>
          <w:top w:w="0" w:type="dxa"/>
          <w:start w:w="28" w:type="dxa"/>
          <w:bottom w:w="0" w:type="dxa"/>
          <w:end w:w="28" w:type="dxa"/>
        </w:tblCellMar>
      </w:tblPr>
      <w:tblGrid>
        <w:gridCol w:w="673"/>
        <w:gridCol w:w="566"/>
        <w:gridCol w:w="1135"/>
        <w:gridCol w:w="861"/>
        <w:gridCol w:w="861"/>
        <w:gridCol w:w="861"/>
        <w:gridCol w:w="805"/>
        <w:gridCol w:w="861"/>
        <w:gridCol w:w="861"/>
        <w:gridCol w:w="861"/>
        <w:gridCol w:w="805"/>
        <w:gridCol w:w="919"/>
        <w:gridCol w:w="861"/>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56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валюты</w:t>
            </w:r>
          </w:p>
        </w:tc>
        <w:tc>
          <w:tcPr>
            <w:tcW w:w="113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Резидент</w:t>
            </w:r>
          </w:p>
        </w:tc>
        <w:tc>
          <w:tcPr>
            <w:tcW w:w="3388"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Опционы, выписанные на нерезидентов</w:t>
            </w:r>
          </w:p>
        </w:tc>
        <w:tc>
          <w:tcPr>
            <w:tcW w:w="3388" w:type="dxa"/>
            <w:gridSpan w:val="4"/>
            <w:tcBorders>
              <w:top w:val="single" w:sz="6" w:space="0" w:color="000000"/>
              <w:start w:val="single" w:sz="6" w:space="0" w:color="000000"/>
              <w:end w:val="single" w:sz="6" w:space="0" w:color="000000"/>
            </w:tcBorders>
          </w:tcPr>
          <w:p>
            <w:pPr>
              <w:pStyle w:val="MainText"/>
              <w:ind w:hanging="0" w:end="0"/>
              <w:jc w:val="center"/>
              <w:rPr>
                <w:sz w:val="14"/>
              </w:rPr>
            </w:pPr>
            <w:r>
              <w:rPr>
                <w:sz w:val="14"/>
              </w:rPr>
              <w:t>Опционы, купленные у нерезидентов</w:t>
            </w:r>
          </w:p>
        </w:tc>
        <w:tc>
          <w:tcPr>
            <w:tcW w:w="178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Опционы и фьючерсы, заключенные на биржах</w:t>
            </w:r>
          </w:p>
        </w:tc>
      </w:tr>
      <w:tr>
        <w:trPr>
          <w:tblHeader w:val="true"/>
          <w:cantSplit/>
        </w:trPr>
        <w:tc>
          <w:tcPr>
            <w:tcW w:w="673" w:type="dxa"/>
            <w:tcBorders>
              <w:start w:val="single" w:sz="6" w:space="0" w:color="000000"/>
              <w:end w:val="single" w:sz="6" w:space="0" w:color="000000"/>
            </w:tcBorders>
          </w:tcPr>
          <w:p>
            <w:pPr>
              <w:pStyle w:val="MainText"/>
              <w:snapToGrid w:val="false"/>
              <w:ind w:hanging="0" w:end="0"/>
              <w:jc w:val="center"/>
              <w:rPr>
                <w:sz w:val="14"/>
              </w:rPr>
            </w:pPr>
            <w:r>
              <w:rPr>
                <w:rFonts w:cs="Arial"/>
                <w:sz w:val="14"/>
              </w:rPr>
            </w:r>
          </w:p>
        </w:tc>
        <w:tc>
          <w:tcPr>
            <w:tcW w:w="566"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start w:val="single" w:sz="6" w:space="0" w:color="000000"/>
              <w:end w:val="single" w:sz="6" w:space="0" w:color="000000"/>
            </w:tcBorders>
          </w:tcPr>
          <w:p>
            <w:pPr>
              <w:pStyle w:val="MainText"/>
              <w:snapToGrid w:val="false"/>
              <w:ind w:hanging="0" w:end="0"/>
              <w:jc w:val="center"/>
              <w:rPr>
                <w:sz w:val="14"/>
              </w:rPr>
            </w:pPr>
            <w:r>
              <w:rPr>
                <w:sz w:val="14"/>
              </w:rPr>
            </w:r>
          </w:p>
        </w:tc>
        <w:tc>
          <w:tcPr>
            <w:tcW w:w="86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начало</w:t>
            </w:r>
          </w:p>
        </w:tc>
        <w:tc>
          <w:tcPr>
            <w:tcW w:w="17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изменения в отчетном периоде</w:t>
            </w:r>
          </w:p>
        </w:tc>
        <w:tc>
          <w:tcPr>
            <w:tcW w:w="80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конец</w:t>
            </w:r>
          </w:p>
        </w:tc>
        <w:tc>
          <w:tcPr>
            <w:tcW w:w="86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начало</w:t>
            </w:r>
          </w:p>
        </w:tc>
        <w:tc>
          <w:tcPr>
            <w:tcW w:w="17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изменения в отчетном периоде</w:t>
            </w:r>
          </w:p>
        </w:tc>
        <w:tc>
          <w:tcPr>
            <w:tcW w:w="80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остаток на конец</w:t>
            </w:r>
          </w:p>
        </w:tc>
        <w:tc>
          <w:tcPr>
            <w:tcW w:w="178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отклонения по марже</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rFonts w:cs="Arial"/>
                <w:sz w:val="12"/>
              </w:rPr>
            </w:r>
          </w:p>
        </w:tc>
        <w:tc>
          <w:tcPr>
            <w:tcW w:w="566"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135"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61"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изменения в результате операций</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прочие изменения, включая переоценки</w:t>
            </w:r>
          </w:p>
        </w:tc>
        <w:tc>
          <w:tcPr>
            <w:tcW w:w="805"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изменения в результате операций</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прочие изменения, включая переоценки</w:t>
            </w:r>
          </w:p>
        </w:tc>
        <w:tc>
          <w:tcPr>
            <w:tcW w:w="805" w:type="dxa"/>
            <w:tcBorders>
              <w:start w:val="single" w:sz="6" w:space="0" w:color="000000"/>
              <w:bottom w:val="single" w:sz="6" w:space="0" w:color="000000"/>
              <w:end w:val="single" w:sz="6" w:space="0" w:color="000000"/>
            </w:tcBorders>
          </w:tcPr>
          <w:p>
            <w:pPr>
              <w:pStyle w:val="MainText"/>
              <w:ind w:hanging="0" w:end="0"/>
              <w:jc w:val="center"/>
              <w:rPr>
                <w:sz w:val="12"/>
              </w:rPr>
            </w:pPr>
            <w:r>
              <w:rPr>
                <w:sz w:val="14"/>
              </w:rPr>
              <w:t>отчетного периода</w:t>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полученные от нерезидентов</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выплаченные нерезидентам</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8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80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6.1.4</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USD</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0,5 (2)</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0,3= (0,2+0,1) (2)</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6.1.5</w:t>
            </w:r>
          </w:p>
        </w:tc>
        <w:tc>
          <w:tcPr>
            <w:tcW w:w="5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EUR</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80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919"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861"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630 (3)</w:t>
            </w:r>
          </w:p>
        </w:tc>
      </w:tr>
    </w:tbl>
    <w:p>
      <w:pPr>
        <w:pStyle w:val="MainTextPodzagolovok401"/>
        <w:jc w:val="both"/>
        <w:rPr>
          <w:rFonts w:ascii="Arial" w:hAnsi="Arial" w:cs="Arial"/>
        </w:rPr>
      </w:pPr>
      <w:r>
        <w:rPr>
          <w:rFonts w:cs="Arial" w:ascii="Arial" w:hAnsi="Arial"/>
        </w:rPr>
        <w:t>VIII.5. В графах 5—8 подраздела 6.2 отражаются сведения о всех внебиржевых контрактах с производными финансовыми инструментами, такими как процентные свопы и форварды, соглашения о будущих процентных ставках, кросс-валютные свопы, валютные форварды и прочие контракты форвардного типа.</w:t>
      </w:r>
    </w:p>
    <w:p>
      <w:pPr>
        <w:pStyle w:val="MainText"/>
        <w:rPr/>
      </w:pPr>
      <w:r>
        <w:rPr/>
        <w:t>Позиции на начало (графа 5) и конец отчетного периода (графа 8) должны быть разбиты на требования к нерезидентам, включая требования к нерезидентам, в интересах и (или) за счет которых выступает отчитывающийся банк, и обязательства перед нерезидентами, включая обязательства перед нерезидентами, в интересах и (или) за счет которых выступает отчитывающийся банк. Стоимость остатков (позиций) на начало отчетного периода должна соответствовать стоимости остатков (позиций) на конец предыдущего отчетного периода.</w:t>
      </w:r>
    </w:p>
    <w:p>
      <w:pPr>
        <w:pStyle w:val="MainText"/>
        <w:rPr/>
      </w:pPr>
      <w:r>
        <w:rPr/>
        <w:t>Стоимость остатков (позиций) определяется на основе рыночной стоимости контрактов или на их приближенном значении, полученном по общепринятой модели оценки стоимости.</w:t>
      </w:r>
    </w:p>
    <w:p>
      <w:pPr>
        <w:pStyle w:val="MainText"/>
        <w:rPr/>
      </w:pPr>
      <w:r>
        <w:rPr/>
        <w:t>Позиции для форвардных контрактов могут рассчитываться как умноженная на объем по контракту чистая приведенная стоимость разницы между текущей (форвардной) ценой базового актива и ценой, согласованной по контракту. Стоимость свопового контракта равна сумме продисконтированных доходов (убытков) по всем форвардам, включенным в контракт с датой исполнения больше даты составления позиции по свопу. Как правило, контракт форвардного типа в момент заключения имеет нулевую стоимость, так как стороны обмениваются рисками с одинаковой рыночной стоимостью. При изменении цен на лежащий в основе контракта базовый актив меняется и рыночная стоимость контракта. При этом стоимость позиции по контрактам форвардного типа по мере изменения цен на базовый актив может меняться с требований к нерезиденту на обязательства перед нерезидентом и наоборот. Если происходит такой переход позиций и платежи по урегулированию расчетов отсутствуют, в данном подразделе отражаются: снижение рыночной стоимости соответствующей позиции (например, требования) на конец отчетного периода до нуля и возникновение в отчетном периоде новой позиции (обязательства). Указанные изменения отражаются в графе 7 как изменения в результате переоценки, а не как операции.</w:t>
      </w:r>
    </w:p>
    <w:p>
      <w:pPr>
        <w:pStyle w:val="MainText"/>
        <w:rPr/>
      </w:pPr>
      <w:r>
        <w:rPr/>
        <w:t>Позиции для процентных свопов и соглашений о будущих процентных ставках могут рассчитываться как чистая приведенная стоимость разницы между всеми ожидаемыми процентными платежами и поступлениями денежных средств, полученными на протяжении действия контракта. Ожидаемый валютный курс и (или) другие ожидаемые цены также следует учитывать при расчете позиций для многовалютных свопов и других видов свопов. Если валютный или процентный своп основан на активе, то стоимость контракта отражается как разница между основной суммой (включая начисленные проценты) приобретенного актива и актива исходного. Если валютный или процентный своп основан на обязательстве, то стоимость контракта отражается как разница между исходным обязательством и обязательством, приобретенным по контракту.</w:t>
      </w:r>
    </w:p>
    <w:p>
      <w:pPr>
        <w:pStyle w:val="Primer1"/>
        <w:ind w:firstLine="567" w:start="0" w:end="0"/>
        <w:rPr/>
      </w:pPr>
      <w:r>
        <w:rPr/>
        <w:t>Пример 1. Резиденту, в интересах которого выступает отчитывающийся банк, принадлежит соглашение о процентной ставке, которое оценивалось в 100 тыс. долларов США (если контрагент-нерезидент должен заплатить резиденту, то такой контракт учитывается как требование к нерезиденту) на конец предыдущего отчетного периода. В момент заключения контракт форвардного типа, как правило, имеет нулевую стоимость, так как оба контрагента производят обмен рисками равной рыночной стоимости. В отчетном периоде в связи с изменением процентных ставок соглашение на конец отчетного периода стало оцениваться в 60 тыс. долларов США и в результате вместо требования (актива) у резидента появилось обязательство перед нерезидентом. В отчетном периоде это изменение отражается как изменение в связи с переоценкой следующим образом:</w:t>
      </w:r>
    </w:p>
    <w:p>
      <w:pPr>
        <w:pStyle w:val="Primer1"/>
        <w:keepNext w:val="true"/>
        <w:keepLines/>
        <w:spacing w:before="0" w:after="60"/>
        <w:ind w:firstLine="284" w:end="0"/>
        <w:jc w:val="end"/>
        <w:rPr/>
      </w:pPr>
      <w:r>
        <w:rPr/>
        <w:t>тыс. долларов США</w:t>
      </w:r>
    </w:p>
    <w:tbl>
      <w:tblPr>
        <w:tblW w:w="10981" w:type="dxa"/>
        <w:jc w:val="center"/>
        <w:tblInd w:w="0" w:type="dxa"/>
        <w:tblLayout w:type="fixed"/>
        <w:tblCellMar>
          <w:top w:w="0" w:type="dxa"/>
          <w:start w:w="28" w:type="dxa"/>
          <w:bottom w:w="0" w:type="dxa"/>
          <w:end w:w="28" w:type="dxa"/>
        </w:tblCellMar>
      </w:tblPr>
      <w:tblGrid>
        <w:gridCol w:w="673"/>
        <w:gridCol w:w="709"/>
        <w:gridCol w:w="2124"/>
        <w:gridCol w:w="1495"/>
        <w:gridCol w:w="1495"/>
        <w:gridCol w:w="1495"/>
        <w:gridCol w:w="1495"/>
        <w:gridCol w:w="1495"/>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0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Код</w:t>
            </w:r>
          </w:p>
        </w:tc>
        <w:tc>
          <w:tcPr>
            <w:tcW w:w="212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Резидент</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Требования</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Остаток на начало</w:t>
            </w:r>
          </w:p>
        </w:tc>
        <w:tc>
          <w:tcPr>
            <w:tcW w:w="299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Изменения в отчетном периоде</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Остаток на конец</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09"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валюты</w:t>
            </w:r>
          </w:p>
        </w:tc>
        <w:tc>
          <w:tcPr>
            <w:tcW w:w="212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w:t>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отчетного периода</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изменение в результате операций</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изменения, включая переоценки</w:t>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отчетного периода</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6.2.7</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100</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 xml:space="preserve">0,0 </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100</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6.2.8</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 xml:space="preserve">0,0 </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60</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60</w:t>
            </w:r>
          </w:p>
        </w:tc>
      </w:tr>
    </w:tbl>
    <w:p>
      <w:pPr>
        <w:pStyle w:val="MainText"/>
        <w:spacing w:before="120" w:after="0"/>
        <w:rPr/>
      </w:pPr>
      <w:r>
        <w:rPr/>
        <w:t>В графе 6 подраздела 6.2 для соглашений о будущих процентных ставках отражаются процентные платежи и поступления денежных средств. Для внебиржевых контрактов форвардного типа, включая свопы, — платежи по расчетам на чистой основе. Для валютных и многовалютных свопов важно разделять операции с производным финансовым инструментом и операции с лежащими в его основе валютами. При исполнении контракта отражается только разница в стоимости обмениваемых валют. Изменения в стоимости контрактов в результате изменения цен и изменений валютного курса отражаются в графе 7 и включают любые прибыли и убытки, возникающие как при расчетах без поставки, так и при поставке базового актива.</w:t>
      </w:r>
    </w:p>
    <w:p>
      <w:pPr>
        <w:pStyle w:val="MainText"/>
        <w:rPr/>
      </w:pPr>
      <w:r>
        <w:rPr/>
        <w:t>В графе 7 подраздела 6.2 изменения в стоимости производных финансовых инструментов отражаются как переоценки. Изменения в стоимости производных финансовых инструментов до нуля или от нуля также классифицируются как переоценки. В данной графе отражаются и переоценки, обусловленные изменениями валютного курса, в том числе в валюте деноминации инструмента. Для кросс-валютных свопов, свопов на процентные ставки все результаты переоценок считаются условно переоценками в результате влияния обменного курса.</w:t>
      </w:r>
    </w:p>
    <w:p>
      <w:pPr>
        <w:pStyle w:val="Primer1"/>
        <w:ind w:firstLine="567" w:start="0" w:end="0"/>
        <w:rPr/>
      </w:pPr>
      <w:r>
        <w:rPr/>
        <w:t>Пример 2. Отчитывающийся банк является держателем свопа, чистая стоимость активов которого на начало отчетного периода равна 150 тыс. долларов США. В течение отчетного периода платежи банка по своповому контракту — 80 тыс. долларов США, а поступления денежных средств — 20 тыс. долларов США. В конце отчетного периода чистая стоимость активов свопа равна 50 тыс. долларов США.</w:t>
      </w:r>
    </w:p>
    <w:p>
      <w:pPr>
        <w:pStyle w:val="Primer1"/>
        <w:ind w:firstLine="567" w:start="0" w:end="0"/>
        <w:rPr/>
      </w:pPr>
      <w:r>
        <w:rPr/>
        <w:t>Пример 3. Те же условия, что и в примере 2, за исключением того, что в конце отчетного периода своп имел чистую позицию по обязательствам в размере 30 тыс. долларов США:</w:t>
      </w:r>
    </w:p>
    <w:p>
      <w:pPr>
        <w:pStyle w:val="Primer2"/>
        <w:keepNext w:val="true"/>
        <w:keepLines/>
        <w:spacing w:before="0" w:after="60"/>
        <w:ind w:firstLine="284" w:end="0"/>
        <w:jc w:val="end"/>
        <w:rPr/>
      </w:pPr>
      <w:r>
        <w:rPr/>
        <w:t>тыс. долларов США</w:t>
      </w:r>
    </w:p>
    <w:tbl>
      <w:tblPr>
        <w:tblW w:w="10981" w:type="dxa"/>
        <w:jc w:val="center"/>
        <w:tblInd w:w="0" w:type="dxa"/>
        <w:tblLayout w:type="fixed"/>
        <w:tblCellMar>
          <w:top w:w="0" w:type="dxa"/>
          <w:start w:w="28" w:type="dxa"/>
          <w:bottom w:w="0" w:type="dxa"/>
          <w:end w:w="28" w:type="dxa"/>
        </w:tblCellMar>
      </w:tblPr>
      <w:tblGrid>
        <w:gridCol w:w="673"/>
        <w:gridCol w:w="709"/>
        <w:gridCol w:w="2124"/>
        <w:gridCol w:w="1495"/>
        <w:gridCol w:w="1495"/>
        <w:gridCol w:w="1495"/>
        <w:gridCol w:w="1495"/>
        <w:gridCol w:w="1495"/>
      </w:tblGrid>
      <w:tr>
        <w:trPr>
          <w:tblHeader w:val="true"/>
          <w:cantSplit/>
        </w:trPr>
        <w:tc>
          <w:tcPr>
            <w:tcW w:w="673"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0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Код</w:t>
            </w:r>
          </w:p>
        </w:tc>
        <w:tc>
          <w:tcPr>
            <w:tcW w:w="212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Резидент</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Требования</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Остаток на начало</w:t>
            </w:r>
          </w:p>
        </w:tc>
        <w:tc>
          <w:tcPr>
            <w:tcW w:w="299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Изменения в отчетном периоде</w:t>
            </w:r>
          </w:p>
        </w:tc>
        <w:tc>
          <w:tcPr>
            <w:tcW w:w="149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Остаток на конец</w:t>
            </w:r>
          </w:p>
        </w:tc>
      </w:tr>
      <w:tr>
        <w:trPr>
          <w:tblHeader w:val="true"/>
          <w:cantSplit/>
        </w:trPr>
        <w:tc>
          <w:tcPr>
            <w:tcW w:w="673"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09"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валюты</w:t>
            </w:r>
          </w:p>
        </w:tc>
        <w:tc>
          <w:tcPr>
            <w:tcW w:w="212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(обязательства)</w:t>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отчетного периода</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изменение в результате операций</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прочие изменения, включая переоценки</w:t>
            </w:r>
          </w:p>
        </w:tc>
        <w:tc>
          <w:tcPr>
            <w:tcW w:w="149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отчетного периода</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6.2.5</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150 (2)</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60 (80–20) (2)</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160 (2)</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50 (2)</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6.2.5</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Требования</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150 (3)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60 (80–20) (3)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w:t>
            </w:r>
            <w:r>
              <w:rPr>
                <w:sz w:val="16"/>
              </w:rPr>
              <w:t>210 (3)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 (3)</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6.2.6</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USD</w:t>
            </w:r>
          </w:p>
        </w:tc>
        <w:tc>
          <w:tcPr>
            <w:tcW w:w="212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Обязательства</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 (3)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0,0 (3)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 (3)</w:t>
            </w:r>
          </w:p>
        </w:tc>
        <w:tc>
          <w:tcPr>
            <w:tcW w:w="1495"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30 (3)</w:t>
            </w:r>
          </w:p>
        </w:tc>
      </w:tr>
    </w:tbl>
    <w:p>
      <w:pPr>
        <w:pStyle w:val="SnoskaLineTab"/>
        <w:keepLines w:val="false"/>
        <w:pBdr>
          <w:top w:val="single" w:sz="6" w:space="1" w:color="000000"/>
        </w:pBdr>
        <w:spacing w:before="120" w:after="0"/>
        <w:rPr/>
      </w:pPr>
      <w:r>
        <w:rPr>
          <w:vertAlign w:val="superscript"/>
        </w:rPr>
        <w:t>1</w:t>
      </w:r>
      <w:r>
        <w:rPr/>
        <w:t> См. специализированное издание Банка России “Платежные и расчетные системы. Международный опыт. Выпуск 1. Глоссарий терминов, используемых в платежных и расчетных системах” на официальном сайте Банка России в сети Интернет: http://www.cbr.ru.</w:t>
      </w:r>
      <w:r>
        <w:br w:type="page"/>
      </w:r>
    </w:p>
    <w:p>
      <w:pPr>
        <w:pStyle w:val="MZagolovokCenter"/>
        <w:spacing w:before="227" w:after="0"/>
        <w:rPr>
          <w:b w:val="false"/>
        </w:rPr>
      </w:pPr>
      <w:r>
        <w:rPr>
          <w:b w:val="false"/>
          <w:color w:val="000000"/>
        </w:rPr>
        <w:t>Раздел IX. Взаимосвязь между показателями Отчета</w:t>
      </w:r>
    </w:p>
    <w:p>
      <w:pPr>
        <w:pStyle w:val="MZagolovokCenter"/>
        <w:keepLines w:val="false"/>
        <w:spacing w:before="170" w:after="0"/>
        <w:rPr>
          <w:b w:val="false"/>
        </w:rPr>
      </w:pPr>
      <w:r>
        <w:rPr>
          <w:b w:val="false"/>
        </w:rPr>
        <w:t>Подраздел 1. Взаимосвязь между показателями раздела 1</w:t>
      </w:r>
    </w:p>
    <w:p>
      <w:pPr>
        <w:pStyle w:val="MainTextPodzagolovok401"/>
        <w:keepLines w:val="false"/>
        <w:spacing w:before="170" w:after="0"/>
        <w:rPr>
          <w:rFonts w:ascii="Arial" w:hAnsi="Arial" w:cs="Arial"/>
        </w:rPr>
      </w:pPr>
      <w:r>
        <w:rPr>
          <w:rFonts w:cs="Arial" w:ascii="Arial" w:hAnsi="Arial"/>
        </w:rPr>
        <w:t>IX.1. По каждой строке в разделе 1 должно выполняться соотношение:</w:t>
      </w:r>
    </w:p>
    <w:p>
      <w:pPr>
        <w:pStyle w:val="MainText"/>
        <w:rPr/>
      </w:pPr>
      <w:r>
        <w:rPr/>
        <w:t>графа 1 + графа 2 + графа 3 + графа 4 = графа 5</w:t>
      </w:r>
    </w:p>
    <w:p>
      <w:pPr>
        <w:pStyle w:val="MainText"/>
        <w:rPr/>
      </w:pPr>
      <w:r>
        <w:rPr/>
        <w:t>По каждой графе в разделе 1 в подразделе для иностранных активов должно выполняться соотношение:</w:t>
      </w:r>
    </w:p>
    <w:p>
      <w:pPr>
        <w:pStyle w:val="MainText"/>
        <w:rPr/>
      </w:pPr>
      <w:r>
        <w:rPr/>
        <w:t>сумма значений по строкам 1А1, 1А2, 1А3, 1А4, 1А5.1, 1А5.2, 1А6.1, 1А6.2, 1А7, 1А8.1, 1А8.2, 1А9.1, 1А9.2, 1А10, 1А11.1, 1А11.2, 1А50.1, 1А50.2 должна быть равна значению по строке 1А51.</w:t>
      </w:r>
    </w:p>
    <w:p>
      <w:pPr>
        <w:pStyle w:val="MainText"/>
        <w:rPr/>
      </w:pPr>
      <w:r>
        <w:rPr/>
        <w:t>По каждой графе в разделе 1 в подразделе для иностранных пассивов должно выполняться соотношение:</w:t>
      </w:r>
    </w:p>
    <w:p>
      <w:pPr>
        <w:pStyle w:val="MainText"/>
        <w:rPr/>
      </w:pPr>
      <w:r>
        <w:rPr/>
        <w:t>сумма значений по строкам 1П1, 1П2, 1П3, 1П4.1, 1П4.2, 1П5.1, 1П5.2, 1П6, 1П7.1, 1П7.2, 1П8.1, 1П8.2, 1П9.1, 1П9.2, 1П50.1, 1П50.2 должна быть равна значению по строке 1П51.</w:t>
      </w:r>
    </w:p>
    <w:p>
      <w:pPr>
        <w:pStyle w:val="MainText"/>
        <w:rPr/>
      </w:pPr>
      <w:r>
        <w:rPr/>
        <w:t>Если вследствие округления указанные соотношения нарушаются, отчитывающийся банк должен восстановить их, округлив соответствующим образом значения в разделе 1.</w:t>
      </w:r>
    </w:p>
    <w:p>
      <w:pPr>
        <w:pStyle w:val="MainText"/>
        <w:rPr/>
      </w:pPr>
      <w:r>
        <w:rPr/>
        <w:t>Значения по графам 1, 5, 6 каждой строки раздела 1 в отчете по Германии не должны превосходить значения по графам 1, 5, 6 той же строки в отчете по странам дальнего зарубежья.</w:t>
      </w:r>
    </w:p>
    <w:p>
      <w:pPr>
        <w:pStyle w:val="MainText"/>
        <w:rPr/>
      </w:pPr>
      <w:r>
        <w:rPr/>
        <w:t>Значения по графам 1, 5, 6 каждой строки раздела 1 в отчете по Украине в сумме со значениями по графам 1, 5, 6 соответствующей строки в отчете по Казахстану не должны превосходить значения по графам 1, 5, 6 той же строки в отчете по странам СНГ.</w:t>
      </w:r>
    </w:p>
    <w:p>
      <w:pPr>
        <w:pStyle w:val="MZagolovokCenter"/>
        <w:spacing w:before="227" w:after="0"/>
        <w:rPr>
          <w:b w:val="false"/>
        </w:rPr>
      </w:pPr>
      <w:r>
        <w:rPr>
          <w:b w:val="false"/>
          <w:color w:val="000000"/>
        </w:rPr>
        <w:t>Подраздел 2. Взаимосвязь между показателями разделов 1 и 2</w:t>
      </w:r>
    </w:p>
    <w:p>
      <w:pPr>
        <w:pStyle w:val="MainTextPodzagolovok401"/>
        <w:keepNext w:val="false"/>
        <w:keepLines w:val="false"/>
        <w:spacing w:before="170" w:after="120"/>
        <w:rPr>
          <w:rFonts w:ascii="Arial" w:hAnsi="Arial" w:cs="Arial"/>
        </w:rPr>
      </w:pPr>
      <w:r>
        <w:rPr/>
        <w:t>IX.2. Полное описание соответствий между показателями разделов 1 и 2:</w:t>
      </w:r>
    </w:p>
    <w:tbl>
      <w:tblPr>
        <w:tblW w:w="10989" w:type="dxa"/>
        <w:jc w:val="center"/>
        <w:tblInd w:w="0" w:type="dxa"/>
        <w:tblLayout w:type="fixed"/>
        <w:tblCellMar>
          <w:top w:w="0" w:type="dxa"/>
          <w:start w:w="28" w:type="dxa"/>
          <w:bottom w:w="0" w:type="dxa"/>
          <w:end w:w="28" w:type="dxa"/>
        </w:tblCellMar>
      </w:tblPr>
      <w:tblGrid>
        <w:gridCol w:w="675"/>
        <w:gridCol w:w="8080"/>
        <w:gridCol w:w="2234"/>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80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Сумма строк раздела 2 по графе 1 (2)</w:t>
            </w:r>
          </w:p>
        </w:tc>
        <w:tc>
          <w:tcPr>
            <w:tcW w:w="22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Сумма строк раздела 1 по графе 1 (5)</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808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2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 Строки для учета активов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Краткосрочные ссуды (непросроченные), предоставленные банкам-нерезидентам (2А1.1) + </w:t>
              <w:br/>
              <w:t>Краткосрочные ссуды (непросроченные), предоставленные прочим нерезидентам (2А1.2)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Долгосрочные ссуды (непросроченные), предоставленные банкам-нерезидентам (2А2.1) + </w:t>
              <w:br/>
              <w:t>Долгосрочные ссуды (непросроченные), предоставленные прочим нерезидентам (2А2.2)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Долговые ценные бумаги (непросроченные), эмитированные банками-нерезидентами (2А3.1) + </w:t>
              <w:br/>
              <w:t xml:space="preserve">Долговые ценные бумаги (непросроченные), эмитированные органами государственной власти и местными органами власти других стран (2А3.2) + </w:t>
              <w:br/>
              <w:t>Долговые ценные бумаги (непросроченные), эмитированные прочими нерезидентами (2А3.3)</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1А8.1 + 1А8.2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Участие (акции, паи) в капитале банков-нерезидентов (2А4.1) + </w:t>
              <w:br/>
              <w:t>Участие (акции, паи) в капитале прочих нерезидентов (2А4.2)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1А9.1 + 1А9.2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Средства, предоставленные банками-нерезидентами по операциям, совершаемым с ценными бумагами на возвратной основе без признания получаемых ценных бумаг (2А5.1) + </w:t>
              <w:br/>
              <w:t>Средства, предоставленные банками-нерезидентами по операциям, совершаемым с ценными бумагами на возвратной основе без признания получаемых ценных бумаг (2А5.2)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Требования к банкам-нерезидентам, учтенные по строкам 1А11.1, 1А11.2, 1А50.1, 1А50.2 (2А10.1) + </w:t>
              <w:br/>
              <w:t>Требования к прочим нерезидентам, учтенные по строкам 1А11.1, 1А11.2, 1А50.1, 1А50.2 (2А10.2)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1А11.1 + 1А11.2 + 1А50.1 + 1А50.2</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 Строки для учета обязательств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Краткосрочные депозиты (непросроченные), привлеченные от банков-нерезидентов (2П1.1) + </w:t>
              <w:br/>
              <w:t>Краткосрочные депозиты (непросроченные), привлеченные от прочих нерезидентов (2П1.2)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1П4.1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Долгосрочные депозиты (непросроченные), привлеченные от банков-нерезидентов (2П2.1) + </w:t>
              <w:br/>
              <w:t>Долгосрочные депозиты (непросроченные), привлеченные от прочих нерезидентов (2П2.2)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1П4.2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Краткосрочные ссуды (непросроченные), привлеченные от банков-нерезидентов (2П3.1) + </w:t>
              <w:br/>
              <w:t>Краткосрочные ссуды (непросроченные), привлеченные от прочих нерезидентов (2П3.2)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Долгосрочные ссуды (непросроченные), привлеченные от банков-нерезидентов (2П4.1) + </w:t>
              <w:br/>
              <w:t>Долгосрочные ссуды (непросроченные), привлеченные от прочих нерезидентов (2П4.2)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Участие (акции, паи) банков-нерезидентов в капитале отчитывающегося банка (2П5.1) + </w:t>
              <w:br/>
              <w:t>Участие (акции, паи) прочих нерезидентов в капитале отчитывающегося банка (2П5.2)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1П8.1 + 1П8.2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Средства, привлеченные от банков-нерезидентов по операциям, совершаемым с ценными бумагами на возвратной основе без прекращения признания передаваемых ценных бумаг (2П6.1) + </w:t>
              <w:br/>
              <w:t>Средства, привлеченные от прочих нерезидентов по операциям, совершаемым с ценными бумагами на возвратной основе без прекращения признания передаваемых ценных бумаг (2П6.2)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808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Обязательства перед банками-нерезидентами, учтенные по строкам 1П7.1, 1П7.2, 1П9.1, 1П9.2, 1П50.1, 1П50.2 (2П10.1) + </w:t>
              <w:br/>
              <w:t>Обязательства перед прочими нерезидентами, учтенные по строкам 1П7.1, 1П7.2, 1П9.1, 1П9.2, 1П50.1, 1П50.2 (2П10.2)</w:t>
            </w:r>
          </w:p>
        </w:tc>
        <w:tc>
          <w:tcPr>
            <w:tcW w:w="223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1П7.1 + 1П7.2 + 1П9.1 + 1П9.2 + 1П50.1 + 1П50.2</w:t>
            </w:r>
          </w:p>
        </w:tc>
      </w:tr>
    </w:tbl>
    <w:p>
      <w:pPr>
        <w:pStyle w:val="MZagolovokCenter"/>
        <w:keepLines w:val="false"/>
        <w:spacing w:before="227" w:after="0"/>
        <w:rPr>
          <w:b w:val="false"/>
        </w:rPr>
      </w:pPr>
      <w:r>
        <w:rPr>
          <w:b w:val="false"/>
          <w:color w:val="000000"/>
        </w:rPr>
        <w:t>Подраздел 3. Взаимосвязь между показателями раздела 3</w:t>
      </w:r>
    </w:p>
    <w:p>
      <w:pPr>
        <w:pStyle w:val="MainTextPodzagolovok401"/>
        <w:keepLines w:val="false"/>
        <w:spacing w:before="170" w:after="0"/>
        <w:rPr>
          <w:rFonts w:ascii="Arial" w:hAnsi="Arial" w:cs="Arial"/>
        </w:rPr>
      </w:pPr>
      <w:r>
        <w:rPr>
          <w:rFonts w:cs="Arial" w:ascii="Arial" w:hAnsi="Arial"/>
        </w:rPr>
        <w:t>IX.3. По каждой строке в разделе 3 Отчета должно выполняться соотношение:</w:t>
      </w:r>
    </w:p>
    <w:p>
      <w:pPr>
        <w:pStyle w:val="MainText"/>
        <w:rPr/>
      </w:pPr>
      <w:r>
        <w:rPr/>
        <w:t>графа 1 + графа 2 + графа 3 + графа 4 = графа 5.</w:t>
      </w:r>
    </w:p>
    <w:p>
      <w:pPr>
        <w:pStyle w:val="MainText"/>
        <w:rPr/>
      </w:pPr>
      <w:r>
        <w:rPr/>
        <w:t>Если по одной из граф 1 или 5 значение по строке 3А1.1 равно нулю, то в той же графе по строке 3А1.2 значение также должно быть равно нулю.</w:t>
      </w:r>
    </w:p>
    <w:p>
      <w:pPr>
        <w:pStyle w:val="MainText"/>
        <w:rPr/>
      </w:pPr>
      <w:r>
        <w:rPr/>
        <w:t>Если по одной из граф 1 или 5 значение по строке 3А2.1 равно нулю, то в той же графе сумма значений по строкам 3А2.2, 3А2.3, 3А2.4, 3А2.5, 3А2.10, 3А2.11 также должна быть равна нулю.</w:t>
      </w:r>
    </w:p>
    <w:p>
      <w:pPr>
        <w:pStyle w:val="MainText"/>
        <w:rPr/>
      </w:pPr>
      <w:r>
        <w:rPr/>
        <w:t>Значения по графам 1, 5, 6 каждой строки раздела 3 в отчете по Германии не должны превосходить значения по графам 1, 5, 6 той же строки в отчете по странам дальнего зарубежья.</w:t>
      </w:r>
    </w:p>
    <w:p>
      <w:pPr>
        <w:pStyle w:val="MainText"/>
        <w:rPr/>
      </w:pPr>
      <w:r>
        <w:rPr/>
        <w:t>Значения по графам 1, 5, 6 каждой строки раздела 3 в отчете по Украине в сумме со значениями по графам 1, 5, 6 соответствующей строки в отчете по Казахстану не должны превосходить значения по графам 1, 5, 6 той же строки в отчете по странам СНГ.</w:t>
      </w:r>
    </w:p>
    <w:p>
      <w:pPr>
        <w:pStyle w:val="MZagolovokCenter"/>
        <w:spacing w:before="227" w:after="0"/>
        <w:rPr>
          <w:b w:val="false"/>
        </w:rPr>
      </w:pPr>
      <w:r>
        <w:rPr>
          <w:b w:val="false"/>
          <w:color w:val="000000"/>
        </w:rPr>
        <w:t>Подраздел 4. Взаимосвязь между показателями разделов 1 и 3</w:t>
      </w:r>
    </w:p>
    <w:p>
      <w:pPr>
        <w:pStyle w:val="MainTextPodzagolovok401"/>
        <w:keepNext w:val="false"/>
        <w:keepLines w:val="false"/>
        <w:spacing w:before="170" w:after="120"/>
        <w:jc w:val="both"/>
        <w:rPr>
          <w:rFonts w:ascii="Arial" w:hAnsi="Arial" w:cs="Arial"/>
        </w:rPr>
      </w:pPr>
      <w:r>
        <w:rPr/>
        <w:t>IX.4. Все активы и обязательства, которые были отражены в разделе 3, должны быть также отражены по соответствующим строкам раздела 1, что показано в следующей таблице:</w:t>
      </w:r>
    </w:p>
    <w:tbl>
      <w:tblPr>
        <w:tblW w:w="10989" w:type="dxa"/>
        <w:jc w:val="center"/>
        <w:tblInd w:w="0" w:type="dxa"/>
        <w:tblLayout w:type="fixed"/>
        <w:tblCellMar>
          <w:top w:w="0" w:type="dxa"/>
          <w:start w:w="28" w:type="dxa"/>
          <w:bottom w:w="0" w:type="dxa"/>
          <w:end w:w="28" w:type="dxa"/>
        </w:tblCellMar>
      </w:tblPr>
      <w:tblGrid>
        <w:gridCol w:w="675"/>
        <w:gridCol w:w="3438"/>
        <w:gridCol w:w="1807"/>
        <w:gridCol w:w="5069"/>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343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 раздела 3 по графам 1, 5, 6</w:t>
            </w:r>
          </w:p>
        </w:tc>
        <w:tc>
          <w:tcPr>
            <w:tcW w:w="18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Характер соответствия</w:t>
            </w:r>
          </w:p>
        </w:tc>
        <w:tc>
          <w:tcPr>
            <w:tcW w:w="506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Соответствующие строки раздела 1 по графам 1, 5, 6, данные в которых охватывают данные строк раздела 3 по графам 1, 5, 6</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343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8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506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3А1.1.1 + 3А1.1.2 + 3А2.1.1 + 3А2.1.2</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1А9.1+1А9.2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3А1.2 + 3А2.3</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3А2.2</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1А6.1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3А2.4</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3А2.5</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1А8.2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3А2.10</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1А50.1 + 1А11.1 + 1А11.2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3А2.11</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1А50.2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3П1.1.1 + 3П1.1.2 + 3П2.1.1 + 3П2.1.2</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1П8.1+1П8.2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343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3П1.2 + 3П2.2</w:t>
            </w:r>
          </w:p>
        </w:tc>
        <w:tc>
          <w:tcPr>
            <w:tcW w:w="180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меньше (равно)</w:t>
            </w:r>
          </w:p>
        </w:tc>
        <w:tc>
          <w:tcPr>
            <w:tcW w:w="506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1П5.2</w:t>
            </w:r>
          </w:p>
        </w:tc>
      </w:tr>
    </w:tbl>
    <w:p>
      <w:pPr>
        <w:pStyle w:val="MZagolovokCenter"/>
        <w:keepLines w:val="false"/>
        <w:spacing w:before="227" w:after="0"/>
        <w:rPr>
          <w:b w:val="false"/>
        </w:rPr>
      </w:pPr>
      <w:r>
        <w:rPr>
          <w:b w:val="false"/>
          <w:color w:val="000000"/>
        </w:rPr>
        <w:t>Подраздел 5. Взаимосвязь между показателями разделов 1 и 4</w:t>
      </w:r>
    </w:p>
    <w:p>
      <w:pPr>
        <w:pStyle w:val="MainTextPodzagolovok401"/>
        <w:keepNext w:val="false"/>
        <w:keepLines w:val="false"/>
        <w:spacing w:before="170" w:after="120"/>
        <w:jc w:val="both"/>
        <w:rPr>
          <w:rFonts w:ascii="Arial" w:hAnsi="Arial" w:cs="Arial"/>
        </w:rPr>
      </w:pPr>
      <w:r>
        <w:rPr/>
        <w:t>IX.5. Полное описание соответствий между показателями разделов 1 и 4:</w:t>
      </w:r>
    </w:p>
    <w:tbl>
      <w:tblPr>
        <w:tblW w:w="10988" w:type="dxa"/>
        <w:jc w:val="center"/>
        <w:tblInd w:w="0" w:type="dxa"/>
        <w:tblLayout w:type="fixed"/>
        <w:tblCellMar>
          <w:top w:w="0" w:type="dxa"/>
          <w:start w:w="28" w:type="dxa"/>
          <w:bottom w:w="0" w:type="dxa"/>
          <w:end w:w="28" w:type="dxa"/>
        </w:tblCellMar>
      </w:tblPr>
      <w:tblGrid>
        <w:gridCol w:w="4361"/>
        <w:gridCol w:w="6627"/>
      </w:tblGrid>
      <w:tr>
        <w:trPr>
          <w:tblHeader w:val="true"/>
          <w:cantSplit/>
        </w:trPr>
        <w:tc>
          <w:tcPr>
            <w:tcW w:w="43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Строки раздела 1 (дальнее зарубежье и страны СНГ)</w:t>
            </w:r>
          </w:p>
        </w:tc>
        <w:tc>
          <w:tcPr>
            <w:tcW w:w="662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Строки раздела 4</w:t>
            </w:r>
          </w:p>
        </w:tc>
      </w:tr>
      <w:tr>
        <w:trPr>
          <w:cantSplit/>
        </w:trPr>
        <w:tc>
          <w:tcPr>
            <w:tcW w:w="10988"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Строки для учета активов</w:t>
            </w:r>
          </w:p>
        </w:tc>
      </w:tr>
      <w:tr>
        <w:trPr>
          <w:cantSplit/>
        </w:trPr>
        <w:tc>
          <w:tcPr>
            <w:tcW w:w="43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1А7</w:t>
            </w:r>
          </w:p>
        </w:tc>
        <w:tc>
          <w:tcPr>
            <w:tcW w:w="662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4А1.1 + 4А1.2 + 4А1.3 + 4А1.4 + 4А1.5 + 4А1.6 + 4А1.7 + 4А1.8 + 4А2.1 + 4А2.2</w:t>
            </w:r>
          </w:p>
        </w:tc>
      </w:tr>
      <w:tr>
        <w:trPr>
          <w:cantSplit/>
        </w:trPr>
        <w:tc>
          <w:tcPr>
            <w:tcW w:w="10988"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Строки для учета обязательств</w:t>
            </w:r>
          </w:p>
        </w:tc>
      </w:tr>
      <w:tr>
        <w:trPr>
          <w:cantSplit/>
        </w:trPr>
        <w:tc>
          <w:tcPr>
            <w:tcW w:w="43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1П6</w:t>
            </w:r>
          </w:p>
        </w:tc>
        <w:tc>
          <w:tcPr>
            <w:tcW w:w="662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4П1.1 + 4П1.2 + 4П1.3 + 4П1.4 + 4П1.5 + 4П1.6 + 4П1.7 + 4П1.8 + 4П2.1 + 4П2.2</w:t>
            </w:r>
          </w:p>
        </w:tc>
      </w:tr>
    </w:tbl>
    <w:p>
      <w:pPr>
        <w:pStyle w:val="MZagolovokCenter"/>
        <w:keepLines w:val="false"/>
        <w:spacing w:before="227" w:after="0"/>
        <w:rPr>
          <w:b w:val="false"/>
        </w:rPr>
      </w:pPr>
      <w:r>
        <w:rPr>
          <w:b w:val="false"/>
          <w:color w:val="000000"/>
        </w:rPr>
        <w:t>Подраздел 6. Взаимосвязь между показателями раздела 5</w:t>
      </w:r>
    </w:p>
    <w:p>
      <w:pPr>
        <w:pStyle w:val="MainTextPodzagolovok401"/>
        <w:keepLines w:val="false"/>
        <w:spacing w:before="170" w:after="0"/>
        <w:jc w:val="both"/>
        <w:rPr>
          <w:rFonts w:ascii="Arial" w:hAnsi="Arial" w:cs="Arial"/>
        </w:rPr>
      </w:pPr>
      <w:r>
        <w:rPr>
          <w:rFonts w:cs="Arial" w:ascii="Arial" w:hAnsi="Arial"/>
        </w:rPr>
        <w:t>IX.6. Сумма строк 5.1—5.50 каждой графы должна равняться значению по строке 5.51 той же графы.</w:t>
      </w:r>
    </w:p>
    <w:p>
      <w:pPr>
        <w:pStyle w:val="MainText"/>
        <w:rPr/>
      </w:pPr>
      <w:r>
        <w:rPr/>
        <w:t>Если вследствие округления сумма строк 5.1—5.50 расходится с итоговым значением, отчитывающийся банк должен таким образом округлить значения в данном разделе, чтобы устранить указанное расхождение.</w:t>
      </w:r>
    </w:p>
    <w:p>
      <w:pPr>
        <w:pStyle w:val="MZagolovokCenter"/>
        <w:spacing w:before="227" w:after="0"/>
        <w:rPr>
          <w:b w:val="false"/>
        </w:rPr>
      </w:pPr>
      <w:r>
        <w:rPr>
          <w:b w:val="false"/>
          <w:color w:val="000000"/>
        </w:rPr>
        <w:t>Подраздел 7. Взаимосвязь между показателями разделов 1 и 5</w:t>
      </w:r>
    </w:p>
    <w:p>
      <w:pPr>
        <w:pStyle w:val="MainTextPodzagolovok401"/>
        <w:keepLines w:val="false"/>
        <w:spacing w:before="170" w:after="0"/>
        <w:jc w:val="both"/>
        <w:rPr>
          <w:rFonts w:ascii="Arial" w:hAnsi="Arial" w:cs="Arial"/>
        </w:rPr>
      </w:pPr>
      <w:r>
        <w:rPr>
          <w:rFonts w:cs="Arial" w:ascii="Arial" w:hAnsi="Arial"/>
        </w:rPr>
        <w:t>IX.7. Сумма активов по графе 1 раздела 5 должна быть равна итоговой сумме иностранных активов в отчетах по странам дальнего зарубежьяи странам СНГ по графе 5 раздела 1. Сумма обязательств по графе 4 раздела 5 должна быть равна итоговой сумме иностранных обязательств в отчетах по странам дальнего зарубежья и странам СНГ по графе 5 раздела 1 за вычетом значений в графе 5 по строкам (1П8.1 + 1П8.2). Таким образом, должны выполняться следующие равенства:</w:t>
      </w:r>
    </w:p>
    <w:p>
      <w:pPr>
        <w:pStyle w:val="MainText"/>
        <w:rPr/>
      </w:pPr>
      <w:r>
        <w:rPr/>
        <w:t>значение по строке 5.51 по графе 1 в разделе 5 = (значение по строке 1А51 по графе 5 в отчете по странам дальнего зарубежья + значение по строке 1А51 по графе 5 в отчете по странам СНГ) в разделе 1;</w:t>
      </w:r>
    </w:p>
    <w:p>
      <w:pPr>
        <w:pStyle w:val="MainText"/>
        <w:rPr/>
      </w:pPr>
      <w:r>
        <w:rPr/>
        <w:t>значение по строке 5.51 по графе 4 в разделе 5 = [(значение по строке 1П51 по графе 5 – значение по строкам (1П8.1 + 1П8.2) по графе 5) в отчете по странам дальнего зарубежья + (значение по строке 1П51 по графе 5 – значение по строкам (1П8.1 + 1П8.2) по графе 5) в отчете по странам СНГ] в разделе 1.</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b w:val="false"/>
        </w:rPr>
      </w:pPr>
      <w:r>
        <w:rPr>
          <w:color w:val="000000"/>
        </w:rPr>
        <w:t xml:space="preserve">СВЕДЕНИЯ О РАСЧЕТАХ МЕЖДУ РЕЗИДЕНТАМИ И НЕРЕЗИДЕНТАМИ ЗА ВЫПОЛНЕНИЕ РАБОТ, </w:t>
        <w:br/>
        <w:t xml:space="preserve">ОКАЗАНИЕ УСЛУГ, ПЕРЕДАЧУ ИНФОРМАЦИИ, РЕЗУЛЬТАТОВ ИНТЕЛЛЕКТУАЛЬНОЙ ДЕЯТЕЛЬНОСТИ </w:t>
        <w:br/>
        <w:t xml:space="preserve">И ОПЕРАЦИИ НЕТОРГОВОГО ХАРАКТЕРА </w:t>
        <w:br/>
        <w:t xml:space="preserve">за </w:t>
      </w:r>
      <w:r>
        <w:rPr/>
        <w:t>___________ (месяц) ______ г</w:t>
      </w:r>
      <w:r>
        <w:rPr>
          <w:b w:val="false"/>
        </w:rPr>
        <w:t>.</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jc w:val="end"/>
        <w:rPr/>
      </w:pPr>
      <w:r>
        <w:rPr/>
        <w:t>Код формы по ОКУД 0409402</w:t>
        <w:br/>
        <w:t>Месячная</w:t>
      </w:r>
    </w:p>
    <w:tbl>
      <w:tblPr>
        <w:tblW w:w="7683" w:type="dxa"/>
        <w:jc w:val="start"/>
        <w:tblInd w:w="0" w:type="dxa"/>
        <w:tblLayout w:type="fixed"/>
        <w:tblCellMar>
          <w:top w:w="0" w:type="dxa"/>
          <w:start w:w="28" w:type="dxa"/>
          <w:bottom w:w="0" w:type="dxa"/>
          <w:end w:w="28" w:type="dxa"/>
        </w:tblCellMar>
      </w:tblPr>
      <w:tblGrid>
        <w:gridCol w:w="312"/>
        <w:gridCol w:w="6095"/>
        <w:gridCol w:w="1276"/>
      </w:tblGrid>
      <w:tr>
        <w:trPr>
          <w:cantSplit/>
        </w:trPr>
        <w:tc>
          <w:tcPr>
            <w:tcW w:w="312" w:type="dxa"/>
            <w:tcBorders/>
          </w:tcPr>
          <w:p>
            <w:pPr>
              <w:pStyle w:val="MainText"/>
              <w:ind w:hanging="0" w:end="0"/>
              <w:jc w:val="end"/>
              <w:rPr/>
            </w:pPr>
            <w:r>
              <w:rPr/>
              <w:t>I.</w:t>
            </w:r>
          </w:p>
        </w:tc>
        <w:tc>
          <w:tcPr>
            <w:tcW w:w="6095" w:type="dxa"/>
            <w:tcBorders/>
          </w:tcPr>
          <w:p>
            <w:pPr>
              <w:pStyle w:val="MainText"/>
              <w:ind w:hanging="0" w:end="0"/>
              <w:jc w:val="start"/>
              <w:rPr/>
            </w:pPr>
            <w:r>
              <w:rPr/>
              <w:t xml:space="preserve">Количество филиалов отчитывающейся кредитной организации, действующих в отчетном периоде </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pPr>
            <w:r>
              <w:rPr/>
            </w:r>
          </w:p>
        </w:tc>
      </w:tr>
    </w:tbl>
    <w:p>
      <w:pPr>
        <w:pStyle w:val="MainText"/>
        <w:rPr/>
      </w:pPr>
      <w:r>
        <w:rPr/>
      </w:r>
    </w:p>
    <w:tbl>
      <w:tblPr>
        <w:tblW w:w="7683" w:type="dxa"/>
        <w:jc w:val="start"/>
        <w:tblInd w:w="0" w:type="dxa"/>
        <w:tblLayout w:type="fixed"/>
        <w:tblCellMar>
          <w:top w:w="0" w:type="dxa"/>
          <w:start w:w="28" w:type="dxa"/>
          <w:bottom w:w="0" w:type="dxa"/>
          <w:end w:w="28" w:type="dxa"/>
        </w:tblCellMar>
      </w:tblPr>
      <w:tblGrid>
        <w:gridCol w:w="312"/>
        <w:gridCol w:w="6095"/>
        <w:gridCol w:w="1276"/>
      </w:tblGrid>
      <w:tr>
        <w:trPr>
          <w:cantSplit/>
        </w:trPr>
        <w:tc>
          <w:tcPr>
            <w:tcW w:w="312" w:type="dxa"/>
            <w:tcBorders/>
          </w:tcPr>
          <w:p>
            <w:pPr>
              <w:pStyle w:val="MainText"/>
              <w:ind w:hanging="0" w:end="0"/>
              <w:jc w:val="end"/>
              <w:rPr/>
            </w:pPr>
            <w:r>
              <w:rPr/>
              <w:t>II.</w:t>
            </w:r>
          </w:p>
        </w:tc>
        <w:tc>
          <w:tcPr>
            <w:tcW w:w="6095" w:type="dxa"/>
            <w:tcBorders/>
          </w:tcPr>
          <w:p>
            <w:pPr>
              <w:pStyle w:val="MainText"/>
              <w:ind w:hanging="0" w:end="0"/>
              <w:jc w:val="start"/>
              <w:rPr/>
            </w:pPr>
            <w:r>
              <w:rPr/>
              <w:t>Количество филиалов отчитывающейся кредитной организации, включенных в отчет</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pPr>
            <w:r>
              <w:rPr/>
            </w:r>
          </w:p>
          <w:p>
            <w:pPr>
              <w:pStyle w:val="MainText"/>
              <w:ind w:end="0"/>
              <w:jc w:val="end"/>
              <w:rPr/>
            </w:pPr>
            <w:r>
              <w:rPr/>
            </w:r>
          </w:p>
        </w:tc>
      </w:tr>
    </w:tbl>
    <w:p>
      <w:pPr>
        <w:pStyle w:val="MainText"/>
        <w:rPr/>
      </w:pPr>
      <w:r>
        <w:rPr/>
      </w:r>
    </w:p>
    <w:tbl>
      <w:tblPr>
        <w:tblW w:w="16256" w:type="dxa"/>
        <w:jc w:val="center"/>
        <w:tblInd w:w="0" w:type="dxa"/>
        <w:tblLayout w:type="fixed"/>
        <w:tblCellMar>
          <w:top w:w="0" w:type="dxa"/>
          <w:start w:w="28" w:type="dxa"/>
          <w:bottom w:w="0" w:type="dxa"/>
          <w:end w:w="28" w:type="dxa"/>
        </w:tblCellMar>
      </w:tblPr>
      <w:tblGrid>
        <w:gridCol w:w="1522"/>
        <w:gridCol w:w="852"/>
        <w:gridCol w:w="1135"/>
        <w:gridCol w:w="1416"/>
        <w:gridCol w:w="1986"/>
        <w:gridCol w:w="1335"/>
        <w:gridCol w:w="1335"/>
        <w:gridCol w:w="1442"/>
        <w:gridCol w:w="1701"/>
        <w:gridCol w:w="992"/>
        <w:gridCol w:w="1270"/>
        <w:gridCol w:w="1270"/>
      </w:tblGrid>
      <w:tr>
        <w:trPr>
          <w:cantSplit/>
        </w:trPr>
        <w:tc>
          <w:tcPr>
            <w:tcW w:w="152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Регистрационный номер кредитной организации (ее филиала)</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Дата операции</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валюты платежа</w:t>
            </w:r>
          </w:p>
        </w:tc>
        <w:tc>
          <w:tcPr>
            <w:tcW w:w="14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Сумма платежа, в тысячах единиц валюты</w:t>
            </w:r>
          </w:p>
        </w:tc>
        <w:tc>
          <w:tcPr>
            <w:tcW w:w="198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вида работ, услуг, передачи информации, результатов интеллектуальной деятельности, операций неторгового характера</w:t>
            </w:r>
          </w:p>
        </w:tc>
        <w:tc>
          <w:tcPr>
            <w:tcW w:w="13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направления платежа</w:t>
            </w:r>
          </w:p>
        </w:tc>
        <w:tc>
          <w:tcPr>
            <w:tcW w:w="13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страны нерезидента</w:t>
            </w:r>
          </w:p>
        </w:tc>
        <w:tc>
          <w:tcPr>
            <w:tcW w:w="144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БИК (СВИФТ) банка, обслуживающего нерезидента</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ИНН резидента (только для юридических лиц)</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Клиент</w:t>
            </w:r>
          </w:p>
        </w:tc>
        <w:tc>
          <w:tcPr>
            <w:tcW w:w="12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нерезидента</w:t>
            </w:r>
          </w:p>
        </w:tc>
        <w:tc>
          <w:tcPr>
            <w:tcW w:w="12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Примечание</w:t>
            </w:r>
          </w:p>
        </w:tc>
      </w:tr>
      <w:tr>
        <w:trPr>
          <w:cantSplit/>
        </w:trPr>
        <w:tc>
          <w:tcPr>
            <w:tcW w:w="152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4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98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3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3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44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12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12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color w:val="000000"/>
        </w:rPr>
        <w:t>Порядок составления и представления отчетности по форме 0409402 “Сведения о расчетах между резидентами и нерезидентами за выполнение работ, оказание услуг, передачу информации, результатов интеллектуальной деятельности и операции неторгового характера”</w:t>
      </w:r>
    </w:p>
    <w:p>
      <w:pPr>
        <w:pStyle w:val="MGlavaCenter"/>
        <w:keepLines w:val="false"/>
        <w:spacing w:before="0" w:after="120"/>
        <w:rPr>
          <w:b w:val="false"/>
        </w:rPr>
      </w:pPr>
      <w:r>
        <w:rPr>
          <w:b w:val="false"/>
        </w:rPr>
        <w:t>Раздел I. Общие положения</w:t>
      </w:r>
    </w:p>
    <w:p>
      <w:pPr>
        <w:pStyle w:val="MainText"/>
        <w:rPr/>
      </w:pPr>
      <w:r>
        <w:rPr/>
        <w:t>I.1. Собираемая в рамках отчетности по форме 0409402 “Сведения о расчетах между резидентами и нерезидентами за выполнение работ, оказание услуг, передачу информации, результатов интеллектуальной деятельности и операции неторгового характера” (далее — Отчет) информация используется для составления платежного баланса Российской Федерации.</w:t>
      </w:r>
    </w:p>
    <w:p>
      <w:pPr>
        <w:pStyle w:val="MainText"/>
        <w:rPr/>
      </w:pPr>
      <w:r>
        <w:rPr/>
        <w:t>I.2. Полученные сведения представляются в платежном балансе Российской Федерации в агрегированном виде.</w:t>
      </w:r>
    </w:p>
    <w:p>
      <w:pPr>
        <w:pStyle w:val="MainText"/>
        <w:rPr/>
      </w:pPr>
      <w:r>
        <w:rPr/>
        <w:t>I.3. Источником информации для заполнения Отчета являются данные расчетных и иных документов, на основании которых осуществляются валютные операции отчитывающегося уполномоченного банка и его клиентов. В случае возникновения затруднений при заполнении отдельных показателей Отчета следует использовать дополнительные источники, имеющиеся в распоряжении отчитывающегося уполномоченного банка, или обращаться к клиентам за дополнительными разъяснениями.</w:t>
      </w:r>
    </w:p>
    <w:p>
      <w:pPr>
        <w:pStyle w:val="MainText"/>
        <w:rPr/>
      </w:pPr>
      <w:r>
        <w:rPr/>
        <w:t>I.4. Понятия “резидент” и “нерезидент” используются для составления Отчета в соответствии с валютным законодательством Российской Федерации. Отделения, дочерние общества и организации резидентов, находящиеся на территории иностранных государств и имеющие статус юридического лица иностранного государства, а также структуры Союзного государства Российской Федерации и Республики Беларусь отражаются в Отчете в качестве нерезидентов.</w:t>
      </w:r>
    </w:p>
    <w:p>
      <w:pPr>
        <w:pStyle w:val="MainText"/>
        <w:rPr/>
      </w:pPr>
      <w:r>
        <w:rPr/>
        <w:t>I.5. В Отчете отражаются расчеты между резидентами и нерезидентами по сделкам, связанным с выполнением работ, оказанием услуг, передачей информации и результатов интеллектуальной деятельности, а также операциям неторгового характера, в том числе осуществляемым в рамках агентских договоров.</w:t>
      </w:r>
    </w:p>
    <w:p>
      <w:pPr>
        <w:pStyle w:val="MainText"/>
        <w:rPr/>
      </w:pPr>
      <w:r>
        <w:rPr/>
        <w:t>I.6. Отчет представляется при осуществлении расчетов:</w:t>
      </w:r>
    </w:p>
    <w:p>
      <w:pPr>
        <w:pStyle w:val="MainText"/>
        <w:rPr/>
      </w:pPr>
      <w:r>
        <w:rPr/>
        <w:t>клиентов-резидентов: юридических лиц и индивидуальных предпринимателей, кроме клиентов, являющихся уполномоченными банками (далее — клиенты-резиденты);</w:t>
      </w:r>
    </w:p>
    <w:p>
      <w:pPr>
        <w:pStyle w:val="MainText"/>
        <w:rPr/>
      </w:pPr>
      <w:r>
        <w:rPr/>
        <w:t>по собственным операциям отчитывающегося уполномоченного банка.</w:t>
      </w:r>
    </w:p>
    <w:p>
      <w:pPr>
        <w:pStyle w:val="MainText"/>
        <w:rPr/>
      </w:pPr>
      <w:r>
        <w:rPr/>
        <w:t>I.7. К собственным операциям отчитывающегося уполномоченного банка относятся операции, связанные с выполнением работ, оказанием услуг, передачей информации, результатов интеллектуальной деятельности, и операции неторгового характера, осуществляемые от своего имени и за свой счет.</w:t>
      </w:r>
    </w:p>
    <w:p>
      <w:pPr>
        <w:pStyle w:val="MainText"/>
        <w:rPr/>
      </w:pPr>
      <w:r>
        <w:rPr/>
        <w:t>I.8. В Отчете отражаются следующие виды платежей и поступлений денежных средств:</w:t>
      </w:r>
    </w:p>
    <w:p>
      <w:pPr>
        <w:pStyle w:val="MainText"/>
        <w:rPr/>
      </w:pPr>
      <w:r>
        <w:rPr/>
        <w:t>поступления в пользу отчитывающегося уполномоченного банка денежных средств в иностранной валюте и в валюте Российской Федерации от нерезидентов</w:t>
      </w:r>
      <w:r>
        <w:rPr>
          <w:vertAlign w:val="superscript"/>
        </w:rPr>
        <w:t>1</w:t>
      </w:r>
      <w:r>
        <w:rPr/>
        <w:t>;</w:t>
      </w:r>
    </w:p>
    <w:p>
      <w:pPr>
        <w:pStyle w:val="MainText"/>
        <w:rPr/>
      </w:pPr>
      <w:r>
        <w:rPr/>
        <w:t>платежи отчитывающегося уполномоченного банка в иностранной валюте и в валюте Российской Федерации в пользу нерезидентов</w:t>
      </w:r>
      <w:r>
        <w:rPr>
          <w:vertAlign w:val="superscript"/>
        </w:rPr>
        <w:t>1</w:t>
      </w:r>
      <w:r>
        <w:rPr/>
        <w:t>;</w:t>
      </w:r>
    </w:p>
    <w:p>
      <w:pPr>
        <w:pStyle w:val="MainText"/>
        <w:rPr/>
      </w:pPr>
      <w:r>
        <w:rPr/>
        <w:t>поступления в пользу клиентов-резидентов денежных средств в иностранной валюте и в валюте Российской Федерации от нерезидентов</w:t>
      </w:r>
      <w:r>
        <w:rPr>
          <w:vertAlign w:val="superscript"/>
        </w:rPr>
        <w:t>1</w:t>
      </w:r>
      <w:r>
        <w:rPr/>
        <w:t>;</w:t>
      </w:r>
    </w:p>
    <w:p>
      <w:pPr>
        <w:pStyle w:val="MainText"/>
        <w:rPr/>
      </w:pPr>
      <w:r>
        <w:rPr/>
        <w:t>платежи клиентов-резидентов в иностранной валюте и в валюте Российской Федерации в пользу нерезидентов</w:t>
      </w:r>
      <w:r>
        <w:rPr>
          <w:vertAlign w:val="superscript"/>
        </w:rPr>
        <w:t>1</w:t>
      </w:r>
      <w:r>
        <w:rPr/>
        <w:t>.</w:t>
      </w:r>
    </w:p>
    <w:p>
      <w:pPr>
        <w:pStyle w:val="MainText"/>
        <w:rPr/>
      </w:pPr>
      <w:r>
        <w:rPr/>
        <w:t>Платежи и поступления денежных средств включаются в Отчет независимо от способа их осуществления, в частности, включаются расчеты, осуществляемые через счета “НОСТРО”, “ЛОРО” отчитывающегося уполномоченного банка (в том числе транзитные операции через другие банки-резиденты), аккредитивные счета, а также переводы с одного клиентского счета на другой клиентский счет в отчитывающемся уполномоченном банке.</w:t>
      </w:r>
    </w:p>
    <w:p>
      <w:pPr>
        <w:pStyle w:val="MainText"/>
        <w:rPr/>
      </w:pPr>
      <w:r>
        <w:rPr/>
        <w:t>I.9. В Отчете не отражаются расчеты по следующим операциям:</w:t>
      </w:r>
    </w:p>
    <w:p>
      <w:pPr>
        <w:pStyle w:val="MainText"/>
        <w:rPr/>
      </w:pPr>
      <w:r>
        <w:rPr/>
        <w:t>купля (продажа) товаров, в том числе платежи за товары, осуществляемые на основании решения суда;</w:t>
      </w:r>
    </w:p>
    <w:p>
      <w:pPr>
        <w:pStyle w:val="MainText"/>
        <w:rPr/>
      </w:pPr>
      <w:r>
        <w:rPr/>
        <w:t>покупка, продажа ценных бумаг, предоставление (привлечение) кредитов, ссуд, займов, вкладов (депозитов), а также выплаты в счет их погашения, включая выплаты в счет их погашения, осуществляемые на основании решения суда;</w:t>
      </w:r>
    </w:p>
    <w:p>
      <w:pPr>
        <w:pStyle w:val="MainText"/>
        <w:rPr/>
      </w:pPr>
      <w:r>
        <w:rPr/>
        <w:t>выплаты процентов по ссудам, кредитам, дивидендов, купонных платежей по ценным бумагам, в том числе указанные выплаты, осуществляемые на основании решения суда;</w:t>
      </w:r>
    </w:p>
    <w:p>
      <w:pPr>
        <w:pStyle w:val="MainText"/>
        <w:rPr/>
      </w:pPr>
      <w:r>
        <w:rPr/>
        <w:t>выплаты заработной платы;</w:t>
      </w:r>
    </w:p>
    <w:p>
      <w:pPr>
        <w:pStyle w:val="MainText"/>
        <w:rPr/>
      </w:pPr>
      <w:r>
        <w:rPr/>
        <w:t>взносы в уставный капитал, инвестиционные и паевые взносы, взносы в имущество, включая перечисление денежных средств учредителями;</w:t>
      </w:r>
    </w:p>
    <w:p>
      <w:pPr>
        <w:pStyle w:val="MainText"/>
        <w:rPr/>
      </w:pPr>
      <w:r>
        <w:rPr/>
        <w:t>перечисление безвозмездной (материальной) помощи между юридическими лицами, за исключением случаев, когда одной из сторон является российская или иностранная некоммерческая, государственная или муниципальная организация, орган государственной власти;</w:t>
      </w:r>
    </w:p>
    <w:p>
      <w:pPr>
        <w:pStyle w:val="MainText"/>
        <w:rPr/>
      </w:pPr>
      <w:r>
        <w:rPr/>
        <w:t>по операциям физических лиц — резидентов;</w:t>
      </w:r>
    </w:p>
    <w:p>
      <w:pPr>
        <w:pStyle w:val="MainText"/>
        <w:rPr/>
      </w:pPr>
      <w:r>
        <w:rPr/>
        <w:t>по операциям, осуществляемым с использованием платежных карт.</w:t>
      </w:r>
    </w:p>
    <w:p>
      <w:pPr>
        <w:pStyle w:val="MGlavaCenter"/>
        <w:rPr>
          <w:b w:val="false"/>
        </w:rPr>
      </w:pPr>
      <w:r>
        <w:rPr>
          <w:b w:val="false"/>
        </w:rPr>
        <w:t>Раздел II. Порядок представления Отчета</w:t>
      </w:r>
    </w:p>
    <w:p>
      <w:pPr>
        <w:pStyle w:val="MainText"/>
        <w:rPr/>
      </w:pPr>
      <w:r>
        <w:rPr/>
        <w:t>II.1. Уполномоченные банки ежемесячно в электронном виде направляют Отчеты в территориальные учреждения Банка России по месту нахождения головного офиса уполномоченного банка не позднее 17-го рабочего дня месяца, следующего за отчетным. Отчет представляется головным офисом уполномоченного банка, включая данные по его филиалам, независимо от места их расположения, включая филиалы (не являющиеся самостоятельными юридическими лицами), находящиеся на территории других государств.</w:t>
      </w:r>
    </w:p>
    <w:p>
      <w:pPr>
        <w:pStyle w:val="MainText"/>
        <w:rPr/>
      </w:pPr>
      <w:r>
        <w:rPr/>
        <w:t>Под филиалами крупных кредитных организаций с широкой сетью подразделений в рамках настоящего Порядка составления и представления Отчета понимаются территориальные банки.</w:t>
      </w:r>
    </w:p>
    <w:p>
      <w:pPr>
        <w:pStyle w:val="MainText"/>
        <w:rPr/>
      </w:pPr>
      <w:r>
        <w:rPr/>
        <w:t>Филиалы уполномоченных банков, а также подчиненные территориальным банкам филиалы (отделения) крупных кредитных организаций с широкой сетью подразделений, территориально расположенные отдельно от головных офисов уполномоченных банков или территориальных банков, одновременно с представлением Отчета в головные офисы уполномоченных банков представляют Отчет в территориальные учреждения Банка России, осуществляющие надзор за их деятельностью.</w:t>
      </w:r>
    </w:p>
    <w:p>
      <w:pPr>
        <w:pStyle w:val="MainText"/>
        <w:rPr/>
      </w:pPr>
      <w:r>
        <w:rPr/>
        <w:t>II.2. Срок хранения отчитывающимся уполномоченным банком копий направленных Отчетов — 3 года.</w:t>
      </w:r>
    </w:p>
    <w:p>
      <w:pPr>
        <w:pStyle w:val="MainText"/>
        <w:rPr/>
      </w:pPr>
      <w:r>
        <w:rPr/>
        <w:t>II.3. Для получения информации по вопросам заполнения и представления Отчета следует обращаться в Банк России по телефону (495) 771-46-47; e-mail: emg@cbr.ru; факс (495) 771-44-60.</w:t>
      </w:r>
    </w:p>
    <w:p>
      <w:pPr>
        <w:pStyle w:val="MGlavaCenter"/>
        <w:rPr>
          <w:b w:val="false"/>
        </w:rPr>
      </w:pPr>
      <w:r>
        <w:rPr>
          <w:b w:val="false"/>
        </w:rPr>
        <w:t>Раздел III. Порядок составления Отчета</w:t>
      </w:r>
    </w:p>
    <w:p>
      <w:pPr>
        <w:pStyle w:val="MainText"/>
        <w:rPr/>
      </w:pPr>
      <w:r>
        <w:rPr/>
        <w:t>III.1. При оформлении титульного листа Отчета поля “I” и “II” заполняются только головным офисом уполномоченного банка.</w:t>
      </w:r>
    </w:p>
    <w:p>
      <w:pPr>
        <w:pStyle w:val="MainText"/>
        <w:rPr/>
      </w:pPr>
      <w:r>
        <w:rPr/>
        <w:t>При заполнении поля “II” указывается количество филиалов отчитывающегося уполномоченного банка, через которые в отчетном периоде осуществлялись расчеты между резидентами и нерезидентами за выполнение работ, оказание услуг, передачу информации, результатов интеллектуальной деятельности и операции неторгового характера.</w:t>
      </w:r>
    </w:p>
    <w:p>
      <w:pPr>
        <w:pStyle w:val="MainText"/>
        <w:rPr/>
      </w:pPr>
      <w:r>
        <w:rPr/>
        <w:t>III.2. В графе 1 указываются регистрационный номер кредитной организации и номер ее филиала, разделенные символом “/”. Для кредитных организаций, не имеющих филиалов, а также для собственных операций головных офисов кредитных организаций вместо номера филиала указывается “0”.</w:t>
      </w:r>
    </w:p>
    <w:p>
      <w:pPr>
        <w:pStyle w:val="MainText"/>
        <w:rPr/>
      </w:pPr>
      <w:r>
        <w:rPr/>
        <w:t>III.3. В графе 2 указывается дата операции в формате “дд.мм.гггг”, где “дд” — день, “мм” — месяц, “гггг” — год. Датой операции считается дата зачисления (списания) денежных средств на корреспондентский счет отчитывающегося уполномоченного банка.</w:t>
      </w:r>
    </w:p>
    <w:p>
      <w:pPr>
        <w:pStyle w:val="MainText"/>
        <w:rPr/>
      </w:pPr>
      <w:r>
        <w:rPr/>
        <w:t>По собственным операциям уполномоченных банков в части финансовых услуг, в том числе таких, плата за которые взимается в виде комиссий, в графе 2 указывается последний рабочий день отчетного месяца.</w:t>
      </w:r>
    </w:p>
    <w:p>
      <w:pPr>
        <w:pStyle w:val="MainText"/>
        <w:rPr/>
      </w:pPr>
      <w:r>
        <w:rPr/>
        <w:t>III.4. В графе 3 указывается цифровой код валюты корреспондентского счета отчитывающегося уполномоченного банка, с которого списаны денежные средства (для платежей) (на который зачислены денежные средства (для поступлений денежных средств) в соответствии с Общероссийским классификатором валют (ОКВ) и Классификатором валют по межправительственным соглашениям, используемых в банковской системе Российской Федерации (Классификатором клиринговых валют).</w:t>
      </w:r>
    </w:p>
    <w:p>
      <w:pPr>
        <w:pStyle w:val="MainText"/>
        <w:rPr/>
      </w:pPr>
      <w:r>
        <w:rPr/>
        <w:t>III.5. В графе 4 данные отражаются в тысячах единиц валюты, указанной в графе 3, с точностью до трех знаков после запятой (с округлением по математическому методу).</w:t>
      </w:r>
    </w:p>
    <w:p>
      <w:pPr>
        <w:pStyle w:val="MainText"/>
        <w:rPr/>
      </w:pPr>
      <w:r>
        <w:rPr/>
        <w:t>III.6. В графе 5 указывается один из кодов приведенного в разделе IV настоящего Порядка Перечня видов работ, услуг, передачи информации, результатов интеллектуальной деятельности и операций неторгового характера. Указанный Перечень и приведенные в разделе V настоящего Порядка пояснения к нему используются исключительно для целей Отчета.</w:t>
      </w:r>
    </w:p>
    <w:p>
      <w:pPr>
        <w:pStyle w:val="MainText"/>
        <w:rPr/>
      </w:pPr>
      <w:r>
        <w:rPr/>
        <w:t>Если платежный документ оформлен сразу на несколько видов работ, услуг, передачи информации, результатов интеллектуальной деятельности и операций неторгового характера, следует либо разделить платеж по отдельным видам на основании договора (или оценки клиента), либо, в исключительных случаях, отнести всю сумму платежа на один из видов работ, услуг, передачи информации, результатов интеллектуальной деятельности и операций неторгового характера. Если платеж является комплексным — за товары и услуги, следует на основании договора (или оценки клиента) определить сумму, причитающуюся за услуги (если же выделить из указанного платежа стоимость услуги невозможно, такая операция в Отчете не отражается).</w:t>
      </w:r>
    </w:p>
    <w:p>
      <w:pPr>
        <w:pStyle w:val="MainText"/>
        <w:rPr/>
      </w:pPr>
      <w:r>
        <w:rPr/>
        <w:t>III.7. В графе 6 указывается соответствующий цифровой код направления платежа:</w:t>
      </w:r>
    </w:p>
    <w:p>
      <w:pPr>
        <w:pStyle w:val="MainText"/>
        <w:rPr/>
      </w:pPr>
      <w:r>
        <w:rPr/>
        <w:t>Код “1”:</w:t>
      </w:r>
    </w:p>
    <w:p>
      <w:pPr>
        <w:pStyle w:val="MainText"/>
        <w:rPr/>
      </w:pPr>
      <w:r>
        <w:rPr/>
        <w:t>поступления в пользу клиента-резидента денежных средств в иностранной валюте от нерезидентов</w:t>
      </w:r>
      <w:r>
        <w:rPr>
          <w:vertAlign w:val="superscript"/>
        </w:rPr>
        <w:t>1</w:t>
      </w:r>
      <w:r>
        <w:rPr/>
        <w:t>;</w:t>
      </w:r>
    </w:p>
    <w:p>
      <w:pPr>
        <w:pStyle w:val="MainText"/>
        <w:rPr/>
      </w:pPr>
      <w:r>
        <w:rPr/>
        <w:t>поступления в пользу клиента-резидента денежных средств в валюте Российской Федерации от нерезидентов со счетов, открытых в банках, расположенных за пределами территории Российской Федерации;</w:t>
      </w:r>
    </w:p>
    <w:p>
      <w:pPr>
        <w:pStyle w:val="MainText"/>
        <w:rPr/>
      </w:pPr>
      <w:r>
        <w:rPr/>
        <w:t>поступления в пользу клиента-резидента денежных средств в валюте Российской Федерации от банков-нерезидентов</w:t>
      </w:r>
      <w:r>
        <w:rPr>
          <w:vertAlign w:val="superscript"/>
        </w:rPr>
        <w:t>1</w:t>
      </w:r>
      <w:r>
        <w:rPr/>
        <w:t>;</w:t>
      </w:r>
    </w:p>
    <w:p>
      <w:pPr>
        <w:pStyle w:val="MainText"/>
        <w:rPr/>
      </w:pPr>
      <w:r>
        <w:rPr/>
        <w:t>поступления в пользу отчитывающегося уполномоченного банка денежных средств в иностранной валюте от нерезидентов</w:t>
      </w:r>
      <w:r>
        <w:rPr>
          <w:vertAlign w:val="superscript"/>
        </w:rPr>
        <w:t>1</w:t>
      </w:r>
      <w:r>
        <w:rPr/>
        <w:t>;</w:t>
      </w:r>
    </w:p>
    <w:p>
      <w:pPr>
        <w:pStyle w:val="MainText"/>
        <w:rPr/>
      </w:pPr>
      <w:r>
        <w:rPr/>
        <w:t>поступления в пользу отчитывающегося уполномоченного банка денежных средств в валюте Российской Федерации от нерезидентов со счетов, открытых в банках, расположенных за пределами территории Российской Федерации;</w:t>
      </w:r>
    </w:p>
    <w:p>
      <w:pPr>
        <w:pStyle w:val="MainText"/>
        <w:rPr/>
      </w:pPr>
      <w:r>
        <w:rPr/>
        <w:t>поступления в пользу отчитывающегося уполномоченного банка денежных средств в валюте Российской Федерации от банков-нерезидентов</w:t>
      </w:r>
      <w:r>
        <w:rPr>
          <w:vertAlign w:val="superscript"/>
        </w:rPr>
        <w:t>1</w:t>
      </w:r>
      <w:r>
        <w:rPr/>
        <w:t>.</w:t>
      </w:r>
    </w:p>
    <w:p>
      <w:pPr>
        <w:pStyle w:val="MainText"/>
        <w:rPr/>
      </w:pPr>
      <w:r>
        <w:rPr/>
        <w:t>Код “2”:</w:t>
      </w:r>
    </w:p>
    <w:p>
      <w:pPr>
        <w:pStyle w:val="MainText"/>
        <w:rPr/>
      </w:pPr>
      <w:r>
        <w:rPr/>
        <w:t>платежи клиента-резидента в иностранной валюте в пользу нерезидентов</w:t>
      </w:r>
      <w:r>
        <w:rPr>
          <w:vertAlign w:val="superscript"/>
        </w:rPr>
        <w:t>1</w:t>
      </w:r>
      <w:r>
        <w:rPr/>
        <w:t>;</w:t>
      </w:r>
    </w:p>
    <w:p>
      <w:pPr>
        <w:pStyle w:val="MainText"/>
        <w:rPr/>
      </w:pPr>
      <w:r>
        <w:rPr/>
        <w:t>платежи клиента-резидента в валюте Российской Федерации в пользу нерезидентов на счета, открытые в банках, расположенных за пределами территории Российской Федерации;</w:t>
      </w:r>
    </w:p>
    <w:p>
      <w:pPr>
        <w:pStyle w:val="MainText"/>
        <w:rPr/>
      </w:pPr>
      <w:r>
        <w:rPr/>
        <w:t>платежи клиента-резидента в валюте Российской Федерации в пользу банков-нерезидентов</w:t>
      </w:r>
      <w:r>
        <w:rPr>
          <w:vertAlign w:val="superscript"/>
        </w:rPr>
        <w:t>1</w:t>
      </w:r>
      <w:r>
        <w:rPr/>
        <w:t>;</w:t>
      </w:r>
    </w:p>
    <w:p>
      <w:pPr>
        <w:pStyle w:val="MainText"/>
        <w:rPr/>
      </w:pPr>
      <w:r>
        <w:rPr/>
        <w:t>платежи отчитывающегося уполномоченного банка в иностранной валюте в пользу нерезидентов</w:t>
      </w:r>
      <w:r>
        <w:rPr>
          <w:vertAlign w:val="superscript"/>
        </w:rPr>
        <w:t>1</w:t>
      </w:r>
      <w:r>
        <w:rPr/>
        <w:t>;</w:t>
      </w:r>
    </w:p>
    <w:p>
      <w:pPr>
        <w:pStyle w:val="MainText"/>
        <w:rPr/>
      </w:pPr>
      <w:r>
        <w:rPr/>
        <w:t>платежи отчитывающегося уполномоченного банка в валюте Российской Федерации в пользу нерезидентов на счета, открытые в банках, расположенных за пределами территории Российской Федерации;</w:t>
      </w:r>
    </w:p>
    <w:p>
      <w:pPr>
        <w:pStyle w:val="MainText"/>
        <w:rPr/>
      </w:pPr>
      <w:r>
        <w:rPr/>
        <w:t>платежи отчитывающегося уполномоченного банка в валюте Российской Федерации в пользу банков-нерезидентов</w:t>
      </w:r>
      <w:r>
        <w:rPr>
          <w:vertAlign w:val="superscript"/>
        </w:rPr>
        <w:t>1</w:t>
      </w:r>
      <w:r>
        <w:rPr/>
        <w:t>.</w:t>
      </w:r>
    </w:p>
    <w:p>
      <w:pPr>
        <w:pStyle w:val="MainText"/>
        <w:rPr/>
      </w:pPr>
      <w:r>
        <w:rPr/>
        <w:t>Код “3”:</w:t>
      </w:r>
    </w:p>
    <w:p>
      <w:pPr>
        <w:pStyle w:val="MainText"/>
        <w:rPr/>
      </w:pPr>
      <w:r>
        <w:rPr/>
        <w:t>поступления в пользу клиента-резидента денежных средств в валюте Российской Федерации от нерезидентов</w:t>
      </w:r>
      <w:r>
        <w:rPr>
          <w:vertAlign w:val="superscript"/>
        </w:rPr>
        <w:t>1</w:t>
      </w:r>
      <w:r>
        <w:rPr/>
        <w:t xml:space="preserve"> со счетов, открытых в банках, расположенных на территории Российской Федерации;</w:t>
      </w:r>
    </w:p>
    <w:p>
      <w:pPr>
        <w:pStyle w:val="MainText"/>
        <w:rPr/>
      </w:pPr>
      <w:r>
        <w:rPr/>
        <w:t>поступления в пользу клиента-резидента денежных средств в валюте Российской Федерации от нерезидентов в наличной форме;</w:t>
      </w:r>
    </w:p>
    <w:p>
      <w:pPr>
        <w:pStyle w:val="MainText"/>
        <w:rPr/>
      </w:pPr>
      <w:r>
        <w:rPr/>
        <w:t>поступления в пользу отчитывающегося уполномоченного банка денежных средств в валюте Российской Федерации от нерезидентов</w:t>
      </w:r>
      <w:r>
        <w:rPr>
          <w:vertAlign w:val="superscript"/>
        </w:rPr>
        <w:t>1</w:t>
      </w:r>
      <w:r>
        <w:rPr/>
        <w:t xml:space="preserve"> со счетов, открытых в банках, расположенных на территории Российской Федерации;</w:t>
      </w:r>
    </w:p>
    <w:p>
      <w:pPr>
        <w:pStyle w:val="MainText"/>
        <w:rPr/>
      </w:pPr>
      <w:r>
        <w:rPr/>
        <w:t>поступления в пользу отчитывающегося уполномоченного банка денежных средств в валюте Российской Федерации от нерезидентов в наличной форме.</w:t>
      </w:r>
    </w:p>
    <w:p>
      <w:pPr>
        <w:pStyle w:val="MainText"/>
        <w:rPr/>
      </w:pPr>
      <w:r>
        <w:rPr/>
        <w:t>Код “4”:</w:t>
      </w:r>
    </w:p>
    <w:p>
      <w:pPr>
        <w:pStyle w:val="MainText"/>
        <w:rPr/>
      </w:pPr>
      <w:r>
        <w:rPr/>
        <w:t>платежи клиента-резидента в валюте Российской Федерации в пользу нерезидентов</w:t>
      </w:r>
      <w:r>
        <w:rPr>
          <w:vertAlign w:val="superscript"/>
        </w:rPr>
        <w:t>1</w:t>
      </w:r>
      <w:r>
        <w:rPr/>
        <w:t xml:space="preserve"> на счета, открытые в банках, расположенных на территории Российской Федерации;</w:t>
      </w:r>
    </w:p>
    <w:p>
      <w:pPr>
        <w:pStyle w:val="MainText"/>
        <w:rPr/>
      </w:pPr>
      <w:r>
        <w:rPr/>
        <w:t>платежи отчитывающегося уполномоченного банка в валюте Российской Федерации в пользу нерезидентов на счета, открытые в банках, расположенных на территории Российской Федерации.</w:t>
      </w:r>
    </w:p>
    <w:p>
      <w:pPr>
        <w:pStyle w:val="MainText"/>
        <w:rPr/>
      </w:pPr>
      <w:r>
        <w:rPr/>
        <w:t>III.8. В графе 7 указывается цифровой код страны нерезидента, который является получателем или плательщиком денежных средств, в соответствии с Общероссийским классификатором стран мира (ОКСМ).</w:t>
      </w:r>
    </w:p>
    <w:p>
      <w:pPr>
        <w:pStyle w:val="MainText"/>
        <w:rPr/>
      </w:pPr>
      <w:r>
        <w:rPr/>
        <w:t>Для отражения услуг, представляемых платежно-расчетными, телекоммуникационными и информационными системами, используются следующие коды стран: для Euroclear — код “056” (Бельгия), для Clearstream — код “442” (Люксембург), для TARGET — код “276” (Германия), для Bloomberg — код “840” (Соединенные Штаты Америки), для S.W.I.F.T. — код “056” (Бельгия), для REUTERS — код “826” (Соединенное Королевство).</w:t>
      </w:r>
    </w:p>
    <w:p>
      <w:pPr>
        <w:pStyle w:val="MainText"/>
        <w:rPr/>
      </w:pPr>
      <w:r>
        <w:rPr/>
        <w:t>Для представительств и филиалов иностранных компаний, расположенных на территории Российской Федерации, в графе 7 указывается код страны материнской компании. Если страна материнской компании неизвестна, в графе 7 указывается код “997”.</w:t>
      </w:r>
    </w:p>
    <w:p>
      <w:pPr>
        <w:pStyle w:val="MainText"/>
        <w:rPr/>
      </w:pPr>
      <w:r>
        <w:rPr/>
        <w:t>Если в качестве нерезидента выступает международная организация или международный институт, в графе 7 указывается код “998”. Для обеспечения унификации показателей Банком России исключительно для целей Отчета разработан Справочник международных организаций, который доводится Банком России до сведения уполномоченных банков в рамках программного обеспечения.</w:t>
      </w:r>
    </w:p>
    <w:p>
      <w:pPr>
        <w:pStyle w:val="MainText"/>
        <w:rPr/>
      </w:pPr>
      <w:r>
        <w:rPr/>
        <w:t>Если в расчетных документах или в документах, являющихся основанием для проведения валютной операции, отсутствует информация о стране контрагента-нерезидента, то в графе 7 отражается код “999”.</w:t>
      </w:r>
    </w:p>
    <w:p>
      <w:pPr>
        <w:pStyle w:val="MainText"/>
        <w:rPr/>
      </w:pPr>
      <w:r>
        <w:rPr/>
        <w:t>В графе 7 не должен указываться цифровой код Российской Федерации.</w:t>
      </w:r>
    </w:p>
    <w:p>
      <w:pPr>
        <w:pStyle w:val="MainText"/>
        <w:rPr/>
      </w:pPr>
      <w:r>
        <w:rPr/>
        <w:t>III.9. При расчетах в валюте Российской Федерации в графе 8 указывается банковский идентификационный код (БИК) уполномоченного банка (далее — БИК уполномоченного банка), клиентом которого является контрагент-нерезидент.</w:t>
      </w:r>
    </w:p>
    <w:p>
      <w:pPr>
        <w:pStyle w:val="MainText"/>
        <w:rPr/>
      </w:pPr>
      <w:r>
        <w:rPr/>
        <w:t>При перечислении денежных средств в валюте Российской Федерации на корреспондентский счет (с корреспондентского счета) иностранного банка в уполномоченном банке в графе 8 указывается БИК уполномоченного банка, в котором открыт данный корреспондентский счет.</w:t>
      </w:r>
    </w:p>
    <w:p>
      <w:pPr>
        <w:pStyle w:val="MainText"/>
        <w:rPr/>
      </w:pPr>
      <w:r>
        <w:rPr/>
        <w:t>При перечислении денежных средств в валюте Российской Федерации на корреспондентский счет (с корреспондентского счета) уполномоченного банка в иностранном банке — участнике системы СВИФТ указывается СВИФТ код иностранного банка.</w:t>
      </w:r>
    </w:p>
    <w:p>
      <w:pPr>
        <w:pStyle w:val="MainText"/>
        <w:rPr/>
      </w:pPr>
      <w:r>
        <w:rPr/>
        <w:t>Если перечисление денежных средств осуществляется в иностранной валюте на счета (со счетов) нерезидентов в иностранных банках, в графе 8 для иностранных банков — участников системы СВИФТ указываются СВИФТ коды иностранных банков, обслуживающих нерезидентов — получателей (плательщиков) денежных средств.</w:t>
      </w:r>
    </w:p>
    <w:p>
      <w:pPr>
        <w:pStyle w:val="MainText"/>
        <w:rPr/>
      </w:pPr>
      <w:r>
        <w:rPr/>
        <w:t>При отсутствии сведений о СВИФТ коде иностранного банка, обслуживающего нерезидента — получателя (плательщика) денежных средств, в графе 8 указывается СВИФТ код иностранного банка — посредника.</w:t>
      </w:r>
    </w:p>
    <w:p>
      <w:pPr>
        <w:pStyle w:val="MainText"/>
        <w:rPr/>
      </w:pPr>
      <w:r>
        <w:rPr/>
        <w:t>Если перечисление денежных средств осуществляется в иностранной валюте на счета (со счетов) иностранных банков, являющихся получателями или плательщиками денежных средств, в графе 8 для иностранных банков — участников системы СВИФТ указывается СВИФТ код иностранного банка.</w:t>
      </w:r>
    </w:p>
    <w:p>
      <w:pPr>
        <w:pStyle w:val="MainText"/>
        <w:rPr/>
      </w:pPr>
      <w:r>
        <w:rPr/>
        <w:t>Для иностранного банка, не являющегося участником системы СВИФТ, в данной графе указывается цифровой код страны места нахождения иностранного банка в соответствии с Общероссийским классификатором стран мира (ОКСМ).</w:t>
      </w:r>
    </w:p>
    <w:p>
      <w:pPr>
        <w:pStyle w:val="MainText"/>
        <w:rPr/>
      </w:pPr>
      <w:r>
        <w:rPr/>
        <w:t>Если перечисление денежных средств осуществляется в иностранной валюте на счета (со счетов) нерезидентов (за исключением иностранных банков) в российских банках, указывается БИК уполномоченного банка, обслуживающего нерезидента.</w:t>
      </w:r>
    </w:p>
    <w:p>
      <w:pPr>
        <w:pStyle w:val="MainText"/>
        <w:rPr/>
      </w:pPr>
      <w:r>
        <w:rPr/>
        <w:t>III.10. Графа 9 заполняется только для юридических лиц — резидентов, являющихся клиентами отчитывающегося уполномоченного банка. В данной графе указывается десятизначный идентификационный номер налогоплательщика (ИНН). Для резидентов, являющихся индивидуальными предпринимателями, а также для платежей и поступлений денежных средств по собственным операциям отчитывающегося уполномоченного банка графа 9 не заполняется.</w:t>
      </w:r>
    </w:p>
    <w:p>
      <w:pPr>
        <w:pStyle w:val="MainText"/>
        <w:rPr/>
      </w:pPr>
      <w:r>
        <w:rPr/>
        <w:t>III.11. В графе 10 для резидентов, являющихся клиентами отчитывающегося уполномоченного банка (исключая индивидуальных предпринимателей), указывается их сокращенное наименование. Для клиентов, являющихся индивидуальными предпринимателями, указывается код “ИП”. Для платежей и поступлений денежных средств по собственным операциям отчитывающегося уполномоченного банка (за работы, услуги, передачу информации, результаты интеллектуальной деятельности, операции неторгового характера) — код “КО”.</w:t>
      </w:r>
    </w:p>
    <w:p>
      <w:pPr>
        <w:pStyle w:val="MainText"/>
        <w:rPr/>
      </w:pPr>
      <w:r>
        <w:rPr/>
        <w:t>III.12. В графе 11 указывается в соответствии с расчетными документами наименование нерезидента, являющегося получателем или плательщиком денежных средств.</w:t>
      </w:r>
    </w:p>
    <w:p>
      <w:pPr>
        <w:pStyle w:val="MainText"/>
        <w:rPr/>
      </w:pPr>
      <w:r>
        <w:rPr/>
        <w:t>При указании наименований нерезидентов — физических лиц указывается код “ФЛ”.</w:t>
      </w:r>
    </w:p>
    <w:p>
      <w:pPr>
        <w:pStyle w:val="MainText"/>
        <w:rPr/>
      </w:pPr>
      <w:r>
        <w:rPr/>
        <w:t>III.13. Графа 12 заполняется, если:</w:t>
      </w:r>
    </w:p>
    <w:p>
      <w:pPr>
        <w:pStyle w:val="MainText"/>
        <w:rPr/>
      </w:pPr>
      <w:r>
        <w:rPr/>
        <w:t>сумма платежа превышает стоимостный порог, который устанавливается Банком России для отдельных видов услуг, работ, передачи информации, результатов интеллектуальной деятельности, операций неторгового характера и доводится до сведения уполномоченных банков в рамках программного обеспечения. В графе 12 приводится расшифровка назначения платежа без указания реквизитов договора, то есть указывается информация, за какие непосредственно работы, услуги, результаты интеллектуальной деятельности, операции неторгового характера, а также за какую передачу информации был произведен платеж. Для кодов услуг 51 и 51а указываются наименование и место нахождения строительного объекта (строительной площадки). Если установленный стоимостный порог превышен в результате агрегации нескольких платежей, в данной графе указывается “агрегация”. В случае если среди агрегируемых платежей имеются платежи, превышающие установленный порог значения, то помимо слова “агрегация” приводится расшифровка их назначения;</w:t>
      </w:r>
    </w:p>
    <w:p>
      <w:pPr>
        <w:pStyle w:val="MainText"/>
        <w:rPr/>
      </w:pPr>
      <w:r>
        <w:rPr/>
        <w:t>операции совершаются в валюте Российской Федерации с кодом направления платежа “1” или “2” на счета иностранных банков, открытые в уполномоченных банках (или на счета в иностранных банках), — в этом случае в графе 12 должно быть указано наименование данного иностранного банка.</w:t>
      </w:r>
    </w:p>
    <w:p>
      <w:pPr>
        <w:pStyle w:val="MainText"/>
        <w:rPr/>
      </w:pPr>
      <w:r>
        <w:rPr/>
        <w:t>Если в Отчете по соответствующей операции необходимо одновременно указать все примечания, то они разделяются символом “/”.</w:t>
      </w:r>
    </w:p>
    <w:p>
      <w:pPr>
        <w:pStyle w:val="MainText"/>
        <w:rPr/>
      </w:pPr>
      <w:r>
        <w:rPr/>
        <w:t>III.14. В Отчете осуществляется агрегация платежей:</w:t>
      </w:r>
    </w:p>
    <w:p>
      <w:pPr>
        <w:pStyle w:val="MainText"/>
        <w:rPr/>
      </w:pPr>
      <w:r>
        <w:rPr/>
        <w:t>по собственным операциям уполномоченных банков в части финансовых услуг, в том числе плата за которые взимается в виде комиссий, в рамках отчетного периода при совпадении данных по всем графам, кроме граф 2 и 4. При этом в графе 2 указывается последний рабочий день отчетного месяца;</w:t>
      </w:r>
    </w:p>
    <w:p>
      <w:pPr>
        <w:pStyle w:val="MainText"/>
        <w:rPr/>
      </w:pPr>
      <w:r>
        <w:rPr/>
        <w:t>в рамках одного операционного дня при совпадении данных по всем графам, кроме графы 4.</w:t>
      </w:r>
    </w:p>
    <w:p>
      <w:pPr>
        <w:pStyle w:val="MainText"/>
        <w:rPr/>
      </w:pPr>
      <w:r>
        <w:rPr/>
        <w:t>III.15. Сведения о возврате денежных средств, переведенных (поступивших) в предыдущие отчетные периоды (в пределах последних 12 месяцев), отражаются в Отчетах тех уполномоченных банков, которые (клиенты которых) осуществляли первоначальные платежи (первоначальные зачисления).</w:t>
      </w:r>
    </w:p>
    <w:p>
      <w:pPr>
        <w:pStyle w:val="MainText"/>
        <w:rPr/>
      </w:pPr>
      <w:r>
        <w:rPr/>
        <w:t>При отражении возврата платежей (поступлений денежных средств) показатели в графах 2, 5—11 должны быть тождественны данным первоначального платежа (поступления денежных средств). Неравенство показателей допускается только по графе 3 и графе 4. Сумма возврата должна быть отражена в графе 4 обязательно со знаком “минус”.</w:t>
      </w:r>
    </w:p>
    <w:p>
      <w:pPr>
        <w:pStyle w:val="MainText"/>
        <w:rPr/>
      </w:pPr>
      <w:r>
        <w:rPr/>
        <w:t>Сведения о возврате платежей (поступлений денежных средств), осуществленных до введения в Отчет новых показателей (например, операций неторгового характера), в Отчет не включаются.</w:t>
      </w:r>
    </w:p>
    <w:p>
      <w:pPr>
        <w:pStyle w:val="MainText"/>
        <w:rPr/>
      </w:pPr>
      <w:r>
        <w:rPr/>
        <w:t>Если платежи (поступления денежных средств), а также их возвраты осуществлялись в течение одного отчетного периода в одной и той же валюте, то в Отчете указанные операции сальдируются.</w:t>
      </w:r>
    </w:p>
    <w:p>
      <w:pPr>
        <w:pStyle w:val="MainText"/>
        <w:rPr/>
      </w:pPr>
      <w:r>
        <w:rPr/>
        <w:t>Если на момент представления Отчета поступила информация о возврате денежных средств, выплаченных (поступивших) в отчетном периоде, то при совпадении данных по всем показателям допускается сальдирование указанных операций.</w:t>
      </w:r>
    </w:p>
    <w:p>
      <w:pPr>
        <w:pStyle w:val="MainText"/>
        <w:rPr/>
      </w:pPr>
      <w:r>
        <w:rPr/>
        <w:t>III.16. Изменения (в том числе дополнения) данных предыдущих отчетных периодов (в пределах последних 12 месяцев) должны быть включены в Отчет за текущий отчетный период, но с указанием даты операции того отчетного периода, в котором были обнаружены искажения данных. Для этого необходимо:</w:t>
      </w:r>
    </w:p>
    <w:p>
      <w:pPr>
        <w:pStyle w:val="MainText"/>
        <w:rPr/>
      </w:pPr>
      <w:r>
        <w:rPr/>
        <w:t>аннулировать первоначальную запись путем ее повторной записи с сохранением всех показателей первоначальной операции, кроме суммы платежа, которая также соответствует показателю первоначальной записи, но отражается в графе 4 Отчета с противоположным знаком;</w:t>
      </w:r>
    </w:p>
    <w:p>
      <w:pPr>
        <w:pStyle w:val="MainText"/>
        <w:rPr/>
      </w:pPr>
      <w:r>
        <w:rPr/>
        <w:t>включить в Отчет, если это необходимо, новую, уточненную запись платежа (поступления денежных средств) с указанием даты первоначальной операции.</w:t>
      </w:r>
    </w:p>
    <w:p>
      <w:pPr>
        <w:pStyle w:val="MainText"/>
        <w:rPr/>
      </w:pPr>
      <w:r>
        <w:rPr/>
        <w:t>Отчитывающиеся банки не включают в Отчет операции, совершенные в предыдущие отчетные периоды, если их клиенты не представили своевременно сведения, необходимые для идентификации операций как подлежащих отражению в Отчете, и сумма платежа при этом меньше установленного стоимостного порога.</w:t>
      </w:r>
    </w:p>
    <w:p>
      <w:pPr>
        <w:pStyle w:val="MainText"/>
        <w:rPr/>
      </w:pPr>
      <w:r>
        <w:rPr/>
        <w:t>Не осуществляется корректировка данных, отраженных в Отчете за предыдущий период, если подробные сведения об осуществленных операциях были представлены клиентами после сдачи Отчета и сумма платежа при этом меньше установленного стоимостного порога.</w:t>
      </w:r>
    </w:p>
    <w:p>
      <w:pPr>
        <w:pStyle w:val="MainText"/>
        <w:spacing w:before="0" w:after="120"/>
        <w:rPr/>
      </w:pPr>
      <w:r>
        <w:rPr/>
        <w:t>Приведенный в настоящем пункте порядок внесения изменений (в том числе дополнений) данных не распространяется на предоставление отчитывающимися уполномоченными банками уточненной отчетности за текущий отчетный период.</w:t>
      </w:r>
    </w:p>
    <w:p>
      <w:pPr>
        <w:pStyle w:val="MainText"/>
        <w:pBdr>
          <w:top w:val="single" w:sz="6" w:space="1" w:color="000000"/>
        </w:pBdr>
        <w:spacing w:before="60" w:after="0"/>
        <w:ind w:hanging="0" w:end="0"/>
        <w:rPr>
          <w:sz w:val="16"/>
        </w:rPr>
      </w:pPr>
      <w:r>
        <w:rPr>
          <w:sz w:val="16"/>
          <w:vertAlign w:val="superscript"/>
        </w:rPr>
        <w:t>1</w:t>
      </w:r>
      <w:r>
        <w:rPr>
          <w:sz w:val="16"/>
        </w:rPr>
        <w:t> Включая нерезидентов, являющихся клиентами отчитывающегося банка.</w:t>
      </w:r>
      <w:r>
        <w:br w:type="page"/>
      </w:r>
    </w:p>
    <w:p>
      <w:pPr>
        <w:pStyle w:val="MGlavaCenter"/>
        <w:rPr>
          <w:b w:val="false"/>
        </w:rPr>
      </w:pPr>
      <w:r>
        <w:rPr/>
        <w:t>Раздел IV. Перечень видов работ, услуг, передачи информации, результатов интеллектуальной деятельности и операций неторгового характера</w:t>
      </w:r>
    </w:p>
    <w:tbl>
      <w:tblPr>
        <w:tblW w:w="10988" w:type="dxa"/>
        <w:jc w:val="center"/>
        <w:tblInd w:w="0" w:type="dxa"/>
        <w:tblLayout w:type="fixed"/>
        <w:tblCellMar>
          <w:top w:w="0" w:type="dxa"/>
          <w:start w:w="28" w:type="dxa"/>
          <w:bottom w:w="0" w:type="dxa"/>
          <w:end w:w="28" w:type="dxa"/>
        </w:tblCellMar>
      </w:tblPr>
      <w:tblGrid>
        <w:gridCol w:w="1809"/>
        <w:gridCol w:w="9179"/>
      </w:tblGrid>
      <w:tr>
        <w:trPr>
          <w:tblHeader w:val="true"/>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Коды видов работ, услуг, передачи информации, результатов интеллектуальной деятельности и операций неторгового характера</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Виды работ, услуг, передачи информации, результатов интеллектуальной деятельности и операций неторгового характера</w:t>
            </w:r>
          </w:p>
        </w:tc>
      </w:tr>
      <w:tr>
        <w:trPr>
          <w:tblHeader w:val="true"/>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Строительные работы за рубежом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51а</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Строительные работы на территории Российской Федерации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64</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гостиниц и ресторанов</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7112</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Грузовые перевозки железнодорожным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71111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Пассажирские перевозки железнодорожным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7123</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Грузовые перевозки автомобильным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7121, 7122</w:t>
            </w:r>
            <w:r>
              <w:rPr>
                <w:vertAlign w:val="superscript"/>
              </w:rPr>
              <w:t>1</w:t>
            </w:r>
            <w:r>
              <w:rPr/>
              <w:t xml:space="preserve"> </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Пассажирские перевозки автомобильным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713</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Грузовые перевозки трубопроводным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7212, 7222</w:t>
            </w:r>
            <w:r>
              <w:rPr>
                <w:vertAlign w:val="superscript"/>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Грузовые перевозки водным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7211, 7221</w:t>
            </w:r>
            <w:r>
              <w:rPr>
                <w:vertAlign w:val="superscript"/>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Пассажирские перевозки водным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732</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Грузовые перевозки воздушным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731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Пассажирские перевозки воздушным транспортом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733</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Транспортировка в космическом пространстве</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700а</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транспортные перевозки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743</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Вспомогательные и дополнительные услуги железнодорожного транспорта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744</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Вспомогательные и дополнительные услуги автомобильного транспорта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749</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Вспомогательные и дополнительные услуги трубопроводного транспорта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745</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Вспомогательные и дополнительные услуги водного транспорта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746</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Вспомогательные и дополнительные услуги воздушного транспорта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700b</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Вспомогательные и дополнительные услуги прочих видов транспорта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747</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туристических агентств и туристических операторов</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752, 753, 754</w:t>
            </w:r>
            <w:r>
              <w:rPr>
                <w:vertAlign w:val="superscript"/>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Телекоммуникационные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751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Почтовые и курьерские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Финансовые услуги (за исключением страхования)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8112</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Финансовая аренда (лизинг)</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81211a</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Страховые взносы (премии) по договорам страхования жизни (прямое страхование) и по индивидуальному пенсионному страхованию</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81211b</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Страховые выплаты по договорам страхования жизни (прямое страхование) и по индивидуальному пенсионному страхованию </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81294a</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Страховые взносы (премии) по договорам страхования внешнеторговых грузов (прямое страхование)</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81294b</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Страховые выплаты по договорам страхования внешнеторговых грузов (прямое страхование)</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8129a</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Страховые взносы (премии) по другим видам прямого страхования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8129b</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Страховые выплаты по другим видам прямого страхования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812a</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Страховые взносы (премии) по договорам перестрахования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812b</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Страховые выплаты по договорам перестрахования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812c</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страховые платежи и поступления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814</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вспомогательные по отношению к страхованию</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82</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Аренда зданий и сооружений, включая аренду жилищного фонда </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83</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Аренда машин и оборудования без оператора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84</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Компьютерные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85</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в области исследований и разработок</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861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Юридические (правовые)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862, 863</w:t>
            </w:r>
            <w:r>
              <w:rPr>
                <w:vertAlign w:val="superscript"/>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по составлению счетов, бухгалтерскому учету, аудиту, консультационные услуги по налогообложению</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864</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Маркетинг, изучение общественного мнения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865, 866</w:t>
            </w:r>
            <w:r>
              <w:rPr>
                <w:vertAlign w:val="superscript"/>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Консультационные услуги </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867</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в области архитектуры, инженерные услуги, услуги в технических областях</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871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Реклама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879</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по организации промышленных ярмарок, выставок, конференций и симпозиумов</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87909</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посреднические в области торговли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881, 882, 883</w:t>
            </w:r>
            <w:r>
              <w:rPr>
                <w:vertAlign w:val="superscript"/>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виды услуг, относящиеся к сельскому хозяйству, рыболовству, горнодобывающей промышленности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884</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Переработка товаров, сырья в соответствии с таможенными режимами переработки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884а</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Прочая переработка товаров, сырья, отходов и очистка окружающей среды</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88442</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Полиграфические работы и издательские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885</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по монтажу машин и оборудования, не связанные со строительными работами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886</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Ремонт товаров в соответствии с таможенным режимом ремонта</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886а</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Прочий ремонт товаров</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892</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Активы нефинансовые нематериальные</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Государственные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91123</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Жилищно-эксплуатационные и коммунальные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92, 93</w:t>
            </w:r>
            <w:r>
              <w:rPr>
                <w:vertAlign w:val="superscript"/>
              </w:rPr>
              <w:t>1</w:t>
            </w:r>
            <w:r>
              <w:rPr/>
              <w:t xml:space="preserve"> </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в сфере образования и медицинского обслуживания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92a</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связанные с получением образования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93a</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Медицинские услуги, включая санаторно-курортное лечение</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961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Аудиовизуальные и связанные с ними услуги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962</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информационных агентств и прочие услуги по предоставлению информации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963, 964</w:t>
            </w:r>
            <w:r>
              <w:rPr>
                <w:vertAlign w:val="superscript"/>
              </w:rPr>
              <w:t>1</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Услуги в сфере культуры и отдыха, услуги по организации спортивных мероприятий</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97</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услуги, не отнесенные к другим категориям</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499a</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Членские взносы в международные и другие организации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499b</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Налоги, пошлины (кроме таможенных пошлин и налогов, взимаемых таможенными органами)</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499c</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Гранты и прочие безвозмездные перечисления</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499d</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Штрафы, премии; выплаты, связанные с возмещением ущерба; выплаты по решению судебных органов</w:t>
            </w:r>
          </w:p>
        </w:tc>
      </w:tr>
      <w:tr>
        <w:trPr>
          <w:cantSplit/>
        </w:trPr>
        <w:tc>
          <w:tcPr>
            <w:tcW w:w="18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499e</w:t>
            </w:r>
          </w:p>
        </w:tc>
        <w:tc>
          <w:tcPr>
            <w:tcW w:w="91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Таможенные пошлины; налоги, взимаемые таможенными органами</w:t>
            </w:r>
          </w:p>
        </w:tc>
      </w:tr>
    </w:tbl>
    <w:p>
      <w:pPr>
        <w:pStyle w:val="SnoskaLineTab"/>
        <w:keepLines w:val="false"/>
        <w:pBdr>
          <w:top w:val="single" w:sz="6" w:space="1" w:color="000000"/>
        </w:pBdr>
        <w:spacing w:before="120" w:after="0"/>
        <w:rPr/>
      </w:pPr>
      <w:r>
        <w:rPr>
          <w:vertAlign w:val="superscript"/>
        </w:rPr>
        <w:t>1</w:t>
      </w:r>
      <w:r>
        <w:rPr/>
        <w:t> В Отчете указывается только один из указанных кодов (любой).</w:t>
      </w:r>
    </w:p>
    <w:p>
      <w:pPr>
        <w:pStyle w:val="MGlavaCenter"/>
        <w:rPr>
          <w:b w:val="false"/>
        </w:rPr>
      </w:pPr>
      <w:r>
        <w:rPr>
          <w:b w:val="false"/>
        </w:rPr>
        <w:t>Раздел V. Пояснения к Перечню видов работ, услуг, передачи информации, результатов интеллектуальной деятельности и операций неторгового характера</w:t>
      </w:r>
    </w:p>
    <w:p>
      <w:pPr>
        <w:pStyle w:val="MainText"/>
        <w:rPr/>
      </w:pPr>
      <w:r>
        <w:rPr/>
        <w:t>V.1. В строительные работы (коды 51, 51а) включаются работы по сооружению строительных объектов, включая работы, предшествующие строительству (исследование и подготовка строительного участка и так далее), работы по возведению зданий и сооружению объектов гражданского строительства, специальные строительные работы (закладка фундамента, кровельные, бетонные работы и другое), монтаж оборудования, строительные и отделочные работы завершающего цикла, работы по прокладке различных коммуникаций, включая линии связи, а также работы по ремонту зданий, помещений и сооружений (железнодорожных путей, автомагистралей, конструкций и сооружений в морских портах, аэропортах и другое).</w:t>
      </w:r>
    </w:p>
    <w:p>
      <w:pPr>
        <w:pStyle w:val="MainText"/>
        <w:rPr/>
      </w:pPr>
      <w:r>
        <w:rPr/>
        <w:t>По коду 51 отражаются строительные работы, осуществляемые за рубежом, по коду 51а — строительные работы, проводимые на территории Российской Федерации.</w:t>
      </w:r>
    </w:p>
    <w:p>
      <w:pPr>
        <w:pStyle w:val="MainText"/>
        <w:rPr/>
      </w:pPr>
      <w:r>
        <w:rPr/>
        <w:t>V.2. В услуги гостиниц и ресторанов (код 64) включаются услуги, связанные с организацией проживания, питания.</w:t>
      </w:r>
    </w:p>
    <w:p>
      <w:pPr>
        <w:pStyle w:val="MainText"/>
        <w:rPr/>
      </w:pPr>
      <w:r>
        <w:rPr/>
        <w:t>V.3. В грузовые перевозки железнодорожным (код 7112), автомобильным (код 7123), трубопроводным (код 713), водным (коды 7212, 7222) и воздушным (код 732) транспортом, в транспортировку в космическом пространстве (код 733) включаются услуги по перевозке всех видов грузов. К данному виду услуг относится также аренда транспортных средств вместе с экипажем, если осуществляется перевозка грузов.</w:t>
      </w:r>
    </w:p>
    <w:p>
      <w:pPr>
        <w:pStyle w:val="MainText"/>
        <w:rPr/>
      </w:pPr>
      <w:r>
        <w:rPr/>
        <w:t>V.4. К пассажирским перевозкам железнодорожным (код 71111), автомобильным (коды 7121, 7122), водным (коды 7211, 7221) и воздушным (код 731) транспортом относятся услуги по перевозке пассажиров как на регулярной, так и на нерегулярной основе. К данному виду услуг относится также аренда транспортных средств вместе с экипажем, если осуществляется перевозка пассажиров.</w:t>
      </w:r>
    </w:p>
    <w:p>
      <w:pPr>
        <w:pStyle w:val="MainText"/>
        <w:rPr/>
      </w:pPr>
      <w:r>
        <w:rPr/>
        <w:t>Исключением являются платежи за провозные документы (пассажирские билеты) в рамках организованных речных и морских круизов, а также автобусных туров, которые должны отражаться как услуги туристических агентств и туристических операторов (код 747).</w:t>
      </w:r>
    </w:p>
    <w:p>
      <w:pPr>
        <w:pStyle w:val="MainText"/>
        <w:rPr/>
      </w:pPr>
      <w:r>
        <w:rPr/>
        <w:t>V.5. В прочие транспортные перевозки (код 700а) включаются транспортные перевозки в случаях, когда вид транспорта, которым осуществляются перевозки, или вид перевозки (грузовая или пассажирская) неизвестны.</w:t>
      </w:r>
    </w:p>
    <w:p>
      <w:pPr>
        <w:pStyle w:val="MainText"/>
        <w:rPr/>
      </w:pPr>
      <w:r>
        <w:rPr/>
        <w:t>V.6. К вспомогательным и дополнительным услугам железнодорожного (код 743), автомобильного (код 744), трубопроводного (код 749), водного (код 745), воздушного (код 746) транспорта относятся работы (услуги), предоставляемые в портах, аэропортах, ангарах, на железнодорожных и автомобильных станциях, грузовых терминалах: погрузочно-разгрузочные работы, складирование, хранение и переупаковка грузов; лоцманские, навигационные сборы, швартовка, буксировка, наземные услуги на аэродромах, сборы за парковку автомобильного транспорта; услуги по управлению воздушным движением (диспетчерские услуги, услуги радарных станций); эксплуатация взлетно-посадочных полос, автомагистралей, железных дорог, мостов и тоннелей; текущий ремонт и обслуживание транспортных средств; платежи за регистрацию и техосмотр транспортных средств; спасательные операции; платежи за право прохода транспорта по территории государства, в его территориальных водах и воздушном пространстве; платежи в пользу перевозчика за простой судна в порту, а также вознаграждение фрахтователю за досрочное окончание погрузки груза; комиссионные вознаграждения транспортным агентствам (экспедиторам), связанные с грузовыми и пассажирскими перевозками; прочие сопутствующие операции. В Отчете не отражаются платежи за горючее (бункерное топливо), продовольствие и другие материально-технические запасы для организации транспортных работ.</w:t>
      </w:r>
    </w:p>
    <w:p>
      <w:pPr>
        <w:pStyle w:val="MainText"/>
        <w:rPr/>
      </w:pPr>
      <w:r>
        <w:rPr/>
        <w:t>V.7. Во вспомогательные и дополнительные услуги прочих видов транспорта (код 700b) включаются вспомогательные и дополнительные транспортные услуги только в том случае, когда неизвестен вид транспорта.</w:t>
      </w:r>
    </w:p>
    <w:p>
      <w:pPr>
        <w:pStyle w:val="MainText"/>
        <w:rPr/>
      </w:pPr>
      <w:r>
        <w:rPr/>
        <w:t>V.8. В услуги туристических агентств и туристических операторов (код 747) включаются услуги по организации туристического обслуживания, включая комиссионные вознаграждения туристических агентств и операторов. К данному виду услуг не относятся операции, связанные с перечислением средств за провозные документы (пассажирские билеты), которые отражаются как пассажирские перевозки.</w:t>
      </w:r>
    </w:p>
    <w:p>
      <w:pPr>
        <w:pStyle w:val="MainText"/>
        <w:rPr/>
      </w:pPr>
      <w:r>
        <w:rPr/>
        <w:t>Вместе с тем услуги по организации речных и морских круизов, а также автобусных туров учитываются по коду 747 в полном объеме, включая стоимость провозных документов.</w:t>
      </w:r>
    </w:p>
    <w:p>
      <w:pPr>
        <w:pStyle w:val="MainText"/>
        <w:rPr/>
      </w:pPr>
      <w:r>
        <w:rPr/>
        <w:t>V.9. В телекоммуникационные услуги (коды 752, 753, 754) включается передача звуковой информации, изображений и других информационных потоков через системы кабельной, радиотрансляционной, релейной или спутниковой связи, включая телефонную, телеграфную связь и телекс; услуги по аренде и техническому обслуживанию сетей передачи звука, изображения и данных. К данному виду услуг относятся услуги организаций, предоставляющих доступ в сеть Интернет.</w:t>
      </w:r>
    </w:p>
    <w:p>
      <w:pPr>
        <w:pStyle w:val="MainText"/>
        <w:rPr/>
      </w:pPr>
      <w:r>
        <w:rPr/>
        <w:t>V.10. В почтовые и курьерские услуги (код 751) включается почтовое обслуживание (сбор и доставка писем, газет, периодических изданий и так далее), а также услуги службы курьерской связи.</w:t>
      </w:r>
    </w:p>
    <w:p>
      <w:pPr>
        <w:pStyle w:val="MainText"/>
        <w:rPr/>
      </w:pPr>
      <w:r>
        <w:rPr/>
        <w:t>V.11. В финансовые услуги (за исключением страхования) (код 811) включаются услуги по финансовому посредничеству и связанные с ним вспомогательные услуги (за исключением страхования). К ним относятся начисленные комиссии за: открытие аккредитивов; обмен наличной валюты, конверсионные безналичные операции (если комиссия взимается по тарифу); снятие наличных денежных средств; исполнение платежных поручений; инкассо и приобретение (продажу) чеков; открытие расчетных счетов и выдачу кредитных карт; за управление активами, их учет и хранение ценностей, ценных бумаг; использование программ выпуска депозитарных расписок; брокерские комиссии; прочие услуги по преобразованию финансовых активов и обязательств клиентов, а также консультации по всем видам финансового посредничества.</w:t>
      </w:r>
    </w:p>
    <w:p>
      <w:pPr>
        <w:pStyle w:val="MainText"/>
        <w:rPr/>
      </w:pPr>
      <w:r>
        <w:rPr/>
        <w:t>Кроме того, к финансовым услугам относятся аренда банковских ячеек, а также услуги, представляемые системой S.W.I.F.T.</w:t>
      </w:r>
    </w:p>
    <w:p>
      <w:pPr>
        <w:pStyle w:val="MainText"/>
        <w:rPr/>
      </w:pPr>
      <w:r>
        <w:rPr/>
        <w:t>В Отчете не отражаются комиссии, взимаемые уполномоченными банками при осуществлении денежных переводов физических лиц по системам денежных переводов.</w:t>
      </w:r>
    </w:p>
    <w:p>
      <w:pPr>
        <w:pStyle w:val="MainText"/>
        <w:rPr/>
      </w:pPr>
      <w:r>
        <w:rPr/>
        <w:t>V.12. В финансовую аренду (лизинг) (код 8112) включаются расчеты между арендодателем (лизингодателем) и арендатором (лизингополучателем), включающие периодические платежи, подлежащие выплате в соответствии с условиями договора лизинга, которому соответствует полная амортизация оборудования или ее существенной части.</w:t>
      </w:r>
    </w:p>
    <w:p>
      <w:pPr>
        <w:pStyle w:val="MainText"/>
        <w:rPr/>
      </w:pPr>
      <w:r>
        <w:rPr/>
        <w:t>Включение в Отчет финансовой аренды (лизинга), которая не представляет собой услугу, работу, результат интеллектуальной деятельности или операцию неторгового характера, является исключением.</w:t>
      </w:r>
    </w:p>
    <w:p>
      <w:pPr>
        <w:pStyle w:val="MainText"/>
        <w:rPr/>
      </w:pPr>
      <w:r>
        <w:rPr/>
        <w:t>V.13. В страховые взносы (премии) по договорам страхования жизни (прямое страхование) и по индивидуальному пенсионному страхованию (код 81211a), по договорам страхования внешнеторговых грузов (прямое страхование) (код 81294a), по другим видам прямого страхования (код 8129a), по договорам перестрахования (код 812a) включаются поступления (платежи) денежных средств в виде страховых взносов (премий) по договорам индивидуального пенсионного страхования, уплачиваемые в негосударственные пенсионные фонды, по договорам страхования жизни, внешнеторговых грузов, по другим видам страхования, а также перестрахования.</w:t>
      </w:r>
    </w:p>
    <w:p>
      <w:pPr>
        <w:pStyle w:val="MainText"/>
        <w:rPr/>
      </w:pPr>
      <w:r>
        <w:rPr/>
        <w:t>V.14. В страховые выплаты по договорам страхования жизни (прямое страхование) и по индивидуальному пенсионному страхованию (код 81211b), по договорам страхования внешнеторговых грузов (прямое страхование) (код 81294b), по другим видам прямого страхования (код 8129b), по договорам перестрахования (код 812b) включаются поступления (платежи) денежных средств в результате наступления страхового случая, включая суммы, полученные (выплаченные) при досрочном расторжении договоров. Пенсионные пособия, выплачиваемые негосударственными пенсионными фондами, отражаются с кодом 81211b.</w:t>
      </w:r>
    </w:p>
    <w:p>
      <w:pPr>
        <w:pStyle w:val="MainText"/>
        <w:rPr/>
      </w:pPr>
      <w:r>
        <w:rPr/>
        <w:t>V.15. В прочие страховые платежи и поступления (код 812c) включаются сальдовые платежи (поступления) (нетто) по результатам взаимозачета между страховыми организациями, страховщиками и страхователями, а также комиссионное вознаграждение и тантьемы по договорам перестрахования.</w:t>
      </w:r>
    </w:p>
    <w:p>
      <w:pPr>
        <w:pStyle w:val="MainText"/>
        <w:rPr/>
      </w:pPr>
      <w:r>
        <w:rPr/>
        <w:t>V.16. К услугам, вспомогательным по отношению к страхованию (код 814), относятся посреднические услуги страховых агентов и брокеров, оказываемые страховым компаниям и другим клиентам, услуги по расчету страховых рисков и страховых взносов, оценке убытков, консультационные услуги по вопросам страхования.</w:t>
      </w:r>
    </w:p>
    <w:p>
      <w:pPr>
        <w:pStyle w:val="MainText"/>
        <w:rPr/>
      </w:pPr>
      <w:r>
        <w:rPr/>
        <w:t>V.17. В аренду зданий и сооружений, включая аренду жилищного фонда (код 82), включаются расчеты по договорам аренды зданий и сооружений, включая аренду жилищного фонда, условиями которых не предусмотрен переход к арендатору права собственности на предмет аренды.</w:t>
      </w:r>
    </w:p>
    <w:p>
      <w:pPr>
        <w:pStyle w:val="MainText"/>
        <w:rPr/>
      </w:pPr>
      <w:r>
        <w:rPr/>
        <w:t>Платежи за аренду земли по данному коду не отражаются.</w:t>
      </w:r>
    </w:p>
    <w:p>
      <w:pPr>
        <w:pStyle w:val="MainText"/>
        <w:rPr/>
      </w:pPr>
      <w:r>
        <w:rPr/>
        <w:t>V.18. По коду 83 “Аренда машин и оборудования без оператора” отражаются расчеты по договорам аренды транспортных средств без экипажа, включая морские и воздушные суда, а также движимого имущества, условиями которых не предусмотрен переход к арендатору права собственности на предмет аренды. При этом по истечении срока аренды предмет аренды возвращается арендодателю.</w:t>
      </w:r>
    </w:p>
    <w:p>
      <w:pPr>
        <w:pStyle w:val="MainText"/>
        <w:rPr/>
      </w:pPr>
      <w:r>
        <w:rPr/>
        <w:t>В случае аренды транспортных средств вместе с экипажем перевозки учитываются либо как грузовые (коды 7112, 7123, 7212, 7222, 732), либо как пассажирские (коды 71111, 7121, 7122, 7211, 7221, 731), в зависимости от совершаемых операций.</w:t>
      </w:r>
    </w:p>
    <w:p>
      <w:pPr>
        <w:pStyle w:val="MainText"/>
        <w:rPr/>
      </w:pPr>
      <w:r>
        <w:rPr/>
        <w:t>V.19. В компьютерные услуги (код 84) включаются работы, связанные с созданием и внедрением программного обеспечения, обработкой данных, созданием, хранением баз данных и работой с ними, предоставлением консультационных услуг по установке, ремонту и обслуживанию вычислительной техники.</w:t>
      </w:r>
    </w:p>
    <w:p>
      <w:pPr>
        <w:pStyle w:val="MainText"/>
        <w:rPr/>
      </w:pPr>
      <w:r>
        <w:rPr/>
        <w:t>V.20. В услуги в области исследований и разработок (код 85) включаются услуги по фундаментальным, прикладным исследованиям и экспериментальным разработкам в различных областях наук — естественных и технических, общественных и гуманитарных.</w:t>
      </w:r>
    </w:p>
    <w:p>
      <w:pPr>
        <w:pStyle w:val="MainText"/>
        <w:rPr/>
      </w:pPr>
      <w:r>
        <w:rPr/>
        <w:t>V.21. К юридическим (правовым) услугам (код 861) относятся консультирование и представительство в гражданских, уголовных и прочих делах; предоставление консультаций в связи с трудовыми спорами; консультации и советы общего характера, подготовка юридических документов, соглашений о партнерстве и аналогичных документов, связанных с созданием юридического лица; услуги по составлению документов, завещаний, доверенностей и тому подобное; услуги государственных и частных нотариусов, третейских судей, а также патентных поверенных.</w:t>
      </w:r>
    </w:p>
    <w:p>
      <w:pPr>
        <w:pStyle w:val="MainText"/>
        <w:rPr/>
      </w:pPr>
      <w:r>
        <w:rPr/>
        <w:t>V.22. В услуги по составлению счетов, бухгалтерскому учету, аудиту, консультационные услуги по налогообложению (коды 862, 863) включаются услуги по проверке отчетной документации, по составлению финансовых отчетов, налоговых деклараций, таможенных документов и так далее. К данному виду услуг относятся также услуги оценщиков.</w:t>
      </w:r>
    </w:p>
    <w:p>
      <w:pPr>
        <w:pStyle w:val="MainText"/>
        <w:rPr/>
      </w:pPr>
      <w:r>
        <w:rPr/>
        <w:t>V.23. В маркетинг, изучение общественного мнения (код 864) включаются услуги по исследованию конъюнктуры рынка, изучению общественного мнения по социальным, экономическим, политическим и другим вопросам.</w:t>
      </w:r>
    </w:p>
    <w:p>
      <w:pPr>
        <w:pStyle w:val="MainText"/>
        <w:rPr/>
      </w:pPr>
      <w:r>
        <w:rPr/>
        <w:t>V.24. В консультационные услуги (коды 865, 866) включаются услуги по оказанию консультационной, управленческой и оперативной помощи, касающейся политики и стратегии предпринимательства, решений финансового характера и так далее. К данному виду услуг относятся также услуги по организации и проведению семинаров, курсов повышения квалификации, а также платежи за участие в них; экспертиза проектов, в том числе представленных на условиях тендера.</w:t>
      </w:r>
    </w:p>
    <w:p>
      <w:pPr>
        <w:pStyle w:val="MainText"/>
        <w:rPr/>
      </w:pPr>
      <w:r>
        <w:rPr/>
        <w:t>V.25. К услугам в области архитектуры, инженерным услугам, услугам в технических областях (код 867) относятся услуги в области архитектуры (консультационные, проектные работы, контроль над строительными работами и так далее), инженерные услуги в области проектно-конструкторских работ, комплексные инженерные услуги, консультационные услуги в научных и технических областях, смежных с инженерной областью (геологии, геофизики, геохимии), услуги по геодезии и картографии, а также в области стандартизации и метрологии; технические испытания, исследования и сертификация продукции.</w:t>
      </w:r>
    </w:p>
    <w:p>
      <w:pPr>
        <w:pStyle w:val="MainText"/>
        <w:rPr/>
      </w:pPr>
      <w:r>
        <w:rPr/>
        <w:t>V.26. В рекламные услуги (код 871) включаются услуги по созданию и размещению рекламы в средствах массовой информации, включая покупку времени и места; услуги по созданию и размещению наружной (уличной) рекламы (рекламные щиты, афишные тумбы, доски объявлений, электронные табло, бегущие строки, оформление витрин, реклама на транспорте и так далее); аренда места для рекламы. К данному виду услуг относится также спонсорство, любой вклад рекламодателя с целью рекламы своей фирмы, товаров, работ, услуг.</w:t>
      </w:r>
    </w:p>
    <w:p>
      <w:pPr>
        <w:pStyle w:val="MainText"/>
        <w:rPr/>
      </w:pPr>
      <w:r>
        <w:rPr/>
        <w:t>V.27. В услуги по организации промышленных ярмарок, выставок, конференций и симпозиумов (код 879) включается комплекс работ, связанных с организацией и проведением промышленных ярмарок, выставок, конференций и симпозиумов, а также платежи за участие в них. По данной позиции не отражаются услуги по организации и проведению книжных и художественных выставок, ярмарок, относящиеся к кодам 963, 964.</w:t>
      </w:r>
    </w:p>
    <w:p>
      <w:pPr>
        <w:pStyle w:val="MainText"/>
        <w:rPr/>
      </w:pPr>
      <w:r>
        <w:rPr/>
        <w:t>V.28. В услуги посреднические в области торговли (код 87909) включаются комиссионные, полученные (выплаченные) оптовиками, брокерами, дилерами и торговыми агентами от внешнеторговых сделок с услугами. Исключаются комиссионные вознаграждения транспортным агентствам (экспедиторам), которые отражаются как вспомогательные и дополнительные транспортные услуги с кодами 743, 744, 745, 746, 749; комиссионные вознаграждения туристических агентств и операторов, которые отражаются как услуги туристических агентств и туристических операторов с кодом 747; комиссионные вознаграждения, относимые на финансовые услуги (код 811).</w:t>
      </w:r>
    </w:p>
    <w:p>
      <w:pPr>
        <w:pStyle w:val="MainText"/>
        <w:rPr/>
      </w:pPr>
      <w:r>
        <w:rPr/>
        <w:t>По данной позиции отражаются также комиссионные, полученные резидентами, являющимися оптовиками, брокерами, дилерами и торговыми агентами по сделкам с товарами, условиями которых не предусмотрен ввоз товаров на таможенную территорию Российской Федерации (вывоз товаров с таможенной территории Российской Федерации).</w:t>
      </w:r>
    </w:p>
    <w:p>
      <w:pPr>
        <w:pStyle w:val="MainText"/>
        <w:rPr/>
      </w:pPr>
      <w:r>
        <w:rPr/>
        <w:t>Комиссионные, полученные (выплаченные) оптовиками, брокерами, дилерами и торговыми агентами по сделкам с товарами, относящимися к российскому экспорту (импорту), в Отчете не отражаются.</w:t>
      </w:r>
    </w:p>
    <w:p>
      <w:pPr>
        <w:pStyle w:val="MainText"/>
        <w:rPr/>
      </w:pPr>
      <w:r>
        <w:rPr/>
        <w:t>V.29. В прочие виды услуг, относящиеся к сельскому хозяйству, рыболовству, горнодобывающей промышленности (коды 881, 882, 883), включаются услуги по сбору урожая, услуги по обеспечению коммерческой охоты и ловли зверей, в области рыболовства, услуги по оценке лесных массивов, борьбе с пожарами и так далее. Услуги, оказываемые на нефтяных и газовых месторождениях: услуги по бурению, ремонту буровых вышек и так далее.</w:t>
      </w:r>
    </w:p>
    <w:p>
      <w:pPr>
        <w:pStyle w:val="MainText"/>
        <w:rPr/>
      </w:pPr>
      <w:r>
        <w:rPr/>
        <w:t>V.30. В переработку товаров, сырья в соответствии с таможенными режимами переработки (код 884) включается переработка на территории Российской Федерации сырья, ввезенного под таможенными режимами переработки, а также переработка сырья, вывезенного за рубеж в соответствии с таможенными режимами переработки. При этом указанные операции сопровождаются последующим экспортом (импортом) продуктов переработки.</w:t>
      </w:r>
    </w:p>
    <w:p>
      <w:pPr>
        <w:pStyle w:val="MainText"/>
        <w:rPr/>
      </w:pPr>
      <w:r>
        <w:rPr/>
        <w:t>V.31. К прочей переработке товаров, сырья, отходов и очистке окружающей среды (код 884а) относятся переработка сырья на территории Российской Федерации, оплаченная нерезидентами, а также переработка сырья за рубежом, оплаченная резидентами (сырье может быть как экспортировано (импортировано), так и приобретено на местах). При этом продукт переработки не вывозится из страны переработки.</w:t>
      </w:r>
    </w:p>
    <w:p>
      <w:pPr>
        <w:pStyle w:val="MainText"/>
        <w:rPr/>
      </w:pPr>
      <w:r>
        <w:rPr/>
        <w:t>К данной категории услуг относятся также обработка радиоактивных и других отходов, очистка от загрязнений, включая разливы нефти, услуги по обеззараживанию и санитарной обработке, услуги, связанные с очищением или восстановлением окружающей среды.</w:t>
      </w:r>
    </w:p>
    <w:p>
      <w:pPr>
        <w:pStyle w:val="MainText"/>
        <w:rPr/>
      </w:pPr>
      <w:r>
        <w:rPr/>
        <w:t>V.32. В полиграфические работы и издательские услуги (код 88442) включаются комплексные работы по производству печатной продукции (включая изготовление печатной формы, собственно печатание и отделку печатной продукции); услуги по изданию книг, брошюр, визитных карточек, буклетов и так далее, издание периодических публикаций, тиражирование аудио- и видеоматериалов на различных носителях и прочие виды издательской деятельности (художественное оформление и издание бланков документов, учетной и отчетной документации, проездных билетов и тому подобное), при условии что указанная продукция не относится к российскому экспорту или импорту товаров.</w:t>
      </w:r>
    </w:p>
    <w:p>
      <w:pPr>
        <w:pStyle w:val="MainText"/>
        <w:rPr/>
      </w:pPr>
      <w:r>
        <w:rPr/>
        <w:t>V.33. В услуги по монтажу машин и оборудования, не связанные со строительными работами (код 885), включаются работы по монтажу (демонтажу) оборудования, не отраженные по кодам 51 и 51а. В Отчет не включаются услуги по монтажу оборудования, если их стоимость входит в общую стоимость экспортируемого (импортируемого) оборудования.</w:t>
      </w:r>
    </w:p>
    <w:p>
      <w:pPr>
        <w:pStyle w:val="MainText"/>
        <w:rPr/>
      </w:pPr>
      <w:r>
        <w:rPr/>
        <w:t>V.34. В ремонт товаров (коды 886 и 886а) включается ремонт оборудования, включая капитальный ремонт транспортных средств.</w:t>
      </w:r>
    </w:p>
    <w:p>
      <w:pPr>
        <w:pStyle w:val="MainText"/>
        <w:rPr/>
      </w:pPr>
      <w:r>
        <w:rPr/>
        <w:t>По коду 886 отражается ремонт товаров, ввозимых (вывозимых) через таможенную границу Российской Федерации с их последующим реэкспортом (реимпортом).</w:t>
      </w:r>
    </w:p>
    <w:p>
      <w:pPr>
        <w:pStyle w:val="MainText"/>
        <w:rPr/>
      </w:pPr>
      <w:r>
        <w:rPr/>
        <w:t>В прочий ремонт товаров (код 886а) включается ремонт товаров, не связанный с их перемещением через таможенную границу Российской Федерации.</w:t>
      </w:r>
    </w:p>
    <w:p>
      <w:pPr>
        <w:pStyle w:val="MainText"/>
        <w:rPr/>
      </w:pPr>
      <w:r>
        <w:rPr/>
        <w:t>V.35. В активы нефинансовые нематериальные (код 892) включаются права пользования земельными участками, природными ресурсами, лицензионные платежи, патенты, “ноу-хау”, торговые марки, товарные знаки, авторские права и вознаграждения за использование произведений другими лицами, контракты со спортсменами и спортклубами, организационные расходы, включая расходы по регистрации юридического лица, брокерское место и так далее.</w:t>
      </w:r>
    </w:p>
    <w:p>
      <w:pPr>
        <w:pStyle w:val="MainText"/>
        <w:rPr/>
      </w:pPr>
      <w:r>
        <w:rPr/>
        <w:t>V.36. К государственным услугам (код 91) относятся услуги, связанные с содержанием и функционированием посольств, консульств, военных и иных представительств, военных баз, космических полигонов, международных организаций; другие услуги, оказанные органами государственной власти, как российскими, так и иностранными.</w:t>
      </w:r>
    </w:p>
    <w:p>
      <w:pPr>
        <w:pStyle w:val="MainText"/>
        <w:rPr/>
      </w:pPr>
      <w:r>
        <w:rPr/>
        <w:t>По данному коду отражаются следующие операции: перечисления денежных средств на содержание российских посольств, консульств, военных и иных представительств, военных баз, космических полигонов и так далее, расположенных на территории иностранных государств; платежи расположенных на территории Российской Федерации международных организаций, посольств, консульств, военных и иных представительств иностранных государств за товары и услуги, необходимые для их функционирования; платежи (поступления) денежных средств, связанные с обеспечением многостороннего урегулирования военных конфликтов и с обеспечением сил по поддержанию мира. Кроме того, к данной группе услуг относятся: платежи за регистрацию граждан, выдачу паспортов, оплата консульских и таможенных сборов и тому подобное; платежи за использование государственной символики и так далее.</w:t>
      </w:r>
    </w:p>
    <w:p>
      <w:pPr>
        <w:pStyle w:val="MainText"/>
        <w:rPr/>
      </w:pPr>
      <w:r>
        <w:rPr/>
        <w:t>Потребляемые (приобретаемые), а также оказываемые международными организациями, расположенными за пределами Российской Федерации, услуги, перечисленные в Перечне видов работ, услуг, передачи информации, результатов интеллектуальной деятельности и операций неторгового характера (строительные, юридические, консультационные и так далее), отражаются в Отчете по коду 91. Расчеты с Международной ассоциацией воздушного транспорта (IATA) при использовании ее в качестве расчетно-клирингового центра при расчетах за международные пассажирские перевозки и вспомогательные и дополнительные услуги воздушного транспорта следует отражать с кодом услуги 731 и 746 соответственно.</w:t>
      </w:r>
    </w:p>
    <w:p>
      <w:pPr>
        <w:pStyle w:val="MainText"/>
        <w:rPr/>
      </w:pPr>
      <w:r>
        <w:rPr/>
        <w:t>Операции неторгового характера международных организаций, посольств, консульств, военных и иных представительств государств отражаются в Отчете по соответствующему им коду (499a, 499b, 499c, 499d, 499e).</w:t>
      </w:r>
    </w:p>
    <w:p>
      <w:pPr>
        <w:pStyle w:val="MainText"/>
        <w:rPr/>
      </w:pPr>
      <w:r>
        <w:rPr/>
        <w:t>Потребляемые (приобретаемые) органами государственной власти (резидентами или нерезидентами) услуги, перечисленные в Перечне видов работ, услуг, передачи информации, результатов интеллектуальной деятельности и операций неторгового характера (строительные, юридические, реклама и так далее), должны быть отражены в Отчете по соответствующему им коду (51, 861, 871 и так далее).</w:t>
      </w:r>
    </w:p>
    <w:p>
      <w:pPr>
        <w:pStyle w:val="MainText"/>
        <w:rPr/>
      </w:pPr>
      <w:r>
        <w:rPr/>
        <w:t>Членские взносы в международные организации отражаются по коду 499a.</w:t>
      </w:r>
    </w:p>
    <w:p>
      <w:pPr>
        <w:pStyle w:val="MainText"/>
        <w:rPr/>
      </w:pPr>
      <w:r>
        <w:rPr/>
        <w:t>V.37. В жилищно-эксплуатационные и коммунальные услуги (код 91123) включаются услуги по содержанию жилого и нежилого фонда, включая услуги по электроснабжению, водо- и газоснабжению, теплоснабжению и прочие жилищно-коммунальные услуги.</w:t>
      </w:r>
    </w:p>
    <w:p>
      <w:pPr>
        <w:pStyle w:val="MainText"/>
        <w:rPr/>
      </w:pPr>
      <w:r>
        <w:rPr/>
        <w:t>V.38. В услуги в сфере образования и медицинского обслуживания (коды 92, 93) включаются услуги, оказываемые российскими преподавателями и медицинскими работниками за рубежом или иностранными преподавателями и медицинскими работниками в Российской Федерации, включая оплату услуг, предоставляемых заочно.</w:t>
      </w:r>
    </w:p>
    <w:p>
      <w:pPr>
        <w:pStyle w:val="MainText"/>
        <w:rPr/>
      </w:pPr>
      <w:r>
        <w:rPr/>
        <w:t>V.39. В услуги, связанные с получением образования (код 92a), включается обучение российских школьников, студентов, аспирантов за рубежом, а также обучение иностранных школьников, студентов, аспирантов в Российской Федерации, исключая услуги, относящиеся к кодам 92, 93.</w:t>
      </w:r>
    </w:p>
    <w:p>
      <w:pPr>
        <w:pStyle w:val="MainText"/>
        <w:rPr/>
      </w:pPr>
      <w:r>
        <w:rPr/>
        <w:t>V.40. В медицинские услуги, включая санаторно-курортное лечение (код 93а), включаются услуги, предоставленные иностранным гражданам российскими медицинскими учреждениями, в том числе санаториями, профилакториями и тому подобное, а также услуги, предоставленные гражданам Российской Федерации иностранными медицинскими учреждениями, в том числе санаториями, профилакториями и тому подобное, исключая услуги, относящиеся к кодам 92, 93.</w:t>
      </w:r>
    </w:p>
    <w:p>
      <w:pPr>
        <w:pStyle w:val="MainText"/>
        <w:rPr/>
      </w:pPr>
      <w:r>
        <w:rPr/>
        <w:t>V.41. К аудиовизуальным и связанным с ними услугам (код 961) относятся создание художественных фильмов, театральных постановок, музыкальных, цирковых, радио- и телевизионных программ, запись музыкальных произведений, а также право демонстрации этих постановок и программ на телевидении, радио. По этой позиции отражается также выплата вознаграждения актерам, режиссерам, постановщикам и тому подобное.</w:t>
      </w:r>
    </w:p>
    <w:p>
      <w:pPr>
        <w:pStyle w:val="MainText"/>
        <w:rPr/>
      </w:pPr>
      <w:r>
        <w:rPr/>
        <w:t>V.42. В услуги информационных агентств и прочие услуги по предоставлению информации (код 962) включаются снабжение средств массовой информации сводками новостей, фотографическим материалом и тематическими статьями; передача данных и информационное обеспечение пользователей на основе баз данных и информационных вычислительных сетей (ИВС), включая специализированные информационные агентства и другие организации (например, Reuters, РИА “Новости”, ООО НПП Гарант-сервис, АО “КонсультантПлюс” и тому подобное), а также оплата коммерческих WEB-сайтов в сети Интернет. К данному виду услуг относится индивидуальная подписка на книги и периодические издания.</w:t>
      </w:r>
    </w:p>
    <w:p>
      <w:pPr>
        <w:pStyle w:val="MainText"/>
        <w:rPr/>
      </w:pPr>
      <w:r>
        <w:rPr/>
        <w:t>V.43. В услуги в сфере культуры и отдыха, услуги по организации спортивных мероприятий (коды 963, 964) включаются услуги библиотек, архивов, музеев и других культурно-просветительских учреждений, услуги по организации и проведению книжных и художественных выставок, ярмарок, а также платежи за участие в них; услуги по организации любых видов спортивных мероприятий, включая эксплуатационные услуги помещений, услуги спортивных судей, выплаты вознаграждения спортсменам, тренерам за участие в спортивных соревнованиях и тому подобное.</w:t>
      </w:r>
    </w:p>
    <w:p>
      <w:pPr>
        <w:pStyle w:val="MainText"/>
        <w:rPr/>
      </w:pPr>
      <w:r>
        <w:rPr/>
        <w:t>V.44. Прочие услуги, не отнесенные к другим категориям (код 97), включают все остальные работы (услуги), которые не вошли ни в одну из вышеперечисленных групп (например, услуги по подбору персонала, найму рабочей силы, трудоустройству; услуги частных сыскных и охранных агентств; чистка и уборка помещений; услуги по упаковке; устный и письменный перевод; услуги по дизайну интерьеров и прочие услуги по специализированному дизайну; секретарские, редакторские услуги; услуги фотоателье и другое).</w:t>
      </w:r>
    </w:p>
    <w:p>
      <w:pPr>
        <w:pStyle w:val="MainText"/>
        <w:rPr/>
      </w:pPr>
      <w:r>
        <w:rPr/>
        <w:t>К данному виду услуг не относятся операции, связанные с услугами по инспектированию внешнеторговых грузов, отражаемые по кодам 743—746, 749 и 700b; риелторскими услугами, услугами декларирования и таможенного оформления (отражаемые по кодам 862, 863); организационным сопровождением проектов, содействием участию в тендерах, услугами по присвоению рейтинга (относящиеся к кодам 865, 866); выполнением функций технического заказчика (относящиеся к коду 867); оплатой трансфертных контрактов спортсменов (отражаемые по коду 892).</w:t>
      </w:r>
    </w:p>
    <w:p>
      <w:pPr>
        <w:pStyle w:val="MainText"/>
        <w:rPr/>
      </w:pPr>
      <w:r>
        <w:rPr/>
        <w:t>V.45. К членским взносам в международные и другие организации (код 499a) относятся ежегодные и другие регулярные и единовременные взносы в фонды международных организаций, объединений, ассоциаций, в том числе выплачиваемые государственными органами.</w:t>
      </w:r>
    </w:p>
    <w:p>
      <w:pPr>
        <w:pStyle w:val="MainText"/>
        <w:rPr/>
      </w:pPr>
      <w:r>
        <w:rPr/>
        <w:t>V.46. К налогам, пошлинам (кроме таможенных пошлин, а также взимаемых таможенными органами налогов) (код 499b) относится оплата установленных законодательствами Российской Федерации и иностранных государств налогов и пошлин (исключая таможенные пошлины, а также взимаемые таможенными органами налоги).</w:t>
      </w:r>
    </w:p>
    <w:p>
      <w:pPr>
        <w:pStyle w:val="MainText"/>
        <w:rPr/>
      </w:pPr>
      <w:r>
        <w:rPr/>
        <w:t>Если в платежи за работы, услуги, результаты интеллектуальной деятельности включен налог на добавленную стоимость (НДС), в Отчете эти работы, услуги и результаты интеллектуальной деятельности отражаются по полной стоимости с учетом начисленного налога. НДС, включенный в стоимость товара и уплачиваемый отдельным платежом, в Отчете не отражается.</w:t>
      </w:r>
    </w:p>
    <w:p>
      <w:pPr>
        <w:pStyle w:val="MainText"/>
        <w:rPr/>
      </w:pPr>
      <w:r>
        <w:rPr/>
        <w:t>Оплата различных сборов, предусмотренных законодательствами иностранных государств, а также законодательством Российской Федерации, для целей Отчета рассматривается как оплата за соответствующий вид услуг. Например, различные виды сборов, взимаемые с судов в морских торговых портах, отражаются в Отчете как вспомогательные и дополнительные услуги водного транспорта (код 745); сборы за парковку автотранспорта — как вспомогательные и дополнительные услуги автотранспорта (код 744); таможенные сборы, сборы за регистрацию граждан, выдачу паспортов, использование государственной символики, консульские сборы и тому подобное — как государственные услуги (код 91) и так далее.</w:t>
      </w:r>
    </w:p>
    <w:p>
      <w:pPr>
        <w:pStyle w:val="MainText"/>
        <w:rPr/>
      </w:pPr>
      <w:r>
        <w:rPr/>
        <w:t>V.47. К грантам и прочим безвозмездным перечислениям (код 499c) относятся денежные средства, передаваемые безвозмездно и безвозвратно гражданами и юридическими лицами, в том числе нерезидентами (физическими и юридическими лицами), международными учреждениями, а также международными некоммерческими и благотворительными организациями (фондами); перечисления денежных средств, переходящих в порядке наследования и дарения, пожертвования и так далее. К данному виду операций относятся также пенсии; алименты, выплачиваемые без решения суда; стипендии.</w:t>
      </w:r>
    </w:p>
    <w:p>
      <w:pPr>
        <w:pStyle w:val="MainText"/>
        <w:rPr/>
      </w:pPr>
      <w:r>
        <w:rPr/>
        <w:t>V.48. Штрафы, премии; выплаты, связанные с возмещением ущерба; выплаты по решению судебных органов отражаются по коду 499d. К данной группе операций относятся штрафы за неисполненные обязательства, выплаты, связанные с возмещением ущерба, выплаты алиментов и так далее, включая выплаты по решению судебных органов.</w:t>
      </w:r>
    </w:p>
    <w:p>
      <w:pPr>
        <w:pStyle w:val="MainText"/>
        <w:rPr/>
      </w:pPr>
      <w:r>
        <w:rPr/>
        <w:t>По данному коду отражаются также штрафы за неисполненные обязательства, а также премии по товарным контрактам, по операциям с ценными бумагами, по договорам займа (кредитным договорам) и так далее.</w:t>
      </w:r>
    </w:p>
    <w:p>
      <w:pPr>
        <w:pStyle w:val="MainText"/>
        <w:rPr/>
      </w:pPr>
      <w:r>
        <w:rPr/>
        <w:t>Премии или неустойки, выплата которых предусмотрена условиями договора, отражаются с кодом соответствующего вида работы, услуги, передачи информации, результата интеллектуальной деятельности или операции неторгового характера. Иными словами, в полную стоимость работ, услуг, передачи информации, результатов интеллектуальной деятельности, операций неторгового характера включаются все обусловленные условиями договора выплаты, как увеличивающие, так и уменьшающие их первоначальную стоимость. Выплаты неустоек, отдельно осуществляемые исполнителем за ненадлежащее исполнение обязательств по договору, должны отражаться в соответствии с пунктом III.15 настоящего Порядка.</w:t>
      </w:r>
    </w:p>
    <w:p>
      <w:pPr>
        <w:pStyle w:val="MainText"/>
        <w:rPr/>
      </w:pPr>
      <w:r>
        <w:rPr/>
        <w:t>V.49. В таможенные пошлины, а также взимаемые таможенными органами налоги (код 499e) включаются таможенные пошлины и налоги, взимаемые таможенными органами в соответствии с законодательством Российской Федерации и иностранных государств.</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ОБ ИНВЕСТИЦИЯХ УПОЛНОМОЧЕННОГО БАНКА И ЕГО КЛИЕНТОВ-РЕЗИДЕНТОВ (КРОМЕ КРЕДИТНЫХ ОРГАНИЗАЦИЙ) </w:t>
        <w:br/>
        <w:t xml:space="preserve">В ЦЕННЫЕ БУМАГИ, ВЫПУЩЕННЫЕ НЕРЕЗИДЕНТАМИ, И В УСТАВНЫЙ КАПИТАЛ (ДОЛИ, ПАИ) НЕРЕЗИДЕНТОВ </w:t>
        <w:br/>
        <w:t xml:space="preserve">по состоянию на 1 января </w:t>
      </w:r>
      <w:r>
        <w:rPr/>
        <w:t>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0409404</w:t>
        <w:br/>
        <w:t>Годовая</w:t>
      </w:r>
    </w:p>
    <w:tbl>
      <w:tblPr>
        <w:tblW w:w="16259" w:type="dxa"/>
        <w:jc w:val="center"/>
        <w:tblInd w:w="0" w:type="dxa"/>
        <w:tblLayout w:type="fixed"/>
        <w:tblCellMar>
          <w:top w:w="0" w:type="dxa"/>
          <w:start w:w="28" w:type="dxa"/>
          <w:bottom w:w="0" w:type="dxa"/>
          <w:end w:w="28" w:type="dxa"/>
        </w:tblCellMar>
      </w:tblPr>
      <w:tblGrid>
        <w:gridCol w:w="532"/>
        <w:gridCol w:w="1564"/>
        <w:gridCol w:w="989"/>
        <w:gridCol w:w="711"/>
        <w:gridCol w:w="1135"/>
        <w:gridCol w:w="1133"/>
        <w:gridCol w:w="710"/>
        <w:gridCol w:w="709"/>
        <w:gridCol w:w="853"/>
        <w:gridCol w:w="706"/>
        <w:gridCol w:w="1031"/>
        <w:gridCol w:w="1031"/>
        <w:gridCol w:w="1031"/>
        <w:gridCol w:w="1031"/>
        <w:gridCol w:w="1261"/>
        <w:gridCol w:w="916"/>
        <w:gridCol w:w="916"/>
      </w:tblGrid>
      <w:tr>
        <w:trPr>
          <w:cantSplit/>
        </w:trPr>
        <w:tc>
          <w:tcPr>
            <w:tcW w:w="532"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1564"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Идентификационный код ценной бумаги</w:t>
            </w:r>
          </w:p>
        </w:tc>
        <w:tc>
          <w:tcPr>
            <w:tcW w:w="989"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кодировочной системы</w:t>
            </w:r>
          </w:p>
        </w:tc>
        <w:tc>
          <w:tcPr>
            <w:tcW w:w="71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типа ценной бумаги</w:t>
            </w:r>
          </w:p>
        </w:tc>
        <w:tc>
          <w:tcPr>
            <w:tcW w:w="1135"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Наименование эмитента</w:t>
            </w:r>
          </w:p>
        </w:tc>
        <w:tc>
          <w:tcPr>
            <w:tcW w:w="113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Наличие отношений прямого</w:t>
            </w:r>
          </w:p>
        </w:tc>
        <w:tc>
          <w:tcPr>
            <w:tcW w:w="71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клиента</w:t>
            </w:r>
          </w:p>
        </w:tc>
        <w:tc>
          <w:tcPr>
            <w:tcW w:w="709"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страны эмитента</w:t>
            </w:r>
          </w:p>
        </w:tc>
        <w:tc>
          <w:tcPr>
            <w:tcW w:w="85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Количество ценных бумаг, штук</w:t>
            </w:r>
          </w:p>
        </w:tc>
        <w:tc>
          <w:tcPr>
            <w:tcW w:w="70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валюты ценной</w:t>
            </w:r>
          </w:p>
        </w:tc>
        <w:tc>
          <w:tcPr>
            <w:tcW w:w="206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Цена одной ценной бумаги, в единицах валюты</w:t>
            </w:r>
          </w:p>
        </w:tc>
        <w:tc>
          <w:tcPr>
            <w:tcW w:w="206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Общая стоимость пакета ценных бумаг, в единицах валюты</w:t>
            </w:r>
          </w:p>
        </w:tc>
        <w:tc>
          <w:tcPr>
            <w:tcW w:w="126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использованного метода оценки</w:t>
            </w:r>
          </w:p>
        </w:tc>
        <w:tc>
          <w:tcPr>
            <w:tcW w:w="91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Код места хранения ценных</w:t>
            </w:r>
          </w:p>
        </w:tc>
        <w:tc>
          <w:tcPr>
            <w:tcW w:w="91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Особые пометки</w:t>
            </w:r>
          </w:p>
        </w:tc>
      </w:tr>
      <w:tr>
        <w:trPr>
          <w:cantSplit/>
        </w:trPr>
        <w:tc>
          <w:tcPr>
            <w:tcW w:w="532"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564"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89"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1"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инвестирования</w:t>
            </w:r>
          </w:p>
        </w:tc>
        <w:tc>
          <w:tcPr>
            <w:tcW w:w="710"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9"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3"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6"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бумаги</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номинальная</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рыночная</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номинальная (гр. 9 х гр. 11)</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рыночная (гр. 9 х гр. 12)</w:t>
            </w:r>
          </w:p>
        </w:tc>
        <w:tc>
          <w:tcPr>
            <w:tcW w:w="1261"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рыночной стоимости ценных бумаг</w:t>
            </w:r>
          </w:p>
        </w:tc>
        <w:tc>
          <w:tcPr>
            <w:tcW w:w="916"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бумаг</w:t>
            </w:r>
          </w:p>
        </w:tc>
        <w:tc>
          <w:tcPr>
            <w:tcW w:w="91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156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98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7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w:t>
            </w:r>
          </w:p>
        </w:tc>
        <w:tc>
          <w:tcPr>
            <w:tcW w:w="7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w:t>
            </w:r>
          </w:p>
        </w:tc>
        <w:tc>
          <w:tcPr>
            <w:tcW w:w="85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w:t>
            </w:r>
          </w:p>
        </w:tc>
        <w:tc>
          <w:tcPr>
            <w:tcW w:w="7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12</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13</w:t>
            </w:r>
          </w:p>
        </w:tc>
        <w:tc>
          <w:tcPr>
            <w:tcW w:w="10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14</w:t>
            </w:r>
          </w:p>
        </w:tc>
        <w:tc>
          <w:tcPr>
            <w:tcW w:w="12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15</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16</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17</w:t>
            </w:r>
          </w:p>
        </w:tc>
      </w:tr>
      <w:tr>
        <w:trPr>
          <w:cantSplit/>
        </w:trPr>
        <w:tc>
          <w:tcPr>
            <w:tcW w:w="16259" w:type="dxa"/>
            <w:gridSpan w:val="1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Раздел 1. Ценные бумаги, выпущенные нерезидентами и принадлежащие уполномоченному банку на праве собственности</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15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1.2</w:t>
            </w:r>
          </w:p>
        </w:tc>
        <w:tc>
          <w:tcPr>
            <w:tcW w:w="15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w:t>
            </w:r>
          </w:p>
        </w:tc>
        <w:tc>
          <w:tcPr>
            <w:tcW w:w="15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6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16259" w:type="dxa"/>
            <w:gridSpan w:val="1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Раздел 2. Ценные бумаги, выпущенные нерезидентами и принадлежащие резидентам, являющимся клиентами (депонентами) уполномоченного банка (кроме кредитных организаций)</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2.1</w:t>
            </w:r>
          </w:p>
        </w:tc>
        <w:tc>
          <w:tcPr>
            <w:tcW w:w="15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7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2.2</w:t>
            </w:r>
          </w:p>
        </w:tc>
        <w:tc>
          <w:tcPr>
            <w:tcW w:w="15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7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w:t>
            </w:r>
          </w:p>
        </w:tc>
        <w:tc>
          <w:tcPr>
            <w:tcW w:w="156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7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3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2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c>
          <w:tcPr>
            <w:tcW w:w="9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Х</w:t>
            </w:r>
          </w:p>
        </w:tc>
      </w:tr>
    </w:tbl>
    <w:p>
      <w:pPr>
        <w:pStyle w:val="MainTextBezOtstupa"/>
        <w:spacing w:before="240" w:after="0"/>
        <w:rPr/>
      </w:pPr>
      <w:r>
        <w:rPr/>
        <w:t>Отчет направляется в составе: строк _______ раздела 1 и строк _______ раздела 2.</w:t>
      </w:r>
    </w:p>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Исполнитель</w:t>
        <w:tab/>
        <w:t>(Ф.И.О.)</w:t>
      </w:r>
    </w:p>
    <w:p>
      <w:pPr>
        <w:pStyle w:val="MainTextBezOtstupa"/>
        <w:tabs>
          <w:tab w:val="clear" w:pos="720"/>
          <w:tab w:val="left" w:pos="2438" w:leader="none"/>
          <w:tab w:val="left" w:pos="4564" w:leader="none"/>
        </w:tabs>
        <w:spacing w:before="57" w:after="0"/>
        <w:rPr/>
      </w:pPr>
      <w:r>
        <w:rPr/>
        <w:t>Телефон:</w:t>
        <w:tab/>
        <w:t>Факс:</w:t>
        <w:tab/>
        <w:t>E-mail:</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color w:val="000000"/>
        </w:rPr>
        <w:t>Порядок составления и представления отчетности по форме 0409404 “Сведения об инвестициях уполномоченного банка и его клиентов-резидентов (кроме кредитных организаций) в ценные бумаги, выпущенные нерезидентами, и в уставный капитал (доли, паи) нерезидентов”</w:t>
      </w:r>
    </w:p>
    <w:p>
      <w:pPr>
        <w:pStyle w:val="MGlavaCenter"/>
        <w:keepLines w:val="false"/>
        <w:spacing w:before="0" w:after="120"/>
        <w:rPr>
          <w:b w:val="false"/>
        </w:rPr>
      </w:pPr>
      <w:r>
        <w:rPr>
          <w:b w:val="false"/>
        </w:rPr>
        <w:t>Раздел I. Общие положения</w:t>
      </w:r>
    </w:p>
    <w:p>
      <w:pPr>
        <w:pStyle w:val="MainText"/>
        <w:rPr/>
      </w:pPr>
      <w:r>
        <w:rPr/>
        <w:t>I.1. Собираемая в рамках отчетности по форме 0409404 “Сведения об инвестициях уполномоченного банка и его клиентов-резидентов (кроме кредитных организаций) в ценные бумаги, выпущенные нерезидентами, и в уставный капитал (доли, паи) нерезидентов” (далее — Отчет) информация используется в агрегированном виде для статистических целей.</w:t>
      </w:r>
    </w:p>
    <w:p>
      <w:pPr>
        <w:pStyle w:val="MainText"/>
        <w:rPr/>
      </w:pPr>
      <w:r>
        <w:rPr/>
        <w:t>Банк России гарантирует конфиденциальность полученной информации.</w:t>
      </w:r>
    </w:p>
    <w:p>
      <w:pPr>
        <w:pStyle w:val="MainText"/>
        <w:rPr/>
      </w:pPr>
      <w:r>
        <w:rPr/>
        <w:t>I.2. Уполномоченные банки представляют Отчет в электронном виде в территориальные учреждения Банка России на годовой основе не позднее 15 февраля года, следующего за отчетным. Представляемые сведения должны включать данные по филиалам отчитывающегося уполномоченного банка, включая филиалы, находящиеся на территории других государств и не являющиеся самостоятельными юридическими лицами.</w:t>
      </w:r>
    </w:p>
    <w:p>
      <w:pPr>
        <w:pStyle w:val="MainText"/>
        <w:rPr/>
      </w:pPr>
      <w:r>
        <w:rPr/>
        <w:t>I.3. Данные в графе 9 разделов 1 и 2 Отчета отражаются с округлением до целого числа.</w:t>
      </w:r>
    </w:p>
    <w:p>
      <w:pPr>
        <w:pStyle w:val="MainText"/>
        <w:rPr/>
      </w:pPr>
      <w:r>
        <w:rPr/>
        <w:t>Данные в графах 11, 12 разделов 1 и 2 Отчета указываются в единицах соответствующей валюты, с четырьмя знаками после запятой, а в графах 13, 14 тех же разделов Отчета — с двумя знаками после запятой.</w:t>
      </w:r>
    </w:p>
    <w:p>
      <w:pPr>
        <w:pStyle w:val="MainText"/>
        <w:rPr/>
      </w:pPr>
      <w:r>
        <w:rPr/>
        <w:t>Если значение числового показателя равно нулю, в Отчете по этому показателю проставляется значение “0”. Если явление, которое отражает символьный показатель, отсутствует, в Отчете проставляется прочерк.</w:t>
      </w:r>
    </w:p>
    <w:p>
      <w:pPr>
        <w:pStyle w:val="MainText"/>
        <w:rPr/>
      </w:pPr>
      <w:r>
        <w:rPr/>
        <w:t>I.4. В случае если у уполномоченного банка отсутствуют данные, подлежащие отражению в каком-либо разделе Отчета, то уполномоченным банком при составлении Отчета по данному разделу делается запись об отсутствии данных.</w:t>
      </w:r>
    </w:p>
    <w:p>
      <w:pPr>
        <w:pStyle w:val="MainText"/>
        <w:rPr/>
      </w:pPr>
      <w:r>
        <w:rPr/>
        <w:t>В случае если у уполномоченного банка отсутствуют данные, подлежащие отражению в Отчете, то уполномоченный банк формирует Отчет, в содержательной части которого делается только запись об отсутствии данных.</w:t>
      </w:r>
    </w:p>
    <w:p>
      <w:pPr>
        <w:pStyle w:val="MainText"/>
        <w:rPr/>
      </w:pPr>
      <w:r>
        <w:rPr/>
        <w:t>I.5. Если после отправки Отчета уполномоченным банком были обнаружены ошибки, исправленный Отчет необходимо повторно направить соответствующему территориальному учреждению Банка России.</w:t>
      </w:r>
    </w:p>
    <w:p>
      <w:pPr>
        <w:pStyle w:val="MainText"/>
        <w:rPr/>
      </w:pPr>
      <w:r>
        <w:rPr/>
        <w:t>I.6. В случае возникновения вопросов по порядку заполнения и представления Отчета следует обращаться в Банк России по телефонам: (495) 771-44-68, (495) 771-46-08 (факс (495) 771-44-60); e-mail: moi@cbr.ru.</w:t>
      </w:r>
    </w:p>
    <w:p>
      <w:pPr>
        <w:pStyle w:val="MainText"/>
        <w:rPr/>
      </w:pPr>
      <w:r>
        <w:rPr/>
        <w:t>I.7. Отчет состоит из 2 разделов.</w:t>
      </w:r>
    </w:p>
    <w:p>
      <w:pPr>
        <w:pStyle w:val="MainText"/>
        <w:rPr/>
      </w:pPr>
      <w:r>
        <w:rPr/>
        <w:t>В разделе 1 отражаются ценные бумаги, выпущенные нерезидентами и принадлежащие уполномоченному банку на праве собственности.</w:t>
      </w:r>
    </w:p>
    <w:p>
      <w:pPr>
        <w:pStyle w:val="MainText"/>
        <w:rPr/>
      </w:pPr>
      <w:r>
        <w:rPr/>
        <w:t>В разделе 2 отражаются ценные бумаги, выпущенные нерезидентами и принадлежащие резидентам, являющимся клиентами (депонентами) уполномоченного банка (кроме кредитных организаций), находящиеся у него на хранении, учете, брокерском обслуживании, а также в доверительном управлении.</w:t>
      </w:r>
    </w:p>
    <w:p>
      <w:pPr>
        <w:pStyle w:val="MGlavaCenter"/>
        <w:rPr>
          <w:b w:val="false"/>
        </w:rPr>
      </w:pPr>
      <w:r>
        <w:rPr>
          <w:b w:val="false"/>
        </w:rPr>
        <w:t>Раздел II. Классификации и терминология, используемые в настоящем Порядке</w:t>
      </w:r>
    </w:p>
    <w:p>
      <w:pPr>
        <w:pStyle w:val="MainText"/>
        <w:rPr/>
      </w:pPr>
      <w:r>
        <w:rPr/>
        <w:t>II.1. Понятия “резидент” и “нерезидент” используются в Отчете в соответствии с валютным законодательством Российской Федерации. Отделения, дочерние общества и организации резидентов, находящиеся на территории других государств и имеющие статус юридического лица, а также структуры Союзного государства Российской Федерации и Республики Беларусь отражаются в Отчете в качестве нерезидентов.</w:t>
      </w:r>
    </w:p>
    <w:p>
      <w:pPr>
        <w:pStyle w:val="MainText"/>
        <w:rPr/>
      </w:pPr>
      <w:r>
        <w:rPr/>
        <w:t>Понятия “депозитные сертификаты”, “долговые ценные бумаги”, “прямые инвестиции”, “участие в капитале”, “голосующее участие в капитале”, “не голосующее участие в капитале”, “срок погашения” используются в Отчете в значениях, указанных в Порядке составления и представления отчетности по форме 0409401 “Отчет уполномоченного банка об иностранных операциях”.</w:t>
      </w:r>
    </w:p>
    <w:p>
      <w:pPr>
        <w:pStyle w:val="MainText"/>
        <w:rPr/>
      </w:pPr>
      <w:r>
        <w:rPr/>
        <w:t>II.2. Приведенные ниже классификации ценных бумаг используются исключительно для целей Отчета.</w:t>
      </w:r>
    </w:p>
    <w:p>
      <w:pPr>
        <w:pStyle w:val="MainText"/>
        <w:rPr/>
      </w:pPr>
      <w:r>
        <w:rPr/>
        <w:t>II.2.1. В Отчете отражаются следующие ценные бумаги, выпущенные нерезидентами:</w:t>
      </w:r>
    </w:p>
    <w:p>
      <w:pPr>
        <w:pStyle w:val="MainText"/>
        <w:rPr/>
      </w:pPr>
      <w:r>
        <w:rPr/>
        <w:t>принадлежащие уполномоченному банку на праве собственности;</w:t>
      </w:r>
    </w:p>
    <w:p>
      <w:pPr>
        <w:pStyle w:val="MainText"/>
        <w:rPr/>
      </w:pPr>
      <w:r>
        <w:rPr/>
        <w:t>по отношению к которым уполномоченный банк зарегистрирован в реестре владельцев ценных бумаг в качестве номинального держателя ценных бумаг (исключая ценные бумаги, владельцами которых являются кредитные организации);</w:t>
      </w:r>
    </w:p>
    <w:p>
      <w:pPr>
        <w:pStyle w:val="MainText"/>
        <w:rPr/>
      </w:pPr>
      <w:r>
        <w:rPr/>
        <w:t>по отношению к которым уполномоченный банк является доверительным управляющим (исключая ценные бумаги, учредителями доверительного управления которыми являются кредитные организации);</w:t>
      </w:r>
    </w:p>
    <w:p>
      <w:pPr>
        <w:pStyle w:val="MainText"/>
        <w:rPr/>
      </w:pPr>
      <w:r>
        <w:rPr/>
        <w:t>владельцами которых являются резиденты — клиенты (депоненты) уполномоченного банка (кроме кредитных организаций), в том числе по отношению к которым они выполняют функции номинальных держателей и доверительных управляющих;</w:t>
      </w:r>
    </w:p>
    <w:p>
      <w:pPr>
        <w:pStyle w:val="MainText"/>
        <w:rPr/>
      </w:pPr>
      <w:r>
        <w:rPr/>
        <w:t>предоставленные уполномоченным банком, а также резидентами, являющимися клиентами (депонентами) уполномоченного банка (кроме кредитных организаций), по операциям на возвратной основе без прекращения признания ценных бумаг.</w:t>
      </w:r>
    </w:p>
    <w:p>
      <w:pPr>
        <w:pStyle w:val="MainText"/>
        <w:rPr/>
      </w:pPr>
      <w:r>
        <w:rPr/>
        <w:t>II.2.2. В Отчете не отражаются следующие выпущенные нерезидентами ценные бумаги:</w:t>
      </w:r>
    </w:p>
    <w:p>
      <w:pPr>
        <w:pStyle w:val="MainText"/>
        <w:rPr/>
      </w:pPr>
      <w:r>
        <w:rPr/>
        <w:t>принадлежащие кредитным организациям, являющимся клиентами (депонентами) уполномоченного банка;</w:t>
      </w:r>
    </w:p>
    <w:p>
      <w:pPr>
        <w:pStyle w:val="MainText"/>
        <w:rPr/>
      </w:pPr>
      <w:r>
        <w:rPr/>
        <w:t>принадлежащие нерезидентам, являющимся клиентами (депонентами) уполномоченного банка;</w:t>
      </w:r>
    </w:p>
    <w:p>
      <w:pPr>
        <w:pStyle w:val="MainText"/>
        <w:rPr/>
      </w:pPr>
      <w:r>
        <w:rPr/>
        <w:t>депозитарные расписки на ценные бумаги эмитентов-резидентов;</w:t>
      </w:r>
    </w:p>
    <w:p>
      <w:pPr>
        <w:pStyle w:val="MainText"/>
        <w:rPr/>
      </w:pPr>
      <w:r>
        <w:rPr/>
        <w:t>полученные по операциям на возвратной основе без признания ценных бумаг;</w:t>
      </w:r>
    </w:p>
    <w:p>
      <w:pPr>
        <w:pStyle w:val="MainText"/>
        <w:rPr/>
      </w:pPr>
      <w:r>
        <w:rPr/>
        <w:t>производные финансовые инструменты.</w:t>
      </w:r>
    </w:p>
    <w:p>
      <w:pPr>
        <w:pStyle w:val="MainText"/>
        <w:rPr/>
      </w:pPr>
      <w:r>
        <w:rPr/>
        <w:t>II.2.3. Ценные бумаги, выпущенные нерезидентами и подлежащие отражению в Отчете, классифицируются по следующим группам.</w:t>
      </w:r>
    </w:p>
    <w:p>
      <w:pPr>
        <w:pStyle w:val="MainText"/>
        <w:rPr/>
      </w:pPr>
      <w:r>
        <w:rPr/>
        <w:t>В ценные бумаги, обеспечивающие участие в капитале, включаются обыкновенные и привилегированные акции, депозитарные расписки, удостоверяющие право собственности на акции нерезидентов, являющиеся базисным активом для расписок. Кроме того, к этой группе следует также относить паи, доли в имуществе, сертификаты участия, удостоверяющие долю и условия участия в капитале.</w:t>
      </w:r>
    </w:p>
    <w:p>
      <w:pPr>
        <w:pStyle w:val="MainText"/>
        <w:rPr/>
      </w:pPr>
      <w:r>
        <w:rPr/>
        <w:t>В долгосрочные долговые ценные бумаги включаются облигации, различные долговые обязательства, дающие их владельцу безусловное право на получение денежного дохода. Срок погашения данных ценных бумаг составляет более одного года от даты их размещения. К этой группе ценных бумаг относятся: казначейские облигации; облигации с нулевым купоном, дисконтом, с различными видами купонных платежей, с плавающей процентной ставкой; бессрочные и конвертируемые облигации; индексированные облигации; ценные бумаги, обеспеченные активами, такие как облигации, обеспеченные недвижимостью, долговые инструменты, обеспеченные пулом ипотек; не участвующие привилегированные акции; свободно обращающиеся депозитные сертификаты, выпущенные банками, со сроком погашения свыше одного года; депозитарные расписки на предъявителя, удостоверяющие право собственности на облигации нерезидентов, являющиеся базисным активом для расписок; долгосрочные вексельные обязательства; долгосрочные ценные бумаги, связанные с кредитованием (долгосрочные ценные бумаги различных видов, выпущенные с целью финансирования кредита, выданного третьей стороне); другие долгосрочные ценные бумаги. Ценные бумаги с нерегулярными сроками погашения, самый поздний из которых наступает более чем через год, а также ценные бумаги с неопределенными сроками погашения следует классифицировать как долгосрочные долговые ценные бумаги.</w:t>
      </w:r>
    </w:p>
    <w:p>
      <w:pPr>
        <w:pStyle w:val="MainText"/>
        <w:rPr/>
      </w:pPr>
      <w:r>
        <w:rPr/>
        <w:t>В краткосрочные долговые ценные бумаги включаются ценные бумаги денежного рынка, дающие их владельцу безусловное право на получение в установленный срок оговоренной фиксированной суммы денег. Срок погашения краткосрочных долговых ценных бумаг составляет 1 год или менее года от даты их размещения. К этой группе ценных бумаг относятся казначейские векселя и среднесрочные казначейские облигации (сроком на год и менее года); краткосрочные коммерческие и финансовые бумаги; банковские акцептованные переводные векселя; векселя до востребования; банковские депозитные сертификаты со сроком обращения год и менее года; краткосрочные долговые обязательства, выпускаемые в рамках эмиссионных программ с банковской поддержкой (данные ценные бумаги считаются краткосрочными даже в том случае, когда лежащие в их основе инструменты являются долгосрочными); краткосрочные ценные бумаги, связанные с кредитованием (краткосрочные бумаги различных видов, выпущенные с целью финансирования кредита, выданного третьей стороне).</w:t>
      </w:r>
    </w:p>
    <w:p>
      <w:pPr>
        <w:pStyle w:val="MainText"/>
        <w:rPr/>
      </w:pPr>
      <w:r>
        <w:rPr/>
        <w:t>При группировке долговых ценных бумаг по срокам погашения (на долгосрочные и краткосрочные) рекомендуется исходить из первоначального, а не остаточного срока погашения. Под первоначальным сроком погашения ценных бумаг понимается срок от даты их размещения до даты погашения, но не срок от даты их приобретения уполномоченным банком (или его клиентом) до даты погашения.</w:t>
      </w:r>
    </w:p>
    <w:p>
      <w:pPr>
        <w:pStyle w:val="MainText"/>
        <w:rPr/>
      </w:pPr>
      <w:r>
        <w:rPr/>
        <w:t>II.2.4. В качестве депозитарных расписок отражаются ценные бумаги, выпущенные депозитарными банками в форме сертификатов, удостоверяющих право собственности на долю в портфеле акций или облигаций иностранных эмитентов. Депозитарная расписка может представлять одну ценную бумагу, несколько ценных бумаг одного класса или часть ценной бумаги.</w:t>
      </w:r>
    </w:p>
    <w:p>
      <w:pPr>
        <w:pStyle w:val="MainText"/>
        <w:rPr/>
      </w:pPr>
      <w:r>
        <w:rPr/>
        <w:t>В Отчете отражаются только депозитарные расписки, выпущенные на ценные бумаги эмитентов-нерезидентов.</w:t>
      </w:r>
    </w:p>
    <w:p>
      <w:pPr>
        <w:pStyle w:val="MainText"/>
        <w:rPr/>
      </w:pPr>
      <w:r>
        <w:rPr/>
        <w:t>В графе 5 Отчета указывается сокращенное наименование нерезидента — эмитента акций (облигаций), лежащих в основе расписок, а не наименование банка, осуществившего выпуск данных расписок. При определении наличия отношений прямого инвестирования (графа 6 раздела 1 Отчета) необходимо исходить из величины участия отчитывающегося банка в капитале нерезидента — эмитента акций (облигаций), лежащих в основе расписок. Депозитарные расписки следует отражать в графе 8 Отчета по стране эмитента ценной бумаги (акции, облигации), являющейся базисным активом для депозитарной расписки, а не по стране банка, выпустившего соответствующую расписку.</w:t>
      </w:r>
    </w:p>
    <w:p>
      <w:pPr>
        <w:pStyle w:val="MainText"/>
        <w:rPr/>
      </w:pPr>
      <w:r>
        <w:rPr/>
        <w:t>Все другие показатели Отчета должны соответствовать характеристикам депозитарных расписок, а не акций (облигаций), лежащих в их основе.</w:t>
      </w:r>
    </w:p>
    <w:p>
      <w:pPr>
        <w:pStyle w:val="MainText"/>
        <w:rPr/>
      </w:pPr>
      <w:r>
        <w:rPr/>
        <w:t>II.2.5. Понятия “учредитель управления”, “доверительный управляющий” используются в Отчете в соответствии с гражданским законодательством Российской Федерации.</w:t>
      </w:r>
    </w:p>
    <w:p>
      <w:pPr>
        <w:pStyle w:val="MainText"/>
        <w:rPr/>
      </w:pPr>
      <w:r>
        <w:rPr/>
        <w:t>В зависимости от статуса уполномоченного банка (учредитель управления или доверительный управляющий) ценные бумаги, выпущенные нерезидентами, отражаются:</w:t>
      </w:r>
    </w:p>
    <w:p>
      <w:pPr>
        <w:pStyle w:val="MainText"/>
        <w:rPr/>
      </w:pPr>
      <w:r>
        <w:rPr/>
        <w:t>в разделе 1 Отчета — если уполномоченный банк является их собственником и выступает в качестве учредителя доверительного управления ценными бумагами;</w:t>
      </w:r>
    </w:p>
    <w:p>
      <w:pPr>
        <w:pStyle w:val="MainText"/>
        <w:rPr/>
      </w:pPr>
      <w:r>
        <w:rPr/>
        <w:t>в разделе 2 Отчета — если уполномоченный банк выступает в качестве доверительного управляющего ценными бумагами, принадлежащими резидентам — учредителям управления (кроме кредитных организаций).</w:t>
      </w:r>
    </w:p>
    <w:p>
      <w:pPr>
        <w:pStyle w:val="MainText"/>
        <w:rPr/>
      </w:pPr>
      <w:r>
        <w:rPr/>
        <w:t>II.2.6. Понятие “номинальный держатель ценных бумаг” используется в Отчете в соответствии с Федеральным законом от 22 апреля 1996 года № 39-ФЗ “О рынке ценных бумаг” (Собрание законодательства Российской Федерации, 1996, № 17, ст. 1918; 1998, № 48, ст. 5857; 2001, № 33, ст. 3424; 2002, № 52, ст. 5141; 2004, № 27, ст. 2711; № 31, ст. 3225; 2005, № 11, ст. 900; № 25, ст. 2426; 2006, № 1, ст. 5; № 2, ст. 172; № 17, ст. 1780; № 31, ст. 3437; № 43, ст. 4412; 2007, № 1, ст. 45; № 18, ст. 2117; № 22, ст. 2563; № 41, ст. 4845; № 50, ст. 6247, ст. 6249; 2008, № 44, ст. 4982; № 52, ст. 6221; 2009, № 1, ст. 28; № 7, ст. 777; № 18, ст. 2154; № 23, ст. 2770; № 29, ст. 3642).</w:t>
      </w:r>
    </w:p>
    <w:p>
      <w:pPr>
        <w:pStyle w:val="MainText"/>
        <w:rPr/>
      </w:pPr>
      <w:r>
        <w:rPr/>
        <w:t>В зависимости от статуса уполномоченного банка (собственник или номинальный держатель) ценные бумаги, выпущенные нерезидентами, отражаются:</w:t>
      </w:r>
    </w:p>
    <w:p>
      <w:pPr>
        <w:pStyle w:val="MainText"/>
        <w:rPr/>
      </w:pPr>
      <w:r>
        <w:rPr/>
        <w:t>в разделе 1 Отчета — если уполномоченный банк, являясь собственником указанных ценных бумаг, передал их в номинальное держание;</w:t>
      </w:r>
    </w:p>
    <w:p>
      <w:pPr>
        <w:pStyle w:val="MainText"/>
        <w:rPr/>
      </w:pPr>
      <w:r>
        <w:rPr/>
        <w:t>в разделе 2 Отчета — если уполномоченный банк зарегистрирован в реестре в качестве номинального держателя ценных бумаг, принадлежащих резидентам (кроме кредитных организаций).</w:t>
      </w:r>
    </w:p>
    <w:p>
      <w:pPr>
        <w:pStyle w:val="MainText"/>
        <w:rPr/>
      </w:pPr>
      <w:r>
        <w:rPr/>
        <w:t>В случае если уполномоченный банк обладает информацией о том, что его клиент-резидент, по ценным бумагам которого данный банк выступает номинальным держателем, также является номинальным держателем, а конечным владельцем этих бумаг является нерезидент, вышеуказанные ценные бумаги в Отчете не отражаются.</w:t>
      </w:r>
    </w:p>
    <w:p>
      <w:pPr>
        <w:pStyle w:val="MainText"/>
        <w:rPr/>
      </w:pPr>
      <w:r>
        <w:rPr/>
        <w:t>II.2.7. В Отчете отражаются ценные бумаги нерезидентов, принадлежащие уполномоченному банку и предоставленные им по операциям на возвратной основе без прекращения признания ценных бумаг (в том числе в рамках операций по списанию (зачислению) маржи).</w:t>
      </w:r>
    </w:p>
    <w:p>
      <w:pPr>
        <w:pStyle w:val="MainText"/>
        <w:rPr/>
      </w:pPr>
      <w:r>
        <w:rPr/>
        <w:t>В Отчете не отражаются ценные бумаги нерезидентов, полученные по операциям на возвратной основе без признания ценных бумаг (в том числе в рамках операций по списанию (зачислению) маржи).</w:t>
      </w:r>
    </w:p>
    <w:p>
      <w:pPr>
        <w:pStyle w:val="MainText"/>
        <w:rPr/>
      </w:pPr>
      <w:r>
        <w:rPr/>
        <w:t>II.2.8. В Отчете не отражаются производные финансовые инструменты, базисным активом которых являются другие конкретные инструменты, показатели или товары и с помощью которых на финансовых рынках может осуществляться торговля конкретными финансовыми рисками, независимо от базисного актива. Примерами производных финансовых инструментов являются опционы, фьючерсы, свопы, варранты.</w:t>
      </w:r>
    </w:p>
    <w:p>
      <w:pPr>
        <w:pStyle w:val="MainText"/>
        <w:rPr/>
      </w:pPr>
      <w:r>
        <w:rPr/>
        <w:t>Если имеется ценная бумага и одновременно производный финансовый инструмент, для которого данная ценная бумага является базисным активом, в Отчете отражается только стоимость указанной ценной бумаги без учета стоимости производного финансового инструмента. Исключением являются долговые ценные бумаги, содержащие неотделимый производный финансовый инструмент, под которым понимается производный финансовый инструмент, существование которого в качестве отдельного финансового инструмента невозможно (например, долговая ценная бумага со встроенным опционом на конвертацию). Для целей Отчета указанные долговые ценные бумаги оцениваются с учетом стоимости неотделимого производного финансового инструмента, даже если стоимость таких ценных бумаг будет отличаться от аналогичных ценных бумаг именно из-за стоимости такого производного финансового инструмента.</w:t>
      </w:r>
    </w:p>
    <w:p>
      <w:pPr>
        <w:pStyle w:val="MainText"/>
        <w:rPr/>
      </w:pPr>
      <w:r>
        <w:rPr/>
        <w:t>II.2.9. Если часть основного долга по ценным бумагам была выкуплена (погашена) досрочно, в Отчете отражаются номинальная и рыночная стоимости оставшейся в обращении невыплаченной части основного долга по состоянию на дату составления Отчета.</w:t>
      </w:r>
    </w:p>
    <w:p>
      <w:pPr>
        <w:pStyle w:val="MainText"/>
        <w:rPr/>
      </w:pPr>
      <w:r>
        <w:rPr/>
        <w:t>II.2.10. В Отчет включаются ценные бумаги, выпущенные нерезидентами, которые являются дочерними организациями организаций-резидентов.</w:t>
      </w:r>
    </w:p>
    <w:p>
      <w:pPr>
        <w:pStyle w:val="MainText"/>
        <w:rPr/>
      </w:pPr>
      <w:r>
        <w:rPr/>
        <w:t>II.2.11. Ценные бумаги нерезидентов, принадлежащие уполномоченному банку, а также депонентам-резидентам (кроме кредитных организаций) и находящиеся на хранении и (или) учете в депозитарии уполномоченного банка, подлежат отражению в Отчете независимо от места их хранения и (или) учета (в собственном хранилище банка, у других резидентов, в том числе в депозитариях кредитных организаций, у нерезидентов).</w:t>
      </w:r>
    </w:p>
    <w:p>
      <w:pPr>
        <w:pStyle w:val="MainText"/>
        <w:rPr/>
      </w:pPr>
      <w:r>
        <w:rPr/>
        <w:t>Если ценные бумаги одного эмитента-нерезидента, принадлежащие уполномоченному банку, находятся на хранении и (или) учете в различных местах, в Отчете указанные ценные бумаги отражаются отдельно по каждому месту хранения и (или) учета.</w:t>
      </w:r>
    </w:p>
    <w:p>
      <w:pPr>
        <w:pStyle w:val="MainText"/>
        <w:rPr/>
      </w:pPr>
      <w:r>
        <w:rPr/>
        <w:t>В целях Отчета рекомендуется в качестве собственного хранилища рассматривать также хранилища филиалов и арендованные хранилища.</w:t>
      </w:r>
    </w:p>
    <w:p>
      <w:pPr>
        <w:pStyle w:val="MainText"/>
        <w:rPr/>
      </w:pPr>
      <w:r>
        <w:rPr/>
        <w:t>II.2.12. Ценные бумаги, выпущенные международными организациями — нерезидентами, не следует относить к странам, где расположены эти организации, поскольку указанные ценные бумаги не являются обязательствами этих стран. В рамках Отчета международным организациям присвоен отдельный код “ХХ”.</w:t>
      </w:r>
    </w:p>
    <w:p>
      <w:pPr>
        <w:pStyle w:val="MainText"/>
        <w:rPr/>
      </w:pPr>
      <w:r>
        <w:rPr/>
        <w:t>Страновую принадлежность организации-нерезидента, предоставляющей международные финансовые услуги, следует определять на основании места нахождения ее штаб-квартиры. Например, компания S.W.I.F.T. является резидентом Бельгии.</w:t>
      </w:r>
    </w:p>
    <w:p>
      <w:pPr>
        <w:pStyle w:val="MainText"/>
        <w:rPr/>
      </w:pPr>
      <w:r>
        <w:rPr/>
        <w:t>В соответствии с подпунктом II.2.4 настоящего пункта депозитарные расписки, выпущенные на ценные бумаги организаций-нерезидентов, следует относить к стране резидентства эмитента ценной бумаги, лежащей в основе расписки, а не банка, выпустившего соответствующие расписки.</w:t>
      </w:r>
    </w:p>
    <w:p>
      <w:pPr>
        <w:pStyle w:val="MainText"/>
        <w:rPr/>
      </w:pPr>
      <w:r>
        <w:rPr/>
        <w:t>Не следует:</w:t>
      </w:r>
    </w:p>
    <w:p>
      <w:pPr>
        <w:pStyle w:val="MainText"/>
        <w:rPr/>
      </w:pPr>
      <w:r>
        <w:rPr/>
        <w:t>определять страну принадлежности эмитента на основе валюты, в которой номинированы ценные бумаги;</w:t>
      </w:r>
    </w:p>
    <w:p>
      <w:pPr>
        <w:pStyle w:val="MainText"/>
        <w:rPr/>
      </w:pPr>
      <w:r>
        <w:rPr/>
        <w:t>указывать в качестве страны эмитента ценных бумаг страну, предоставившую гарантии (если только страна выпуска ценных бумаг не совпадает со страной предоставления гарантии);</w:t>
      </w:r>
    </w:p>
    <w:p>
      <w:pPr>
        <w:pStyle w:val="MainText"/>
        <w:rPr/>
      </w:pPr>
      <w:r>
        <w:rPr/>
        <w:t>указывать в качестве страны эмитента ценных бумаг страну нерезидента, у которого были приобретены соответствующие ценные бумаги (если только страна продавца ценных бумаг не совпадает со страной эмитента).</w:t>
      </w:r>
    </w:p>
    <w:p>
      <w:pPr>
        <w:pStyle w:val="MainText"/>
        <w:rPr/>
      </w:pPr>
      <w:r>
        <w:rPr/>
        <w:t>II.2.13. Рыночная стоимость ценных бумаг, допущенных к обращению через организаторов торговли, для целей Отчета рассчитывается на основе рыночной цены, определяемой в соответствии с Порядком расчета рыночной цены эмиссионных ценных бумаг и инвестиционных паев паевых инвестиционных фондов, допущенных к обращению через организаторов торговли, утвержденного Постановлением Федеральной комиссии по рынку ценных бумаг от 24 декабря 2003 года № 03-52/пс “Об утверждении порядка расчета рыночной цены эмиссионных ценных бумаг и инвестиционных паев паевых инвестиционных фондов, допущенных к обращению через организаторов торговли, и установлении предельной границы колебаний рыночной цены”, зарегистрированным Министерством юстиции Российской Федерации 23 января 2004 года № 5480 (“Российская газета” от 30 января 2004 года). В рыночную цену долговых ценных бумаг должен быть включен накопленный по ним купонный доход. Для целей Отчета рыночная стоимость ценных бумаг, допущенных к обращению через организаторов торговли, предоставленных по операциям на возвратной основе без прекращения признания ценных бумаг, определяется аналогичным образом.</w:t>
      </w:r>
    </w:p>
    <w:p>
      <w:pPr>
        <w:pStyle w:val="MainText"/>
        <w:rPr/>
      </w:pPr>
      <w:r>
        <w:rPr/>
        <w:t>Рыночная стоимость ценных бумаг, не котируемых на биржевом рынке ценных бумаг или для которых расчет биржевых котировок невозможен, определяется следующими методами.</w:t>
      </w:r>
    </w:p>
    <w:p>
      <w:pPr>
        <w:pStyle w:val="MainText"/>
        <w:rPr/>
      </w:pPr>
      <w:r>
        <w:rPr/>
        <w:t>Методы, используемые для оценки рыночной стоимости ценных бумаг, обеспечивающих участие в капитале:</w:t>
      </w:r>
    </w:p>
    <w:p>
      <w:pPr>
        <w:pStyle w:val="MainText"/>
        <w:rPr/>
      </w:pPr>
      <w:r>
        <w:rPr/>
        <w:t>оценка по доле пакета в стоимости чистых активов эмитента, которая равна стоимости активов (включая нематериальные активы), за вычетом стоимости обязательств и оплаченного капитала в виде акций, не дающих владельцам права голоса. Стоимость активов и обязательств используется в текущих ценах, а не в ценах их приобретения (первоначальных ценах). При этом стоимость чистых активов включает суммы обязательств и активов, относящихся к материнской компании и другим связанным сторонам. Данный метод применяется для оценки инвестиций в дочерние общества;</w:t>
      </w:r>
    </w:p>
    <w:p>
      <w:pPr>
        <w:pStyle w:val="MainText"/>
        <w:rPr/>
      </w:pPr>
      <w:r>
        <w:rPr/>
        <w:t>метод долевого участия. Ценные бумаги первоначально учитываются по себестоимости, затем их балансовая стоимость увеличивается или уменьшается на признанную долю инвестора в прибылях и убытках объекта инвестиций после даты приобретения. Полученный от объекта инвестиций доход уменьшает балансовую стоимость ценных бумаг. Корректировки балансовой стоимости могут быть также необходимы для отражения изменений доли участия инвестора в объекте инвестиций, возникающих в результате изменений в собственном капитале объекта инвестиций, которые не были включены в отчет о прибылях и убытках. К таким изменениям относят те, которые возникают в результате переоценки основных средств и инвестиций, в результате курсовых разниц при пересчете показателей отчетности в иностранной валюте и в результате корректировок, учитывающих разницы, возникающие при объединении компаний.</w:t>
      </w:r>
    </w:p>
    <w:p>
      <w:pPr>
        <w:pStyle w:val="MainText"/>
        <w:rPr/>
      </w:pPr>
      <w:r>
        <w:rPr/>
        <w:t>Методы, используемые для оценки стоимости долговых ценных бумаг:</w:t>
      </w:r>
    </w:p>
    <w:p>
      <w:pPr>
        <w:pStyle w:val="MainText"/>
        <w:rPr/>
      </w:pPr>
      <w:r>
        <w:rPr/>
        <w:t>для расчета рыночной стоимости не котируемых на биржевом рынке ценных бумаг (P) используется расчетная текущая стоимость ценной бумаги. Расчет осуществляется по формуле:</w:t>
      </w:r>
    </w:p>
    <w:p>
      <w:pPr>
        <w:pStyle w:val="MainTextBezOtstupa"/>
        <w:spacing w:before="0" w:after="28"/>
        <w:ind w:start="567" w:end="0"/>
        <w:jc w:val="start"/>
        <w:rPr/>
      </w:pPr>
      <w:r>
        <w:rPr/>
        <w:drawing>
          <wp:inline distT="0" distB="0" distL="0" distR="0">
            <wp:extent cx="1066800" cy="4114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066800" cy="411480"/>
                    </a:xfrm>
                    <a:prstGeom prst="rect">
                      <a:avLst/>
                    </a:prstGeom>
                    <a:noFill/>
                  </pic:spPr>
                </pic:pic>
              </a:graphicData>
            </a:graphic>
          </wp:inline>
        </w:drawing>
      </w:r>
    </w:p>
    <w:p>
      <w:pPr>
        <w:pStyle w:val="MainText"/>
        <w:rPr/>
      </w:pPr>
      <w:r>
        <w:rPr/>
        <w:t>где:</w:t>
      </w:r>
    </w:p>
    <w:p>
      <w:pPr>
        <w:pStyle w:val="MainText"/>
        <w:rPr/>
      </w:pPr>
      <w:r>
        <w:rPr/>
        <w:t>n — количество предстоящих платежей процентов и основного долга;</w:t>
      </w:r>
    </w:p>
    <w:p>
      <w:pPr>
        <w:pStyle w:val="MainText"/>
        <w:rPr/>
      </w:pPr>
      <w:r>
        <w:rPr/>
        <w:t>i — порядковый номер соответствующего платежа, варьируется от 1 до n;</w:t>
      </w:r>
    </w:p>
    <w:p>
      <w:pPr>
        <w:pStyle w:val="MainText"/>
        <w:rPr/>
      </w:pPr>
      <w:r>
        <w:rPr/>
        <w:t>C</w:t>
      </w:r>
      <w:r>
        <w:rPr>
          <w:vertAlign w:val="subscript"/>
        </w:rPr>
        <w:t>i</w:t>
      </w:r>
      <w:r>
        <w:rPr/>
        <w:t> — размер (одного) платежа;</w:t>
      </w:r>
    </w:p>
    <w:p>
      <w:pPr>
        <w:pStyle w:val="MainText"/>
        <w:rPr/>
      </w:pPr>
      <w:r>
        <w:rPr/>
        <w:t>t</w:t>
      </w:r>
      <w:r>
        <w:rPr>
          <w:vertAlign w:val="subscript"/>
        </w:rPr>
        <w:t>i</w:t>
      </w:r>
      <w:r>
        <w:rPr/>
        <w:t> — количество дней начиная с отчетной даты и до погашения;</w:t>
      </w:r>
    </w:p>
    <w:p>
      <w:pPr>
        <w:pStyle w:val="MainText"/>
        <w:rPr/>
      </w:pPr>
      <w:r>
        <w:rPr/>
        <w:t>r — эффективная доходность к погашению, рассчитываемая по состоянию на момент приобретения данного инструмента;</w:t>
      </w:r>
    </w:p>
    <w:p>
      <w:pPr>
        <w:pStyle w:val="MainText"/>
        <w:rPr/>
      </w:pPr>
      <w:r>
        <w:rPr/>
        <w:t>при наличии в составе долговой ценной бумаги неотделимого встроенного производного инструмента (например, долговая ценная бумага со встроенным опционом на конвертацию) стоимость не котируемых на биржевом рынке ценных бумаг, определенная с использованием расчетной текущей стоимости ценной бумаги, должна корректироваться с учетом изменения стоимости данного встроенного производного инструмента;</w:t>
      </w:r>
    </w:p>
    <w:p>
      <w:pPr>
        <w:pStyle w:val="MainText"/>
        <w:rPr/>
      </w:pPr>
      <w:r>
        <w:rPr/>
        <w:t>рыночная стоимость просроченных долговых ценных бумаг оценивается по цене последней сделки.</w:t>
      </w:r>
    </w:p>
    <w:p>
      <w:pPr>
        <w:pStyle w:val="MainText"/>
        <w:rPr/>
      </w:pPr>
      <w:r>
        <w:rPr/>
        <w:t>В случае невозможности применения ни одного из вышеперечисленных методов при оценке рыночной стоимости ценных бумаг можно воспользоваться одним из следующих методов:</w:t>
      </w:r>
    </w:p>
    <w:p>
      <w:pPr>
        <w:pStyle w:val="MainText"/>
        <w:rPr/>
      </w:pPr>
      <w:r>
        <w:rPr/>
        <w:t>по цене последней сделки с данными ценными бумагами, при условии что со дня проведения такой сделки и до отчетной даты не произошло существенных изменений экономических условий. При этом в стоимость ценных бумаг включаются существенные затраты, связанные с приобретением ценных бумаг, и накопленный процентный (купонный) доход по процентным (купонным) долговым ценным бумагам, уплаченный при приобретении;</w:t>
      </w:r>
    </w:p>
    <w:p>
      <w:pPr>
        <w:pStyle w:val="MainText"/>
        <w:rPr/>
      </w:pPr>
      <w:r>
        <w:rPr/>
        <w:t>по стоимости, установленной органами управления эмитента;</w:t>
      </w:r>
    </w:p>
    <w:p>
      <w:pPr>
        <w:pStyle w:val="MainText"/>
        <w:rPr/>
      </w:pPr>
      <w:r>
        <w:rPr/>
        <w:t>по стоимости аналогичных ценных бумаг (имеющих схожие параметры, такие, как сроки погашения, купонные платежи, уровни риска).</w:t>
      </w:r>
    </w:p>
    <w:p>
      <w:pPr>
        <w:pStyle w:val="MGlavaCenter"/>
        <w:rPr>
          <w:b w:val="false"/>
        </w:rPr>
      </w:pPr>
      <w:r>
        <w:rPr>
          <w:b w:val="false"/>
        </w:rPr>
        <w:t>Раздел III. Порядок заполнения раздела 1 Отчета</w:t>
      </w:r>
    </w:p>
    <w:p>
      <w:pPr>
        <w:pStyle w:val="MainText"/>
        <w:rPr/>
      </w:pPr>
      <w:r>
        <w:rPr/>
        <w:t>III.1. Общая характеристика раздела 1</w:t>
      </w:r>
    </w:p>
    <w:p>
      <w:pPr>
        <w:pStyle w:val="MainText"/>
        <w:rPr/>
      </w:pPr>
      <w:r>
        <w:rPr/>
        <w:t>В разделе 1 отражаются выпущенные нерезидентами ценные бумаги, по отношению к которым уполномоченный банк выступает в качестве собственника и которые учитываются им на соответствующих балансовых, внебалансовых счетах и счетах депо по состоянию на дату составления Отчета.</w:t>
      </w:r>
    </w:p>
    <w:p>
      <w:pPr>
        <w:pStyle w:val="MainText"/>
        <w:rPr/>
      </w:pPr>
      <w:r>
        <w:rPr/>
        <w:t>В разделе 1 отражаются также ценные бумаги нерезидентов, принадлежащие уполномоченному банку, находящиеся по состоянию на дату составления Отчета в пути, на проверке, под арестом, на переоформлении, а также обремененные обязательствами (блокированные, заложенные, предназначенные к поставке, выставленные на торги).</w:t>
      </w:r>
    </w:p>
    <w:p>
      <w:pPr>
        <w:pStyle w:val="MainText"/>
        <w:rPr/>
      </w:pPr>
      <w:r>
        <w:rPr/>
        <w:t>При отражении данных в графах 2, 5 и 8 Отчета следует использовать Реестр эмитентов и эмиссионных ценных бумаг, представляемый Банком России в рамках программного обеспечения (далее — Реестр). Данные по прочим эмитентам и ценным бумагам, не указанным в данном Реестре, заполняются на основании имеющейся у уполномоченного банка информации.</w:t>
      </w:r>
    </w:p>
    <w:p>
      <w:pPr>
        <w:pStyle w:val="MainText"/>
        <w:rPr/>
      </w:pPr>
      <w:r>
        <w:rPr/>
        <w:t>III.2. Графа 1. Номер строки состоит из 2 частей, разделенных точкой. Первая часть соответствует номеру раздела Отчета, а вторая — порядковому номеру строки. Номер последней строки каждого раздела должен соответствовать количеству строк, указываемому в соответствующем поле в конце Отчета.</w:t>
      </w:r>
    </w:p>
    <w:p>
      <w:pPr>
        <w:pStyle w:val="MainText"/>
        <w:rPr/>
      </w:pPr>
      <w:r>
        <w:rPr/>
        <w:t>III.3. В графе 2 для эмиссионных ценных бумаг указывается международный идентификационный код ценной бумаги (ISIN) либо иной код, присваиваемый национальным регистрационным агентством или другой заменяющей ее в этом качестве организацией. Не допускается использование для эмиссионных ценных бумаг внутренних кодов уполномоченного банка, а также кодов, присвоенных другими организациями, не являющимися регистрационными.</w:t>
      </w:r>
    </w:p>
    <w:p>
      <w:pPr>
        <w:pStyle w:val="MainText"/>
        <w:rPr/>
      </w:pPr>
      <w:r>
        <w:rPr/>
        <w:t>Для неэмиссионных ценных бумаг допускается использование кодов (номеров), присвоенных им организациями, не являющимися регистрационными, а также присвоенных уполномоченным банком для их учета.</w:t>
      </w:r>
    </w:p>
    <w:p>
      <w:pPr>
        <w:pStyle w:val="MainText"/>
        <w:rPr/>
      </w:pPr>
      <w:r>
        <w:rPr/>
        <w:t>III.4. В графе 3 в рамках Отчета для эмиссионных ценных бумаг указывается двузначный код идентификационной кодировочной системы, которая использовалась при кодировании ценных бумаг, выпущенных нерезидентами, в соответствии с Перечнем основных идентификационных кодировочных систем по ценным бумагам и национальных регистрационных организаций, приведенным в разделе V настоящего Порядка. Если кодировочная система не указана в Перечне, в данной графе указывается код “88”.</w:t>
      </w:r>
    </w:p>
    <w:p>
      <w:pPr>
        <w:pStyle w:val="MainText"/>
        <w:rPr/>
      </w:pPr>
      <w:r>
        <w:rPr/>
        <w:t>Если для учета неэмиссионных ценных бумаг используются коды (номера), присвоенные другими организациями, не являющимися регистрационными, в данной графе указывается код “99”, если же используются внутренние коды (номера) уполномоченного банка, указывается код “00”.</w:t>
      </w:r>
    </w:p>
    <w:p>
      <w:pPr>
        <w:pStyle w:val="MainText"/>
        <w:rPr/>
      </w:pPr>
      <w:r>
        <w:rPr/>
        <w:t>III.5. В графе 4 указываются следующие коды.</w:t>
      </w:r>
    </w:p>
    <w:p>
      <w:pPr>
        <w:pStyle w:val="MainText"/>
        <w:rPr/>
      </w:pPr>
      <w:r>
        <w:rPr/>
        <w:t>Для ценных бумаг, обеспечивающих участие в капитале:</w:t>
      </w:r>
    </w:p>
    <w:p>
      <w:pPr>
        <w:pStyle w:val="MainText"/>
        <w:rPr/>
      </w:pPr>
      <w:r>
        <w:rPr/>
        <w:t>УАО — обыкновенные акции;</w:t>
      </w:r>
    </w:p>
    <w:p>
      <w:pPr>
        <w:pStyle w:val="MainText"/>
        <w:rPr/>
      </w:pPr>
      <w:r>
        <w:rPr/>
        <w:t>УАП — привилегированные акции с участием;</w:t>
      </w:r>
    </w:p>
    <w:p>
      <w:pPr>
        <w:pStyle w:val="MainText"/>
        <w:rPr/>
      </w:pPr>
      <w:r>
        <w:rPr/>
        <w:t>УДР — депозитарные расписки, удостоверяющие права на акции, выпущенные нерезидентами;</w:t>
      </w:r>
    </w:p>
    <w:p>
      <w:pPr>
        <w:pStyle w:val="MainText"/>
        <w:rPr/>
      </w:pPr>
      <w:r>
        <w:rPr/>
        <w:t>УПД — доли, паи;</w:t>
      </w:r>
    </w:p>
    <w:p>
      <w:pPr>
        <w:pStyle w:val="MainText"/>
        <w:rPr/>
      </w:pPr>
      <w:r>
        <w:rPr/>
        <w:t>УПР — прочие ценные бумаги, обеспечивающие участие в капитале нерезидентов.</w:t>
      </w:r>
    </w:p>
    <w:p>
      <w:pPr>
        <w:pStyle w:val="MainText"/>
        <w:rPr/>
      </w:pPr>
      <w:r>
        <w:rPr/>
        <w:t>Для долгосрочных долговых ценных бумаг:</w:t>
      </w:r>
    </w:p>
    <w:p>
      <w:pPr>
        <w:pStyle w:val="MainText"/>
        <w:rPr/>
      </w:pPr>
      <w:r>
        <w:rPr/>
        <w:t>ДАН — “неучаствующие” привилегированные акции;</w:t>
      </w:r>
    </w:p>
    <w:p>
      <w:pPr>
        <w:pStyle w:val="MainText"/>
        <w:rPr/>
      </w:pPr>
      <w:r>
        <w:rPr/>
        <w:t>ДКО — конвертируемые облигации и облигации с правом выбора сроков погашения, последний из которых наступает через срок, превышающий год после выпуска ценных бумаг;</w:t>
      </w:r>
    </w:p>
    <w:p>
      <w:pPr>
        <w:pStyle w:val="MainText"/>
        <w:rPr/>
      </w:pPr>
      <w:r>
        <w:rPr/>
        <w:t>ДДР — депозитарные расписки, удостоверяющие права на облигации, выпущенные нерезидентами;</w:t>
      </w:r>
    </w:p>
    <w:p>
      <w:pPr>
        <w:pStyle w:val="MainText"/>
        <w:rPr/>
      </w:pPr>
      <w:r>
        <w:rPr/>
        <w:t>ДБД — свободно обращающиеся банковские депозитные сертификаты с первоначальным сроком погашения более одного года;</w:t>
      </w:r>
    </w:p>
    <w:p>
      <w:pPr>
        <w:pStyle w:val="MainText"/>
        <w:rPr/>
      </w:pPr>
      <w:r>
        <w:rPr/>
        <w:t>ДОД — бивалютные облигации;</w:t>
      </w:r>
    </w:p>
    <w:p>
      <w:pPr>
        <w:pStyle w:val="MainText"/>
        <w:rPr/>
      </w:pPr>
      <w:r>
        <w:rPr/>
        <w:t>ДОН — облигации с нулевым купоном и облигации с дисконтом;</w:t>
      </w:r>
    </w:p>
    <w:p>
      <w:pPr>
        <w:pStyle w:val="MainText"/>
        <w:rPr/>
      </w:pPr>
      <w:r>
        <w:rPr/>
        <w:t>ДОП — облигации с плавающей процентной ставкой;</w:t>
      </w:r>
    </w:p>
    <w:p>
      <w:pPr>
        <w:pStyle w:val="MainText"/>
        <w:rPr/>
      </w:pPr>
      <w:r>
        <w:rPr/>
        <w:t>ДОФ — облигации с фиксированной процентной ставкой;</w:t>
      </w:r>
    </w:p>
    <w:p>
      <w:pPr>
        <w:pStyle w:val="MainText"/>
        <w:rPr/>
      </w:pPr>
      <w:r>
        <w:rPr/>
        <w:t>ДОИ — индексированные облигации;</w:t>
      </w:r>
    </w:p>
    <w:p>
      <w:pPr>
        <w:pStyle w:val="MainText"/>
        <w:rPr/>
      </w:pPr>
      <w:r>
        <w:rPr/>
        <w:t>ДОО — ценные бумаги, обеспеченные активами, и привилегированные сертификаты;</w:t>
      </w:r>
    </w:p>
    <w:p>
      <w:pPr>
        <w:pStyle w:val="MainText"/>
        <w:rPr/>
      </w:pPr>
      <w:r>
        <w:rPr/>
        <w:t>ДВО — долгосрочные векселя;</w:t>
      </w:r>
    </w:p>
    <w:p>
      <w:pPr>
        <w:pStyle w:val="MainText"/>
        <w:rPr/>
      </w:pPr>
      <w:r>
        <w:rPr/>
        <w:t>ДОК — долгосрочные ценные бумаги, связанные с кредитованием;</w:t>
      </w:r>
    </w:p>
    <w:p>
      <w:pPr>
        <w:pStyle w:val="MainText"/>
        <w:rPr/>
      </w:pPr>
      <w:r>
        <w:rPr/>
        <w:t>ДПР — прочие долгосрочные ценные бумаги.</w:t>
      </w:r>
    </w:p>
    <w:p>
      <w:pPr>
        <w:pStyle w:val="MainText"/>
        <w:rPr/>
      </w:pPr>
      <w:r>
        <w:rPr/>
        <w:t>Для краткосрочных долговых ценных бумаг:</w:t>
      </w:r>
    </w:p>
    <w:p>
      <w:pPr>
        <w:pStyle w:val="MainText"/>
        <w:rPr/>
      </w:pPr>
      <w:r>
        <w:rPr/>
        <w:t>ККВ — казначейские векселя и облигации с первоначальным сроком погашения год и менее года;</w:t>
      </w:r>
    </w:p>
    <w:p>
      <w:pPr>
        <w:pStyle w:val="MainText"/>
        <w:rPr/>
      </w:pPr>
      <w:r>
        <w:rPr/>
        <w:t>КПВ — векселя;</w:t>
      </w:r>
    </w:p>
    <w:p>
      <w:pPr>
        <w:pStyle w:val="MainText"/>
        <w:rPr/>
      </w:pPr>
      <w:r>
        <w:rPr/>
        <w:t>КБД — свободно обращающиеся депозитные сертификаты с первоначальным сроком погашения год и менее;</w:t>
      </w:r>
    </w:p>
    <w:p>
      <w:pPr>
        <w:pStyle w:val="MainText"/>
        <w:rPr/>
      </w:pPr>
      <w:r>
        <w:rPr/>
        <w:t>КЭП — краткосрочные долговые ценные бумаги, выпускаемые в рамках эмиссионных программ с банковской поддержкой;</w:t>
      </w:r>
    </w:p>
    <w:p>
      <w:pPr>
        <w:pStyle w:val="MainText"/>
        <w:rPr/>
      </w:pPr>
      <w:r>
        <w:rPr/>
        <w:t>КОК — краткосрочные ценные бумаги, связанные с кредитованием;</w:t>
      </w:r>
    </w:p>
    <w:p>
      <w:pPr>
        <w:pStyle w:val="MainText"/>
        <w:rPr/>
      </w:pPr>
      <w:r>
        <w:rPr/>
        <w:t>КПР — прочие краткосрочные ценные бумаги.</w:t>
      </w:r>
    </w:p>
    <w:p>
      <w:pPr>
        <w:pStyle w:val="MainText"/>
        <w:rPr/>
      </w:pPr>
      <w:r>
        <w:rPr/>
        <w:t>В случае если ценная бумага имеет характеристики, относящиеся к разным кодам (например, бивалютные облигации с плавающей процентной ставкой), уполномоченный банк указывает любой из возможных кодов по своему усмотрению (в данном примере или ДОД, или ДОП).</w:t>
      </w:r>
    </w:p>
    <w:p>
      <w:pPr>
        <w:pStyle w:val="MainText"/>
        <w:rPr/>
      </w:pPr>
      <w:r>
        <w:rPr/>
        <w:t>III.6. В графе 5 указывается сокращенное наименование нерезидента-эмитента на английском языке или языке его официального наименования.</w:t>
      </w:r>
    </w:p>
    <w:p>
      <w:pPr>
        <w:pStyle w:val="MainText"/>
        <w:rPr/>
      </w:pPr>
      <w:r>
        <w:rPr/>
        <w:t>По депозитарным распискам указывается наименование нерезидента — эмитента акций (облигаций), лежащих в основе расписок, в соответствии с подпунктом II.2.4 пункта II.2 настоящего Порядка.</w:t>
      </w:r>
    </w:p>
    <w:p>
      <w:pPr>
        <w:pStyle w:val="MainText"/>
        <w:rPr/>
      </w:pPr>
      <w:r>
        <w:rPr/>
        <w:t>III.7. Если между уполномоченным банком и нерезидентом — эмитентом ценных бумаг существуют отношения прямого инвестирования, в графе 6 указывается “ДА”;</w:t>
      </w:r>
    </w:p>
    <w:p>
      <w:pPr>
        <w:pStyle w:val="MainText"/>
        <w:rPr/>
      </w:pPr>
      <w:r>
        <w:rPr/>
        <w:t>если между уполномоченным банком и нерезидентом — эмитентом данных ценных бумаг отсутствуют отношения прямого инвестирования, в графе 6 указывается “НЕТ”.</w:t>
      </w:r>
    </w:p>
    <w:p>
      <w:pPr>
        <w:pStyle w:val="MainText"/>
        <w:rPr/>
      </w:pPr>
      <w:r>
        <w:rPr/>
        <w:t>III.8. Для раздела 1 графа 7 не заполняется.</w:t>
      </w:r>
    </w:p>
    <w:p>
      <w:pPr>
        <w:pStyle w:val="MainText"/>
        <w:rPr/>
      </w:pPr>
      <w:r>
        <w:rPr/>
        <w:t>III.9. В графе 8 указывается двузначный буквенный код страны, резидентом которой является эмитент, в соответствии с Общероссийским классификатором стран мира (ОКСМ). Если эмитентом является международная организация, в графе указывается код “XX” в соответствии с подпунктом II.2.12 пункта II.2 настоящего Порядка.</w:t>
      </w:r>
    </w:p>
    <w:p>
      <w:pPr>
        <w:pStyle w:val="MainText"/>
        <w:rPr/>
      </w:pPr>
      <w:r>
        <w:rPr/>
        <w:t>III.10. В графе 9 указывается количество ценных бумаг в штуках. В случае если количество акций или иных ценных бумаг, обеспечивающих участие в капитале, является нецелым числом, данный показатель указывается с округлением до целого числа.</w:t>
      </w:r>
    </w:p>
    <w:p>
      <w:pPr>
        <w:pStyle w:val="MainText"/>
        <w:rPr/>
      </w:pPr>
      <w:r>
        <w:rPr/>
        <w:t>III.11. В графе 10 указывается цифровой код валюты, в которой выражен номинал ценной бумаги, согласно Общероссийскому классификатору валют (ОКВ). Номинал ценных бумаг, номинированных в валютах, имевших хождение до вступления стран — их эмитентов в Экономический и валютный союз (ЭВС), необходимо указывать в евро и по данной графе в качестве валюты выпуска указать код евро — 978.</w:t>
      </w:r>
    </w:p>
    <w:p>
      <w:pPr>
        <w:pStyle w:val="MainText"/>
        <w:rPr/>
      </w:pPr>
      <w:r>
        <w:rPr/>
        <w:t>III.12. В графе 11 указывается номинальная цена одной ценной бумаги в единицах валюты, указанной в графе 10, с четырьмя знаками после запятой.</w:t>
      </w:r>
    </w:p>
    <w:p>
      <w:pPr>
        <w:pStyle w:val="MainText"/>
        <w:rPr/>
      </w:pPr>
      <w:r>
        <w:rPr/>
        <w:t>III.13. В графе 12 указывается рыночная цена одной ценной бумаги в единицах валюты, указанной в графе 10, с четырьмя знаками после запятой.</w:t>
      </w:r>
    </w:p>
    <w:p>
      <w:pPr>
        <w:pStyle w:val="MainText"/>
        <w:rPr/>
      </w:pPr>
      <w:r>
        <w:rPr/>
        <w:t>III.14. В графе 13 указывается номинальная стоимость пакета ценных бумаг в единицах валюты, указанной в графе 10, с двумя знаками после запятой. Номинальная стоимость пакета ценных бумаг рассчитывается как произведение количества ценных бумаг (графа 9) и номинальной цены одной ценной бумаги (графа 11).</w:t>
      </w:r>
    </w:p>
    <w:p>
      <w:pPr>
        <w:pStyle w:val="MainText"/>
        <w:rPr/>
      </w:pPr>
      <w:r>
        <w:rPr/>
        <w:t>III.15. В графе 14 указывается рыночная стоимость пакета ценных бумаг в единицах валюты, указанной в графе 10, с двумя знаками после запятой. Рыночная стоимость пакета ценных бумаг рассчитывается как произведение количества ценных бумаг (графа 9) и рыночной цены одной ценной бумаги (графа 12).</w:t>
      </w:r>
    </w:p>
    <w:p>
      <w:pPr>
        <w:pStyle w:val="MainText"/>
        <w:rPr/>
      </w:pPr>
      <w:r>
        <w:rPr/>
        <w:t>III.16. В графе 15 указывается один из следующих кодов:</w:t>
      </w:r>
    </w:p>
    <w:p>
      <w:pPr>
        <w:pStyle w:val="MainText"/>
        <w:rPr/>
      </w:pPr>
      <w:r>
        <w:rPr/>
        <w:t>РЦ — на основе рыночных котировок;</w:t>
      </w:r>
    </w:p>
    <w:p>
      <w:pPr>
        <w:pStyle w:val="MainText"/>
        <w:rPr/>
      </w:pPr>
      <w:r>
        <w:rPr/>
        <w:t>СА — по доле пакета в стоимости чистых активов эмитента;</w:t>
      </w:r>
    </w:p>
    <w:p>
      <w:pPr>
        <w:pStyle w:val="MainText"/>
        <w:rPr/>
      </w:pPr>
      <w:r>
        <w:rPr/>
        <w:t>ДУ — на основе метода долевого участия;</w:t>
      </w:r>
    </w:p>
    <w:p>
      <w:pPr>
        <w:pStyle w:val="MainText"/>
        <w:rPr/>
      </w:pPr>
      <w:r>
        <w:rPr/>
        <w:t>СД — по стоимости, установленной органами управления эмитента;</w:t>
      </w:r>
    </w:p>
    <w:p>
      <w:pPr>
        <w:pStyle w:val="MainText"/>
        <w:rPr/>
      </w:pPr>
      <w:r>
        <w:rPr/>
        <w:t>ПЦ — по цене последней сделки с данной ценной бумагой (при условии, что со дня ее проведения и до отчетной даты не произошло существенных изменений экономических условий);</w:t>
      </w:r>
    </w:p>
    <w:p>
      <w:pPr>
        <w:pStyle w:val="MainText"/>
        <w:rPr/>
      </w:pPr>
      <w:r>
        <w:rPr/>
        <w:t>ТС — расчетная текущая стоимость;</w:t>
      </w:r>
    </w:p>
    <w:p>
      <w:pPr>
        <w:pStyle w:val="MainText"/>
        <w:rPr/>
      </w:pPr>
      <w:r>
        <w:rPr/>
        <w:t>АС — по стоимости аналогичных ценных бумаг.</w:t>
      </w:r>
    </w:p>
    <w:p>
      <w:pPr>
        <w:pStyle w:val="MainText"/>
        <w:rPr/>
      </w:pPr>
      <w:r>
        <w:rPr/>
        <w:t>III.17. В графе 16 указывается один из следующих кодов, соответствующий месту хранения ценных бумаг:</w:t>
      </w:r>
    </w:p>
    <w:p>
      <w:pPr>
        <w:pStyle w:val="MainText"/>
        <w:rPr/>
      </w:pPr>
      <w:r>
        <w:rPr/>
        <w:t>С — в собственном депозитарии;</w:t>
      </w:r>
    </w:p>
    <w:p>
      <w:pPr>
        <w:pStyle w:val="MainText"/>
        <w:rPr/>
      </w:pPr>
      <w:r>
        <w:rPr/>
        <w:t>Б — в депозитариях кредитных организаций;</w:t>
      </w:r>
    </w:p>
    <w:p>
      <w:pPr>
        <w:pStyle w:val="MainText"/>
        <w:rPr/>
      </w:pPr>
      <w:r>
        <w:rPr/>
        <w:t>Р — у других резидентов, кроме кредитных организаций;</w:t>
      </w:r>
    </w:p>
    <w:p>
      <w:pPr>
        <w:pStyle w:val="MainText"/>
        <w:rPr/>
      </w:pPr>
      <w:r>
        <w:rPr/>
        <w:t>Н — у нерезидентов.</w:t>
      </w:r>
    </w:p>
    <w:p>
      <w:pPr>
        <w:pStyle w:val="MainText"/>
        <w:rPr/>
      </w:pPr>
      <w:r>
        <w:rPr/>
        <w:t>III.18. В графе 17 указывается один из кодов, характеризующих состояние ценных бумаг, принадлежащих уполномоченному банку, а именно:</w:t>
      </w:r>
    </w:p>
    <w:p>
      <w:pPr>
        <w:pStyle w:val="MainText"/>
        <w:rPr/>
      </w:pPr>
      <w:r>
        <w:rPr/>
        <w:t>ЗБ — ценные бумаги, переданные по операциям на возвратной основе без прекращения признания ценных бумаг;</w:t>
      </w:r>
    </w:p>
    <w:p>
      <w:pPr>
        <w:pStyle w:val="MainText"/>
        <w:rPr/>
      </w:pPr>
      <w:r>
        <w:rPr/>
        <w:t>ДУ — ценные бумаги, переданные в доверительное управление;</w:t>
      </w:r>
    </w:p>
    <w:p>
      <w:pPr>
        <w:pStyle w:val="MainText"/>
        <w:rPr/>
      </w:pPr>
      <w:r>
        <w:rPr/>
        <w:t>НД — ценные бумаги, зарегистрированные в реестре через номинального держателя;</w:t>
      </w:r>
    </w:p>
    <w:p>
      <w:pPr>
        <w:pStyle w:val="MainText"/>
        <w:rPr/>
      </w:pPr>
      <w:r>
        <w:rPr/>
        <w:t>ОБ — ценные бумаги, обремененные обязательствами, а также находящиеся в пути, под арестом, на проверке, переоформлении;</w:t>
      </w:r>
    </w:p>
    <w:p>
      <w:pPr>
        <w:pStyle w:val="MainText"/>
        <w:rPr/>
      </w:pPr>
      <w:r>
        <w:rPr/>
        <w:t>ПН — просроченные долговые ценные бумаги, в том числе просроченные неопротестованные векселя;</w:t>
      </w:r>
    </w:p>
    <w:p>
      <w:pPr>
        <w:pStyle w:val="MainText"/>
        <w:rPr/>
      </w:pPr>
      <w:r>
        <w:rPr/>
        <w:t>ПО — просроченные опротестованные векселя и другие долговые ценные бумаги, по которым должник отказался выполнять обязательства по наступлении сроков платежа.</w:t>
      </w:r>
    </w:p>
    <w:p>
      <w:pPr>
        <w:pStyle w:val="MGlavaCenter"/>
        <w:rPr>
          <w:b w:val="false"/>
        </w:rPr>
      </w:pPr>
      <w:r>
        <w:rPr>
          <w:b w:val="false"/>
        </w:rPr>
        <w:t>Раздел IV. Порядок заполнения раздела 2 Отчета</w:t>
      </w:r>
    </w:p>
    <w:p>
      <w:pPr>
        <w:pStyle w:val="MainText"/>
        <w:rPr/>
      </w:pPr>
      <w:r>
        <w:rPr/>
        <w:t>IV.1. Общая характеристика раздела 2</w:t>
      </w:r>
    </w:p>
    <w:p>
      <w:pPr>
        <w:pStyle w:val="MainText"/>
        <w:rPr/>
      </w:pPr>
      <w:r>
        <w:rPr/>
        <w:t>В разделе 2 отражаются выпущенные нерезидентами ценные бумаги, принадлежащие резидентам, являющимся клиентами (депонентами) уполномоченного банка (кроме кредитных организаций), и находящиеся у него на хранении, учете, брокерском обслуживании, а также в доверительном управлении.</w:t>
      </w:r>
    </w:p>
    <w:p>
      <w:pPr>
        <w:pStyle w:val="MainText"/>
        <w:rPr/>
      </w:pPr>
      <w:r>
        <w:rPr/>
        <w:t>При отражении данных в графах 2, 5 и 8 Отчета следует использовать Реестр. Данные по прочим эмитентам и ценным бумагам, не указанным в Реестре, заполняются на основании имеющейся у уполномоченного банка информации.</w:t>
      </w:r>
    </w:p>
    <w:p>
      <w:pPr>
        <w:pStyle w:val="MainText"/>
        <w:rPr/>
      </w:pPr>
      <w:r>
        <w:rPr/>
        <w:t>IV.2. Порядок заполнения граф 1—5, 8—14 аналогичен порядку их заполнения в разделе 1.</w:t>
      </w:r>
    </w:p>
    <w:p>
      <w:pPr>
        <w:pStyle w:val="MainText"/>
        <w:rPr/>
      </w:pPr>
      <w:r>
        <w:rPr/>
        <w:t>IV.3. Графы 6, 15—17 для раздела 2 не заполняются.</w:t>
      </w:r>
    </w:p>
    <w:p>
      <w:pPr>
        <w:pStyle w:val="MainText"/>
        <w:rPr/>
      </w:pPr>
      <w:r>
        <w:rPr/>
        <w:t>IV.4. В графе 7 указывается один из следующих кодов:</w:t>
      </w:r>
    </w:p>
    <w:p>
      <w:pPr>
        <w:pStyle w:val="MainText"/>
        <w:rPr/>
      </w:pPr>
      <w:r>
        <w:rPr/>
        <w:t>ГУ — федеральные органы государственной власти, органы государственной власти субъектов Российской Федерации и органы местного самоуправления — резиденты;</w:t>
      </w:r>
    </w:p>
    <w:p>
      <w:pPr>
        <w:pStyle w:val="MainText"/>
        <w:rPr/>
      </w:pPr>
      <w:r>
        <w:rPr/>
        <w:t>ПУ — профессиональные участники рынка ценных бумаг — юридические лица (кроме кредитных организаций);</w:t>
      </w:r>
    </w:p>
    <w:p>
      <w:pPr>
        <w:pStyle w:val="MainText"/>
        <w:rPr/>
      </w:pPr>
      <w:r>
        <w:rPr/>
        <w:t>ФЛ — физические лица — резиденты;</w:t>
      </w:r>
    </w:p>
    <w:p>
      <w:pPr>
        <w:pStyle w:val="MainText"/>
        <w:rPr/>
      </w:pPr>
      <w:r>
        <w:rPr/>
        <w:t>ПР — прочие юридические лица — резиденты (кроме кредитных организаций).</w:t>
      </w:r>
    </w:p>
    <w:p>
      <w:pPr>
        <w:pStyle w:val="MGlavaCenter"/>
        <w:rPr>
          <w:b w:val="false"/>
        </w:rPr>
      </w:pPr>
      <w:r>
        <w:rPr/>
        <w:t>Раздел V. Перечень основных идентификационных кодировочных систем по ценным бумагам и национальных регистрационных организаций</w:t>
      </w:r>
    </w:p>
    <w:tbl>
      <w:tblPr>
        <w:tblW w:w="10989" w:type="dxa"/>
        <w:jc w:val="center"/>
        <w:tblInd w:w="0" w:type="dxa"/>
        <w:tblLayout w:type="fixed"/>
        <w:tblCellMar>
          <w:top w:w="0" w:type="dxa"/>
          <w:start w:w="28" w:type="dxa"/>
          <w:bottom w:w="0" w:type="dxa"/>
          <w:end w:w="28" w:type="dxa"/>
        </w:tblCellMar>
      </w:tblPr>
      <w:tblGrid>
        <w:gridCol w:w="959"/>
        <w:gridCol w:w="3827"/>
        <w:gridCol w:w="6203"/>
      </w:tblGrid>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Код системы</w:t>
            </w:r>
          </w:p>
        </w:tc>
        <w:tc>
          <w:tcPr>
            <w:tcW w:w="382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Страна (Агентство)</w:t>
            </w:r>
          </w:p>
        </w:tc>
        <w:tc>
          <w:tcPr>
            <w:tcW w:w="620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Название кодировочной системы или национальной регистрационной организации</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382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620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Association of National Numbering Agencies (ANNA)</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ISIN (International Security Identification Number)</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Cedel</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Cedel Code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03</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Euroclear</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Euroclear Code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04</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Euroclear/Cedel</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Common Code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05</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Австрия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WPК Nummer (Wertpapierkenn-Nummer)</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06</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Аргентина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Caja de Valjre S.A.</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07</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Бельгия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SVM Code (Secretariat des Valeurs Mobilieres)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08</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Болгария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Bulgarian National Bank</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09</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Бразилия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National Stock Exchange Association (Comissao Nacional de Bolsas de Valores)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Бразилия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Rio de Janeiro Stock Exchange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Бразилия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Sao Paulo Stock Exchange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Великобритания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SEDOL (Stock Exchange Daily Official List)</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Венгрия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Central Clearing House and Depository (Budapest) Ltd.</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Германия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WКN (Wertpapierkenn-Nummer)</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Гонконг</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Stock Exchange of Hong Кong Code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Израиль</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The Tel Aviv Stock Exchange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Индия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Securities and Exchange Board of India</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Иран</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Tehran Stock Exchange Services Company</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19</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Испания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CNMV Code (Comision Nacional del Mercado de Valores)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Италия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UIC (Ufficio Italiano dei Cambi)</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Италия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ABI Code (Codice Associazione Bancaria Italiana)</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Латвия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Latvian Central Depository</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Мексика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Mexican Stock Exchange Code (Clave de pizarra de la Bolsa Mexicana de Valores)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Нидерланды</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Clearingcode (Amsterdam Stock Exchange)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Норвегия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Modified ISIN (Verdipapirsentralen) (VPS)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Польша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National Depository for Securities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Румыния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The National Securities Clearing Settlement Depository</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Словакия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Stredisko Cennych Papierov, A.S.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29</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Словения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Central Securities Clearing Corporation</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США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CUSIP Number (for North American Securities)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США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CINS (CUSIP International Number System: for Non-North American Securities)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Турция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Takasbank</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33</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Украина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National Depository of Ukraine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34</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Финляндия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Finnish Central Securities Depository Ltd.</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35</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Франция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SICOVAM (Societe Interprofessionnelle pour la Compensation des Valeurs Mobilieres)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36</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Чешская Республика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Securities Commission</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37</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Швеция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VPC Number</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38</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Швейцария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VALOR (Valorennummer)</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39</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Эстония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Estonian Central Depository For Securities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40</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Южно-Африканская Республика (ЮАР)</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Clearing House Code (Johannesburg Stock Exchange)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41</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Югославия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The Federal Commission for Securities and Financial Market</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42</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Япония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SICC Code (Securities Identification Code Conference)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43</w:t>
            </w:r>
          </w:p>
        </w:tc>
        <w:tc>
          <w:tcPr>
            <w:tcW w:w="382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Япония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TSE Code (Tokyo Stock Exchange Code) (Toushou Code)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88</w:t>
            </w:r>
          </w:p>
        </w:tc>
        <w:tc>
          <w:tcPr>
            <w:tcW w:w="382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регистрационные организации</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99</w:t>
            </w:r>
          </w:p>
        </w:tc>
        <w:tc>
          <w:tcPr>
            <w:tcW w:w="382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Другие организации, не являющиеся регистрационными</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00</w:t>
            </w:r>
          </w:p>
        </w:tc>
        <w:tc>
          <w:tcPr>
            <w:tcW w:w="382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pPr>
            <w:r>
              <w:rPr/>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Внутренние коды банка</w:t>
            </w:r>
          </w:p>
        </w:tc>
      </w:tr>
    </w:tbl>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РАСЧЕТАХ ПО ОПЕРАЦИЯМ С ЦЕННЫМИ БУМАГАМИ, ДОЛЯМИ, ПАЯМИ И ВКЛАДАМИ В ИМУЩЕСТВЕ, </w:t>
        <w:br/>
        <w:t xml:space="preserve">СОВЕРШЕННЫХ МЕЖДУ РЕЗИДЕНТАМИ И НЕРЕЗИДЕНТАМИ </w:t>
        <w:br/>
        <w:t xml:space="preserve">за </w:t>
      </w:r>
      <w:r>
        <w:rPr/>
        <w:t>___________ (месяц) ______ 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0409405</w:t>
        <w:br/>
        <w:t>Месячная</w:t>
      </w:r>
    </w:p>
    <w:tbl>
      <w:tblPr>
        <w:tblW w:w="16250" w:type="dxa"/>
        <w:jc w:val="center"/>
        <w:tblInd w:w="0" w:type="dxa"/>
        <w:tblLayout w:type="fixed"/>
        <w:tblCellMar>
          <w:top w:w="0" w:type="dxa"/>
          <w:start w:w="28" w:type="dxa"/>
          <w:bottom w:w="0" w:type="dxa"/>
          <w:end w:w="28" w:type="dxa"/>
        </w:tblCellMar>
      </w:tblPr>
      <w:tblGrid>
        <w:gridCol w:w="533"/>
        <w:gridCol w:w="708"/>
        <w:gridCol w:w="790"/>
        <w:gridCol w:w="790"/>
        <w:gridCol w:w="790"/>
        <w:gridCol w:w="790"/>
        <w:gridCol w:w="790"/>
        <w:gridCol w:w="584"/>
        <w:gridCol w:w="852"/>
        <w:gridCol w:w="1133"/>
        <w:gridCol w:w="1001"/>
        <w:gridCol w:w="276"/>
        <w:gridCol w:w="994"/>
        <w:gridCol w:w="565"/>
        <w:gridCol w:w="992"/>
        <w:gridCol w:w="283"/>
        <w:gridCol w:w="1135"/>
        <w:gridCol w:w="811"/>
        <w:gridCol w:w="811"/>
        <w:gridCol w:w="811"/>
        <w:gridCol w:w="811"/>
      </w:tblGrid>
      <w:tr>
        <w:trPr>
          <w:cantSplit/>
        </w:trPr>
        <w:tc>
          <w:tcPr>
            <w:tcW w:w="533"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Номер</w:t>
            </w:r>
          </w:p>
        </w:tc>
        <w:tc>
          <w:tcPr>
            <w:tcW w:w="708"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Дата</w:t>
            </w:r>
          </w:p>
        </w:tc>
        <w:tc>
          <w:tcPr>
            <w:tcW w:w="790"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Код</w:t>
            </w:r>
          </w:p>
        </w:tc>
        <w:tc>
          <w:tcPr>
            <w:tcW w:w="8565" w:type="dxa"/>
            <w:gridSpan w:val="11"/>
            <w:tcBorders>
              <w:top w:val="single" w:sz="6" w:space="0" w:color="000000"/>
              <w:start w:val="single" w:sz="6" w:space="0" w:color="000000"/>
              <w:end w:val="single" w:sz="6" w:space="0" w:color="000000"/>
            </w:tcBorders>
          </w:tcPr>
          <w:p>
            <w:pPr>
              <w:pStyle w:val="MainText"/>
              <w:ind w:hanging="0" w:end="0"/>
              <w:jc w:val="center"/>
              <w:rPr>
                <w:sz w:val="12"/>
              </w:rPr>
            </w:pPr>
            <w:r>
              <w:rPr>
                <w:sz w:val="12"/>
              </w:rPr>
              <w:t>Параметры расчетов по операциям с ценными бумагами, долями, паями и вкладами в имуществе</w:t>
            </w:r>
          </w:p>
        </w:tc>
        <w:tc>
          <w:tcPr>
            <w:tcW w:w="4843"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Характеристика ценной бумаги, доли, пая, вклада в имуществе</w:t>
            </w:r>
          </w:p>
        </w:tc>
        <w:tc>
          <w:tcPr>
            <w:tcW w:w="811"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Примечание</w:t>
            </w:r>
          </w:p>
        </w:tc>
      </w:tr>
      <w:tr>
        <w:trPr>
          <w:cantSplit/>
        </w:trPr>
        <w:tc>
          <w:tcPr>
            <w:tcW w:w="533" w:type="dxa"/>
            <w:tcBorders>
              <w:start w:val="single" w:sz="6" w:space="0" w:color="000000"/>
              <w:end w:val="single" w:sz="6" w:space="0" w:color="000000"/>
            </w:tcBorders>
          </w:tcPr>
          <w:p>
            <w:pPr>
              <w:pStyle w:val="MainText"/>
              <w:ind w:hanging="0" w:end="0"/>
              <w:jc w:val="center"/>
              <w:rPr>
                <w:sz w:val="12"/>
              </w:rPr>
            </w:pPr>
            <w:r>
              <w:rPr>
                <w:sz w:val="12"/>
              </w:rPr>
              <w:t>строки</w:t>
            </w:r>
          </w:p>
        </w:tc>
        <w:tc>
          <w:tcPr>
            <w:tcW w:w="708" w:type="dxa"/>
            <w:tcBorders>
              <w:start w:val="single" w:sz="6" w:space="0" w:color="000000"/>
              <w:end w:val="single" w:sz="6" w:space="0" w:color="000000"/>
            </w:tcBorders>
          </w:tcPr>
          <w:p>
            <w:pPr>
              <w:pStyle w:val="MainText"/>
              <w:ind w:hanging="0" w:end="0"/>
              <w:jc w:val="center"/>
              <w:rPr>
                <w:sz w:val="12"/>
              </w:rPr>
            </w:pPr>
            <w:r>
              <w:rPr>
                <w:sz w:val="12"/>
              </w:rPr>
              <w:t>операции</w:t>
            </w:r>
          </w:p>
        </w:tc>
        <w:tc>
          <w:tcPr>
            <w:tcW w:w="790" w:type="dxa"/>
            <w:tcBorders>
              <w:start w:val="single" w:sz="6" w:space="0" w:color="000000"/>
              <w:end w:val="single" w:sz="6" w:space="0" w:color="000000"/>
            </w:tcBorders>
          </w:tcPr>
          <w:p>
            <w:pPr>
              <w:pStyle w:val="MainText"/>
              <w:ind w:hanging="0" w:end="0"/>
              <w:jc w:val="center"/>
              <w:rPr>
                <w:sz w:val="12"/>
              </w:rPr>
            </w:pPr>
            <w:r>
              <w:rPr>
                <w:sz w:val="12"/>
              </w:rPr>
              <w:t>инструмента</w:t>
            </w:r>
          </w:p>
        </w:tc>
        <w:tc>
          <w:tcPr>
            <w:tcW w:w="790"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код вида операции</w:t>
            </w:r>
          </w:p>
        </w:tc>
        <w:tc>
          <w:tcPr>
            <w:tcW w:w="790"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код направления платежа</w:t>
            </w:r>
          </w:p>
        </w:tc>
        <w:tc>
          <w:tcPr>
            <w:tcW w:w="790"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количество, штук (долей)</w:t>
            </w:r>
          </w:p>
        </w:tc>
        <w:tc>
          <w:tcPr>
            <w:tcW w:w="790"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код валюты платежа</w:t>
            </w:r>
          </w:p>
        </w:tc>
        <w:tc>
          <w:tcPr>
            <w:tcW w:w="143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сумма платежа по операции, валютных единиц</w:t>
            </w:r>
          </w:p>
        </w:tc>
        <w:tc>
          <w:tcPr>
            <w:tcW w:w="1133"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БИК (СВИФТ) банка, обслуживающего нерезидента</w:t>
            </w:r>
          </w:p>
        </w:tc>
        <w:tc>
          <w:tcPr>
            <w:tcW w:w="1277"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резидент</w:t>
            </w:r>
          </w:p>
        </w:tc>
        <w:tc>
          <w:tcPr>
            <w:tcW w:w="1559"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нерезидент</w:t>
            </w:r>
          </w:p>
        </w:tc>
        <w:tc>
          <w:tcPr>
            <w:tcW w:w="127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эмитент ценной бумаги (резидент (нерезидент), с долями, паями, вкладами в имуществе которых совершены операции)</w:t>
            </w:r>
          </w:p>
        </w:tc>
        <w:tc>
          <w:tcPr>
            <w:tcW w:w="1135"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регистрационный номер ценной бумаги</w:t>
            </w:r>
          </w:p>
        </w:tc>
        <w:tc>
          <w:tcPr>
            <w:tcW w:w="811"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дата регистрации выпуска ценной бумаги</w:t>
            </w:r>
          </w:p>
        </w:tc>
        <w:tc>
          <w:tcPr>
            <w:tcW w:w="811"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дата погашения ценной бумаги</w:t>
            </w:r>
          </w:p>
        </w:tc>
        <w:tc>
          <w:tcPr>
            <w:tcW w:w="811"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код валюты ценной бумаги</w:t>
            </w:r>
          </w:p>
        </w:tc>
        <w:tc>
          <w:tcPr>
            <w:tcW w:w="811" w:type="dxa"/>
            <w:tcBorders>
              <w:start w:val="single" w:sz="6" w:space="0" w:color="000000"/>
              <w:end w:val="single" w:sz="6" w:space="0" w:color="000000"/>
            </w:tcBorders>
          </w:tcPr>
          <w:p>
            <w:pPr>
              <w:pStyle w:val="MainText"/>
              <w:snapToGrid w:val="false"/>
              <w:ind w:hanging="0" w:end="0"/>
              <w:jc w:val="center"/>
              <w:rPr>
                <w:sz w:val="12"/>
              </w:rPr>
            </w:pPr>
            <w:r>
              <w:rPr>
                <w:sz w:val="12"/>
              </w:rPr>
            </w:r>
          </w:p>
        </w:tc>
      </w:tr>
      <w:tr>
        <w:trPr>
          <w:cantSplit/>
        </w:trPr>
        <w:tc>
          <w:tcPr>
            <w:tcW w:w="533"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rFonts w:cs="Arial"/>
                <w:sz w:val="12"/>
              </w:rPr>
            </w:r>
          </w:p>
        </w:tc>
        <w:tc>
          <w:tcPr>
            <w:tcW w:w="708"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0"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0"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0"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0"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790"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5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всего</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 том числе: выплаченные проценты (доходы)</w:t>
            </w:r>
          </w:p>
        </w:tc>
        <w:tc>
          <w:tcPr>
            <w:tcW w:w="1133"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10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наименование</w:t>
            </w:r>
          </w:p>
        </w:tc>
        <w:tc>
          <w:tcPr>
            <w:tcW w:w="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код</w:t>
            </w:r>
          </w:p>
        </w:tc>
        <w:tc>
          <w:tcPr>
            <w:tcW w:w="9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наименование</w:t>
            </w:r>
          </w:p>
        </w:tc>
        <w:tc>
          <w:tcPr>
            <w:tcW w:w="5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код страны</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наименование</w:t>
            </w:r>
          </w:p>
        </w:tc>
        <w:tc>
          <w:tcPr>
            <w:tcW w:w="28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код</w:t>
            </w:r>
          </w:p>
        </w:tc>
        <w:tc>
          <w:tcPr>
            <w:tcW w:w="1135"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1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1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1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11"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7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7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w:t>
            </w:r>
          </w:p>
        </w:tc>
        <w:tc>
          <w:tcPr>
            <w:tcW w:w="7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w:t>
            </w:r>
          </w:p>
        </w:tc>
        <w:tc>
          <w:tcPr>
            <w:tcW w:w="7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w:t>
            </w:r>
          </w:p>
        </w:tc>
        <w:tc>
          <w:tcPr>
            <w:tcW w:w="7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w:t>
            </w:r>
          </w:p>
        </w:tc>
        <w:tc>
          <w:tcPr>
            <w:tcW w:w="5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w:t>
            </w:r>
          </w:p>
        </w:tc>
        <w:tc>
          <w:tcPr>
            <w:tcW w:w="11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w:t>
            </w:r>
          </w:p>
        </w:tc>
        <w:tc>
          <w:tcPr>
            <w:tcW w:w="10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12</w:t>
            </w:r>
          </w:p>
        </w:tc>
        <w:tc>
          <w:tcPr>
            <w:tcW w:w="9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13</w:t>
            </w:r>
          </w:p>
        </w:tc>
        <w:tc>
          <w:tcPr>
            <w:tcW w:w="5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14</w:t>
            </w:r>
          </w:p>
        </w:tc>
        <w:tc>
          <w:tcPr>
            <w:tcW w:w="9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15</w:t>
            </w:r>
          </w:p>
        </w:tc>
        <w:tc>
          <w:tcPr>
            <w:tcW w:w="28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16</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17</w:t>
            </w:r>
          </w:p>
        </w:tc>
        <w:tc>
          <w:tcPr>
            <w:tcW w:w="8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18</w:t>
            </w:r>
          </w:p>
        </w:tc>
        <w:tc>
          <w:tcPr>
            <w:tcW w:w="8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19</w:t>
            </w:r>
          </w:p>
        </w:tc>
        <w:tc>
          <w:tcPr>
            <w:tcW w:w="8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20</w:t>
            </w:r>
          </w:p>
        </w:tc>
        <w:tc>
          <w:tcPr>
            <w:tcW w:w="8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21</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15717" w:type="dxa"/>
            <w:gridSpan w:val="20"/>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Раздел 1. Операции по выпуску ценных бумаг, покупке и продаже ценных бумаг, долей, паев, внесению вкладов в имущество на первичном и вторичном рынках, а также операции по договорам с обратной продажей (РЕПО)</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w:t>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15717" w:type="dxa"/>
            <w:gridSpan w:val="20"/>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Раздел 2. Операции по погашению основного долга (корпуса), выплатам дивидендов по акциям, процентов (купонов) по облигациям и иным ценным бумагам, выкупу долей, паев, выплаты распределенной части прибыли</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2.1</w:t>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w:t>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15717" w:type="dxa"/>
            <w:gridSpan w:val="20"/>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Раздел 3. Операции по погашению просроченной задолженности по основному долгу и процентам (купонам) по ценным бумагам (долям, паям, вкладам), включая проценты, начисленные на просроченную задолженность</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3.1</w:t>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w:t>
            </w:r>
          </w:p>
        </w:tc>
        <w:tc>
          <w:tcPr>
            <w:tcW w:w="7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79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5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00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5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99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28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8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color w:val="000000"/>
        </w:rPr>
        <w:t>Порядок составления и представления отчетности по форме 0409405 “Сведения о расчетах по операциям с ценными бумагами, долями, паями и вкладами в имуществе, совершенных между резидентами и нерезидентами”</w:t>
      </w:r>
    </w:p>
    <w:p>
      <w:pPr>
        <w:pStyle w:val="MGlavaCenter"/>
        <w:keepLines w:val="false"/>
        <w:spacing w:before="0" w:after="120"/>
        <w:rPr>
          <w:b w:val="false"/>
        </w:rPr>
      </w:pPr>
      <w:r>
        <w:rPr>
          <w:b w:val="false"/>
        </w:rPr>
        <w:t>Раздел I. Общие положения</w:t>
      </w:r>
    </w:p>
    <w:p>
      <w:pPr>
        <w:pStyle w:val="MainText"/>
        <w:rPr/>
      </w:pPr>
      <w:r>
        <w:rPr/>
        <w:t>I.1. Собираемая в рамках отчетности по форме 0409405 “Сведения о расчетах по операциям с ценными бумагами, долями, паями и вкладами в имуществе, совершенных между резидентами и нерезидентами” (далее — Отчет) информация используется для составления платежного баланса Российской Федерации.</w:t>
      </w:r>
    </w:p>
    <w:p>
      <w:pPr>
        <w:pStyle w:val="MainText"/>
        <w:rPr/>
      </w:pPr>
      <w:r>
        <w:rPr/>
        <w:t>I.2. Полученные сведения представляются в платежном балансе Российской Федерации в агрегированном виде.</w:t>
      </w:r>
    </w:p>
    <w:p>
      <w:pPr>
        <w:pStyle w:val="MainText"/>
        <w:rPr/>
      </w:pPr>
      <w:r>
        <w:rPr/>
        <w:t>I.3. Отчет представляется уполномоченными банками. Источником информации для составления Отчета являются расчетные и прочие документы по операциям отчитывающегося уполномоченного банка (далее — Банк) и его клиентов. В случае возникновения затруднений при заполнении отдельных показателей Отчета рекомендуется использовать дополнительные источники, имеющиеся в распоряжении Банка, или обращаться к клиентам за дополнительными разъяснениями.</w:t>
      </w:r>
    </w:p>
    <w:p>
      <w:pPr>
        <w:pStyle w:val="MainText"/>
        <w:rPr/>
      </w:pPr>
      <w:r>
        <w:rPr/>
        <w:t>I.4. Понятия “резидент” и “нерезидент”, “внутренние и внешние ценные бумаги” (далее — ценные бумаги) используются для составления Отчета в соответствии с валютным законодательством Российской Федерации. Отделения, дочерние общества и организации резидентов, находящиеся на территориях иностранных государств и имеющие статус юридического лица иностранного государства, а также структуры Союзного государства Российской Федерации и Республики Беларусь отражаются в Отчете в качестве нерезидентов. Понятие “выгодоприобретатель” используется для составления Отчета в соответствии с Положением Банка России от 19 августа 2004 года № 262-П “Об идентификации кредитными организациями клиентов и выгодоприобретателей в целях противодействия легализации (отмыванию) доходов, полученных преступным путем, и финансированию терроризма”, зарегистрированным Министерством юстиции Российской Федерации 6 сентября 2004 года № 6005, 11 октября 2006 года № 8374 (“Вестник Банка России” от 10 сентября 2004 года № 54, от 18 октября 2006 года № 56).</w:t>
      </w:r>
    </w:p>
    <w:p>
      <w:pPr>
        <w:pStyle w:val="MainText"/>
        <w:rPr/>
      </w:pPr>
      <w:r>
        <w:rPr/>
        <w:t>I.5. Понятия “долговые ценные бумаги”, “участие в капитале”, “срок погашения”, “проценты”, “доходы от участия в капитале”, “начисленные доходы”, “начисленные расходы”, “просроченная задолженность” используются в Отчете в значениях, указанных в Порядке составления и представления отчетности по форме 0409401 “Отчет уполномоченного банка об иностранных операциях”.</w:t>
      </w:r>
    </w:p>
    <w:p>
      <w:pPr>
        <w:pStyle w:val="MainText"/>
        <w:rPr/>
      </w:pPr>
      <w:r>
        <w:rPr/>
        <w:t>Для целей Отчета под долями, паями, вкладами в имуществе понимаются доли, паи, вклады в имуществе, уставном, складочном капитале, паевом фонде кооператива, созданных или создаваемых юридических лиц, включая вклады по договору простого товарищества, образованного с целью извлечения прибыли, переводы по договору об инвестиционной деятельности в строительстве между инвесторами или между инвесторами и заказчиком (далее — договор об инвестиционной деятельности), а также переводы безвозмездной финансовой помощи учредителями (участниками), в том числе вклады учредителей и целевые взносы вкладчиков, являющихся стороной пенсионного договора, для осуществления уставной деятельности негосударственного пенсионного фонда, а также между юридическими лицами (кроме некоммерческих, государственных и муниципальных организаций, органов государственной власти).</w:t>
      </w:r>
    </w:p>
    <w:p>
      <w:pPr>
        <w:pStyle w:val="MainText"/>
        <w:rPr/>
      </w:pPr>
      <w:r>
        <w:rPr/>
        <w:t>I.6. В Отчете отражаются:</w:t>
      </w:r>
    </w:p>
    <w:p>
      <w:pPr>
        <w:pStyle w:val="MainText"/>
        <w:rPr/>
      </w:pPr>
      <w:r>
        <w:rPr/>
        <w:t>собственные операции Банка с нерезидентами, включая операции с ценными бумагами (долями, паями), выпущенными Банком (кроме выплат Банка по погашению основного долга, купонов, дивидендов по собственным ценным бумагам, осуществляемым через платежных агентов (номинальных держателей), являющихся кредитными организациями — резидентами);</w:t>
      </w:r>
    </w:p>
    <w:p>
      <w:pPr>
        <w:pStyle w:val="MainText"/>
        <w:rPr/>
      </w:pPr>
      <w:r>
        <w:rPr/>
        <w:t>операции, совершенные Банком во исполнение заключенных с клиентами (резидентами и нерезидентами) брокерских, агентских договоров, договоров доверительного управления, если один из контрагентов (выгодоприобретателей) являлся резидентом, а другой — нерезидентом. Для целей Отчета такие операции отражаются как операции клиентов, в интересах которых выступает Банк;</w:t>
      </w:r>
    </w:p>
    <w:p>
      <w:pPr>
        <w:pStyle w:val="MainText"/>
        <w:rPr/>
      </w:pPr>
      <w:r>
        <w:rPr/>
        <w:t>операции Банка в качестве платежного агента при осуществлении выплат (погашение основного долга, процентов (купонов), выплата дивидендов) по ценным бумагам российских эмитентов непосредственно на счета держателей (владельцев) — нерезидентов, а также по ценным бумагам иностранных эмитентов — на счета держателей (владельцев) — резидентов;</w:t>
      </w:r>
    </w:p>
    <w:p>
      <w:pPr>
        <w:pStyle w:val="MainText"/>
        <w:rPr/>
      </w:pPr>
      <w:r>
        <w:rPr/>
        <w:t>операции Банка в качестве номинального держателя ценных бумаг, если один из контрагентов (выгодоприобретателей) являлся резидентом, а другой — нерезидентом. При отражении выплат (погашение основного долга, процентов (купонов), выплата дивидендов) по ценным бумагам российских или иностранных эмитентов, поступивших на счета Банка — номинального держателя в пользу их владельцев, для целей Отчета в качестве плательщика указывается эмитент, а получателем указывается владелец ценных бумаг;</w:t>
      </w:r>
    </w:p>
    <w:p>
      <w:pPr>
        <w:pStyle w:val="MainText"/>
        <w:rPr/>
      </w:pPr>
      <w:r>
        <w:rPr/>
        <w:t>операции депозитария Банка по перечислению депонентам (кроме уполномоченных банков) сумм погашения ценных бумаг, доходов по ценным бумагам, дивидендов по акциям, если один из контрагентов (выгодоприобретателей) являлся резидентом, а другой — нерезидентом. Для целей Отчета в качестве получателя средств указывается депонент Банка, а плательщиком указывается эмитент;</w:t>
      </w:r>
    </w:p>
    <w:p>
      <w:pPr>
        <w:pStyle w:val="MainText"/>
        <w:rPr/>
      </w:pPr>
      <w:r>
        <w:rPr/>
        <w:t>клиентские операции резидентов (кроме уполномоченных банков) с нерезидентами, в том числе с обслуживающими их нерезидентами-брокерами (агентами, поверенными, доверительными управляющими) (далее — брокеры-нерезиденты), а также операции резидентов-брокеров (агентов, доверительных управляющих, номинальных держателей) (далее — брокеры-резиденты), не являющихся кредитными организациями и выступающих как от своего имени и за свой счет, так и в интересах своих клиентов-резидентов, с нерезидентами;</w:t>
      </w:r>
    </w:p>
    <w:p>
      <w:pPr>
        <w:pStyle w:val="MainText"/>
        <w:rPr/>
      </w:pPr>
      <w:r>
        <w:rPr/>
        <w:t>операции брокеров-резидентов, не являющихся кредитными организациями, совершенные ими с резидентами в интересах своих клиентов-нерезидентов, если один из контрагентов (выгодоприобретателей) являлся резидентом, а другой — нерезидентом. Для целей Отчета в качестве получателя (плательщика) средств указывается не брокер, а его клиент-нерезидент;</w:t>
      </w:r>
    </w:p>
    <w:p>
      <w:pPr>
        <w:pStyle w:val="MainText"/>
        <w:rPr/>
      </w:pPr>
      <w:r>
        <w:rPr/>
        <w:t>операции брокеров-резидентов (кроме уполномоченных банков) со своими клиентами-нерезидентами.</w:t>
      </w:r>
    </w:p>
    <w:p>
      <w:pPr>
        <w:pStyle w:val="MainText"/>
        <w:rPr/>
      </w:pPr>
      <w:r>
        <w:rPr/>
        <w:t>I.7. В Отчете отражаются расчеты между резидентами и нерезидентами по следующим видам операций с ценными бумагами (включая ценные бумаги, выпущенные Банком), а также следующие операции с долями, паями, вкладами в имуществе:</w:t>
      </w:r>
    </w:p>
    <w:p>
      <w:pPr>
        <w:pStyle w:val="MainText"/>
        <w:rPr/>
      </w:pPr>
      <w:r>
        <w:rPr/>
        <w:t>выпуск, покупка и продажа ценных бумаг, долей, паев в имуществе на первичном и вторичном рынках, включая покупку (продажу) ценных бумаг при исполнении срочных контрактов, а также операции выбытия-приобретения по договору мены или взаимозачета, связанные как с движением денежных средств (осуществляется зачисление на счет (списание со счета), так и без движения денежных средств;</w:t>
      </w:r>
    </w:p>
    <w:p>
      <w:pPr>
        <w:pStyle w:val="MainText"/>
        <w:rPr/>
      </w:pPr>
      <w:r>
        <w:rPr/>
        <w:t>увеличение уставного, складочного капитала общества, паевого фонда кооператива, общего имущества простого товарищества;</w:t>
      </w:r>
    </w:p>
    <w:p>
      <w:pPr>
        <w:pStyle w:val="MainText"/>
        <w:rPr/>
      </w:pPr>
      <w:r>
        <w:rPr/>
        <w:t>операции с ценными бумагами на возвратной основе. Для целей Отчета под операциями на возвратной основе понимаются операции по приобретению (передаче) прав собственности на ценные бумаги, совершаемые на условиях срочности, возвратности и платности. Разновидностями таких операций могут являться операции займа ценных бумаг или сделки РЕПО;</w:t>
      </w:r>
    </w:p>
    <w:p>
      <w:pPr>
        <w:pStyle w:val="MainText"/>
        <w:rPr/>
      </w:pPr>
      <w:r>
        <w:rPr/>
        <w:t>погашение долговых ценных бумаг, в том числе посредством выпуска новых ценных бумаг;</w:t>
      </w:r>
    </w:p>
    <w:p>
      <w:pPr>
        <w:pStyle w:val="MainText"/>
        <w:rPr/>
      </w:pPr>
      <w:r>
        <w:rPr/>
        <w:t>выкуп акций эмитентом;</w:t>
      </w:r>
    </w:p>
    <w:p>
      <w:pPr>
        <w:pStyle w:val="MainText"/>
        <w:rPr/>
      </w:pPr>
      <w:r>
        <w:rPr/>
        <w:t>внесение вкладов в имущество созданного и вновь создаваемого юридического лица (резидента или нерезидента), а также вкладов по договорам простого товарищества и об инвестиционной деятельности;</w:t>
      </w:r>
    </w:p>
    <w:p>
      <w:pPr>
        <w:pStyle w:val="MainText"/>
        <w:rPr/>
      </w:pPr>
      <w:r>
        <w:rPr/>
        <w:t>переводы безвозмездной финансовой помощи учредителями (участниками), а также между юридическими лицами (кроме некоммерческих, государственных и муниципальных организаций, органов государственной власти);</w:t>
      </w:r>
    </w:p>
    <w:p>
      <w:pPr>
        <w:pStyle w:val="MainText"/>
        <w:rPr/>
      </w:pPr>
      <w:r>
        <w:rPr/>
        <w:t>выплаты распределяемой части прибыли участникам общества, кооператива, по договорам простого товарищества и об инвестиционной деятельности;</w:t>
      </w:r>
    </w:p>
    <w:p>
      <w:pPr>
        <w:pStyle w:val="MainText"/>
        <w:rPr/>
      </w:pPr>
      <w:r>
        <w:rPr/>
        <w:t>выплаты участникам при уменьшении уставного, складочного капитала общества, паевого фонда кооператива, общего имущества простого товарищества, а также при ликвидации общества, кооператива, товарищества;</w:t>
      </w:r>
    </w:p>
    <w:p>
      <w:pPr>
        <w:pStyle w:val="MainText"/>
        <w:rPr/>
      </w:pPr>
      <w:r>
        <w:rPr/>
        <w:t>выплата дивидендов по акциям, процентов (купонов) по облигациям и иным ценным бумагам;</w:t>
      </w:r>
    </w:p>
    <w:p>
      <w:pPr>
        <w:pStyle w:val="MainText"/>
        <w:rPr/>
      </w:pPr>
      <w:r>
        <w:rPr/>
        <w:t>погашение просроченной задолженности по основному долгу и процентам (купонам) по ценным бумагам, а также выплаты процентов, начисленных на просроченную задолженность по основному долгу и процентам;</w:t>
      </w:r>
    </w:p>
    <w:p>
      <w:pPr>
        <w:pStyle w:val="MainText"/>
        <w:rPr/>
      </w:pPr>
      <w:r>
        <w:rPr/>
        <w:t>поступления денежных средств от нерезидентов на счет брокера-резидента (кроме кредитных организаций) для инвестирования в ценные бумаги (доли, паи), пополнения счета; переводы средств по неисполненным договорам, свободного остатка денежных средств со счета брокера-резидента (кроме кредитных организаций) в пользу нерезидента;</w:t>
      </w:r>
    </w:p>
    <w:p>
      <w:pPr>
        <w:pStyle w:val="MainText"/>
        <w:rPr/>
      </w:pPr>
      <w:r>
        <w:rPr/>
        <w:t>переводы денежных средств клиентами-резидентами в пользу обслуживающих их брокеров-нерезидентов для инвестирования в ценные бумаги (доли, паи), пополнения счета; поступления денежных средств по неисполненным договорам, свободного остатка денежных средств от брокера-нерезидента в пользу резидента.</w:t>
      </w:r>
    </w:p>
    <w:p>
      <w:pPr>
        <w:pStyle w:val="MainText"/>
        <w:rPr/>
      </w:pPr>
      <w:r>
        <w:rPr/>
        <w:t>I.8. Не подлежат отражению в Отчете:</w:t>
      </w:r>
    </w:p>
    <w:p>
      <w:pPr>
        <w:pStyle w:val="MainText"/>
        <w:rPr/>
      </w:pPr>
      <w:r>
        <w:rPr/>
        <w:t>операции, в которых оба контрагента (выгодоприобретателя) являются резидентами или оба контрагента (выгодоприобретателя) являются нерезидентами;</w:t>
      </w:r>
    </w:p>
    <w:p>
      <w:pPr>
        <w:pStyle w:val="MainText"/>
        <w:rPr/>
      </w:pPr>
      <w:r>
        <w:rPr/>
        <w:t>операции с облигациями федерального займа (ОФЗ) Минфина России;</w:t>
      </w:r>
    </w:p>
    <w:p>
      <w:pPr>
        <w:pStyle w:val="MainText"/>
        <w:rPr/>
      </w:pPr>
      <w:r>
        <w:rPr/>
        <w:t>производные финансовые инструменты. Для целей Отчета под производными финансовыми инструментами понимаются финансовые инструменты, базисным активом которых являются другие конкретные инструменты, показатели или товары и с помощью которых на финансовых рынках может осуществляться торговля конкретными финансовыми рисками, независимо от базисного актива. К числу производных финансовых инструментов для целей Отчета относятся опционы (валютные, процентные, товарные и тому подобное), обращающиеся финансовые фьючерсы, варранты и такие инструменты, как соглашения о валютных или процентных свопах;</w:t>
      </w:r>
    </w:p>
    <w:p>
      <w:pPr>
        <w:pStyle w:val="MainText"/>
        <w:rPr/>
      </w:pPr>
      <w:r>
        <w:rPr/>
        <w:t>затраты, связанные с приобретением и реализацией ценных бумаг (долей, паев) (расходы по оплате услуг специализированных организаций и иных лиц за консультационные, информационные и регистрационные услуги; вознаграждения, уплачиваемые посредникам, а также организациям, обеспечивающим заключение и исполнение сделок), возмещаемые отдельными платежами;</w:t>
      </w:r>
    </w:p>
    <w:p>
      <w:pPr>
        <w:pStyle w:val="MainText"/>
        <w:rPr/>
      </w:pPr>
      <w:r>
        <w:rPr/>
        <w:t>уплата налогов;</w:t>
      </w:r>
    </w:p>
    <w:p>
      <w:pPr>
        <w:pStyle w:val="MainText"/>
        <w:rPr/>
      </w:pPr>
      <w:r>
        <w:rPr/>
        <w:t>операции физических лиц — нерезидентов (физических лиц — резидентов) при осуществлении ими паевых взносов в жилищно-строительный кооператив, являющийся резидентом (нерезидентом), с целью приобретения права собственности на жилое помещение;</w:t>
      </w:r>
    </w:p>
    <w:p>
      <w:pPr>
        <w:pStyle w:val="MainText"/>
        <w:rPr/>
      </w:pPr>
      <w:r>
        <w:rPr/>
        <w:t>переводы (поступления) денежных средств на реализацию благотворительных программ, а также в виде грантов, предоставляемых на осуществление конкретных программ в области образования, искусства, культуры, охраны окружающей среды, проведение научных исследований.</w:t>
      </w:r>
    </w:p>
    <w:p>
      <w:pPr>
        <w:pStyle w:val="MGlavaCenter"/>
        <w:rPr>
          <w:b w:val="false"/>
        </w:rPr>
      </w:pPr>
      <w:r>
        <w:rPr>
          <w:b w:val="false"/>
        </w:rPr>
        <w:t>Раздел II. Порядок представления Отчета</w:t>
      </w:r>
    </w:p>
    <w:p>
      <w:pPr>
        <w:pStyle w:val="MainText"/>
        <w:rPr/>
      </w:pPr>
      <w:r>
        <w:rPr/>
        <w:t>II.1. Уполномоченный банк представляет Отчет в электронном виде в территориальное учреждение Банка России на месячной основе не позднее 17-го рабочего дня месяца, следующего за отчетным. Представляемые сведения должны включать данные по филиалам уполномоченного банка, включая филиалы, находящиеся на территории иностранных государств и не являющиеся самостоятельными юридическими лицами.</w:t>
      </w:r>
    </w:p>
    <w:p>
      <w:pPr>
        <w:pStyle w:val="MainText"/>
        <w:rPr/>
      </w:pPr>
      <w:r>
        <w:rPr/>
        <w:t>Филиалы уполномоченного банка, а также подчиненные территориальному банку филиалы (отделения) крупной кредитной организации с широкой сетью подразделений, территориально расположенные отдельно от головного офиса уполномоченного банка (территориального банка), одновременно с представлением Отчета в головной офис уполномоченного банка представляют Отчет в территориальные учреждения Банка России, осуществляющие надзор за их деятельностью.</w:t>
      </w:r>
    </w:p>
    <w:p>
      <w:pPr>
        <w:pStyle w:val="MainText"/>
        <w:rPr/>
      </w:pPr>
      <w:r>
        <w:rPr/>
        <w:t>II.2. Порядок внесения изменений в Отчеты за предыдущие периоды.</w:t>
      </w:r>
    </w:p>
    <w:p>
      <w:pPr>
        <w:pStyle w:val="MainText"/>
        <w:rPr/>
      </w:pPr>
      <w:r>
        <w:rPr/>
        <w:t>В случае полного или частичного возврата суммы по сделке, например, в случае ненадлежащего исполнения или неисполнения контрагентом обязательств по сделке, а также в случае возврата излишне или ошибочно переведенных сумм по операциям с ценными бумагами, включенных Банком в Отчеты за предыдущие периоды (в пределах последних 12 месяцев), корректировку следует производить путем повторного отражения в Отчете за текущий период соответствующей (корректируемой) операции. При этом необходимо указать все первоначальные реквизиты данной операции (несовпадение допускается только по таким показателям, как “количество ценных бумаг”, “код валюты платежа”, “сумма платежа по операции”, “БИК (СВИФТ) банка, обслуживающего нерезидента”), а сумму возврата указать со знаком “минус”. Данные операции отражаются в Отчетах тех Банков, которые (клиенты которых) осуществляли первоначальные расчеты. Если возврат денежных средств по сделке осуществлялся через Банк, не проводивший первоначальные расчеты, такой перевод отражается в Отчете как обычная операция, но в графе 21 дается соответствующее пояснение. Сведения о возврате платежей (поступлении денежных средств), осуществленных до введения Отчета, в Отчет не включаются. Если на момент представления Отчета поступила информация о возврате всех (части) денежных средств, выплаченных (поступивших) в отчетном периоде, при совпадении данных по всем показателям, кроме показателей граф 8, 9, а также показателя графы 10 и связанного с ним примечания в графе 21, допускается сальдирование указанных операций.</w:t>
      </w:r>
    </w:p>
    <w:p>
      <w:pPr>
        <w:pStyle w:val="MainText"/>
        <w:rPr/>
      </w:pPr>
      <w:r>
        <w:rPr/>
        <w:t>В случае выявления фактов представления недостоверных данных (в пределах последних 12 месяцев) исправление производится посредством повторного представления Отчета, содержащего исправленные значения показателей.</w:t>
      </w:r>
    </w:p>
    <w:p>
      <w:pPr>
        <w:pStyle w:val="MainText"/>
        <w:rPr/>
      </w:pPr>
      <w:r>
        <w:rPr/>
        <w:t>II.3. Для получения информации по вопросам составления и представления Отчета следует обращаться в Банк России по телефону (495) 771-41-84 (факс (495) 771-44-60), e-mail: soa2@cbr.ru.</w:t>
      </w:r>
    </w:p>
    <w:p>
      <w:pPr>
        <w:pStyle w:val="MGlavaCenter"/>
        <w:rPr>
          <w:b w:val="false"/>
        </w:rPr>
      </w:pPr>
      <w:r>
        <w:rPr>
          <w:b w:val="false"/>
        </w:rPr>
        <w:t>Раздел III. Порядок составления Отчета</w:t>
      </w:r>
    </w:p>
    <w:p>
      <w:pPr>
        <w:pStyle w:val="MainText"/>
        <w:rPr/>
      </w:pPr>
      <w:r>
        <w:rPr/>
        <w:t>III.1. Отчет состоит из 3 разделов.</w:t>
      </w:r>
    </w:p>
    <w:p>
      <w:pPr>
        <w:pStyle w:val="MainText"/>
        <w:rPr/>
      </w:pPr>
      <w:r>
        <w:rPr/>
        <w:t>В разделе 1 отражаются:</w:t>
      </w:r>
    </w:p>
    <w:p>
      <w:pPr>
        <w:pStyle w:val="MainText"/>
        <w:rPr/>
      </w:pPr>
      <w:r>
        <w:rPr/>
        <w:t>выпуск ценных бумаг, покупка (продажа) ценных бумаг, долей, паев в имуществе на первичном и вторичном рынках, включая покупку (продажу) ценных бумаг при исполнении срочных контрактов, внесение денежных средств в уставный капитал, а также операции выбытия-приобретения по договору мены или взаимозачета, связанные как с движением денежных средств (происходит зачисление на счет (списание со счета), так и без движения денежных средств;</w:t>
      </w:r>
    </w:p>
    <w:p>
      <w:pPr>
        <w:pStyle w:val="MainText"/>
        <w:rPr/>
      </w:pPr>
      <w:r>
        <w:rPr/>
        <w:t>увеличение уставного, складочного капитала общества, паевого фонда кооператива, общего имущества простого товарищества;</w:t>
      </w:r>
    </w:p>
    <w:p>
      <w:pPr>
        <w:pStyle w:val="MainText"/>
        <w:rPr/>
      </w:pPr>
      <w:r>
        <w:rPr/>
        <w:t>операции на возвратной основе;</w:t>
      </w:r>
    </w:p>
    <w:p>
      <w:pPr>
        <w:pStyle w:val="MainText"/>
        <w:rPr/>
      </w:pPr>
      <w:r>
        <w:rPr/>
        <w:t>внесение вкладов в имущество, операции по договорам простого товарищества и об инвестиционной деятельности;</w:t>
      </w:r>
    </w:p>
    <w:p>
      <w:pPr>
        <w:pStyle w:val="MainText"/>
        <w:rPr/>
      </w:pPr>
      <w:r>
        <w:rPr/>
        <w:t>переводы безвозмездной финансовой помощи учредителями (участниками), в том числе вкладов учредителей и целевых взносов вкладчиков, являющихся стороной пенсионного договора, предназначенных для обеспечения уставной деятельности негосударственного пенсионного фонда, а также между юридическими лицами (кроме некоммерческих, государственных и муниципальных организаций, органов государственной власти);</w:t>
      </w:r>
    </w:p>
    <w:p>
      <w:pPr>
        <w:pStyle w:val="MainText"/>
        <w:rPr/>
      </w:pPr>
      <w:r>
        <w:rPr/>
        <w:t>переводы денежных средств для инвестирования, пополнения счета, а также переводы средств по неисполненным договорам, свободного остатка денежных средств.</w:t>
      </w:r>
    </w:p>
    <w:p>
      <w:pPr>
        <w:pStyle w:val="MainText"/>
        <w:rPr/>
      </w:pPr>
      <w:r>
        <w:rPr/>
        <w:t>В разделе 2 отражаются:</w:t>
      </w:r>
    </w:p>
    <w:p>
      <w:pPr>
        <w:pStyle w:val="MainText"/>
        <w:rPr/>
      </w:pPr>
      <w:r>
        <w:rPr/>
        <w:t>погашение долговых ценных бумаг, в том числе посредством выпуска новых ценных бумаг;</w:t>
      </w:r>
    </w:p>
    <w:p>
      <w:pPr>
        <w:pStyle w:val="MainText"/>
        <w:rPr/>
      </w:pPr>
      <w:r>
        <w:rPr/>
        <w:t>выплаты распределяемой части прибыли участникам общества, кооператива, по договору простого товарищества;</w:t>
      </w:r>
    </w:p>
    <w:p>
      <w:pPr>
        <w:pStyle w:val="MainText"/>
        <w:rPr/>
      </w:pPr>
      <w:r>
        <w:rPr/>
        <w:t>выплаты участникам общества, кооператива, товарищества при уменьшении уставного, складочного капитала общества, паевого фонда кооператива, общего имущества простого товарищества, а также при ликвидации (общества, кооператива, товарищества);</w:t>
      </w:r>
    </w:p>
    <w:p>
      <w:pPr>
        <w:pStyle w:val="MainText"/>
        <w:rPr/>
      </w:pPr>
      <w:r>
        <w:rPr/>
        <w:t>выплата дивидендов по акциям, процентов (купонов) по облигациям и иным ценным бумагам;</w:t>
      </w:r>
    </w:p>
    <w:p>
      <w:pPr>
        <w:pStyle w:val="MainText"/>
        <w:rPr/>
      </w:pPr>
      <w:r>
        <w:rPr/>
        <w:t>выкуп акций эмитентом, приобретение обществом долей, паев в своем уставном капитале.</w:t>
      </w:r>
    </w:p>
    <w:p>
      <w:pPr>
        <w:pStyle w:val="MainText"/>
        <w:rPr/>
      </w:pPr>
      <w:r>
        <w:rPr/>
        <w:t>В разделе 3 отражаются операции по погашению просроченной задолженности по основному долгу и процентам (купонам) по ценным бумагам (долям, паям, вкладам), а также выплаты процентов, начисленных на просроченную задолженность по основному долгу и процентам.</w:t>
      </w:r>
    </w:p>
    <w:p>
      <w:pPr>
        <w:pStyle w:val="MainText"/>
        <w:rPr/>
      </w:pPr>
      <w:r>
        <w:rPr/>
        <w:t>III.2. В графе 2 для собственных операций Банка, отражаемых в разделе 1 Отчета, указывается дата перехода прав собственности на ценную бумагу, определяемая в соответствии с законодательством Российской Федерации о рынке ценных бумаг. Для сумм невыясненного назначения, которые в момент поступления не могли быть проведены по соответствующим счетам по принадлежности, указывается дата фактического зачисления средств на счет получателя.</w:t>
      </w:r>
    </w:p>
    <w:p>
      <w:pPr>
        <w:pStyle w:val="MainText"/>
        <w:rPr/>
      </w:pPr>
      <w:r>
        <w:rPr/>
        <w:t>Для всех остальных операций, отражаемых в Отчете, указывается дата зачисления (списания) денежных средств на корреспондентский счет Банка. Если расчеты осуществляются между клиентами Банка или одного брокера-резидента, указывается дата списания (зачисления) средств со счета (на счет) клиента-резидента.</w:t>
      </w:r>
    </w:p>
    <w:p>
      <w:pPr>
        <w:pStyle w:val="MainText"/>
        <w:rPr/>
      </w:pPr>
      <w:r>
        <w:rPr/>
        <w:t>III.3. В графе 3 указывается один из следующих кодов:</w:t>
      </w:r>
    </w:p>
    <w:p>
      <w:pPr>
        <w:pStyle w:val="MainText"/>
        <w:rPr/>
      </w:pPr>
      <w:r>
        <w:rPr/>
        <w:t>BON1 — облигации федеральных органов исполнительной власти и облигации Банка России;</w:t>
      </w:r>
    </w:p>
    <w:p>
      <w:pPr>
        <w:pStyle w:val="MainText"/>
        <w:rPr/>
      </w:pPr>
      <w:r>
        <w:rPr/>
        <w:t>BON2 — облигации органов исполнительной власти субъектов Российской Федерации и муниципальных образований;</w:t>
      </w:r>
    </w:p>
    <w:p>
      <w:pPr>
        <w:pStyle w:val="MainText"/>
        <w:rPr/>
      </w:pPr>
      <w:r>
        <w:rPr/>
        <w:t>BON3 — облигации кредитных организаций — резидентов;</w:t>
      </w:r>
    </w:p>
    <w:p>
      <w:pPr>
        <w:pStyle w:val="MainText"/>
        <w:rPr/>
      </w:pPr>
      <w:r>
        <w:rPr/>
        <w:t>BON4 — облигации прочих резидентов;</w:t>
      </w:r>
    </w:p>
    <w:p>
      <w:pPr>
        <w:pStyle w:val="MainText"/>
        <w:rPr/>
      </w:pPr>
      <w:r>
        <w:rPr/>
        <w:t>BON5 — облигации иностранных государств и облигации иностранных центральных (национальных) банков;</w:t>
      </w:r>
    </w:p>
    <w:p>
      <w:pPr>
        <w:pStyle w:val="MainText"/>
        <w:rPr/>
      </w:pPr>
      <w:r>
        <w:rPr/>
        <w:t>BON6 — облигации банков-нерезидентов;</w:t>
      </w:r>
    </w:p>
    <w:p>
      <w:pPr>
        <w:pStyle w:val="MainText"/>
        <w:rPr/>
      </w:pPr>
      <w:r>
        <w:rPr/>
        <w:t>BON7 — облигации прочих нерезидентов;</w:t>
      </w:r>
    </w:p>
    <w:p>
      <w:pPr>
        <w:pStyle w:val="MainText"/>
        <w:rPr/>
      </w:pPr>
      <w:r>
        <w:rPr/>
        <w:t>SHS1 — акции кредитных организаций — резидентов (обыкновенные). Используется для операций с обыкновенными акциями кредитных организаций — резидентов, а также в случаях, когда тип акции неизвестен;</w:t>
      </w:r>
    </w:p>
    <w:p>
      <w:pPr>
        <w:pStyle w:val="MainText"/>
        <w:rPr/>
      </w:pPr>
      <w:r>
        <w:rPr/>
        <w:t>SHS2 — акции кредитных организаций — резидентов (привилегированные);</w:t>
      </w:r>
    </w:p>
    <w:p>
      <w:pPr>
        <w:pStyle w:val="MainText"/>
        <w:rPr/>
      </w:pPr>
      <w:r>
        <w:rPr/>
        <w:t>SHS3 — акции прочих резидентов (обыкновенные). Используется для операций с обыкновенными акциями прочих резидентов, а также в случаях когда тип акции неизвестен;</w:t>
      </w:r>
    </w:p>
    <w:p>
      <w:pPr>
        <w:pStyle w:val="MainText"/>
        <w:rPr/>
      </w:pPr>
      <w:r>
        <w:rPr/>
        <w:t>SHS4 — акции прочих резидентов (привилегированные);</w:t>
      </w:r>
    </w:p>
    <w:p>
      <w:pPr>
        <w:pStyle w:val="MainText"/>
        <w:rPr/>
      </w:pPr>
      <w:r>
        <w:rPr/>
        <w:t>SHS5 — акции банков-нерезидентов. Используется для операций с обыкновенными акциями банков-нерезидентов, а также в случаях когда тип акции неизвестен;</w:t>
      </w:r>
    </w:p>
    <w:p>
      <w:pPr>
        <w:pStyle w:val="MainText"/>
        <w:rPr/>
      </w:pPr>
      <w:r>
        <w:rPr/>
        <w:t>SHS6 — акции прочих нерезидентов. Используется для операций с обыкновенными акциями прочих нерезидентов, а также в случаях когда тип акции неизвестен;</w:t>
      </w:r>
    </w:p>
    <w:p>
      <w:pPr>
        <w:pStyle w:val="MainText"/>
        <w:rPr/>
      </w:pPr>
      <w:r>
        <w:rPr/>
        <w:t>SHS7 — паи, доли паевых и взаимных инвестиционных фондов — нерезидентов;</w:t>
      </w:r>
    </w:p>
    <w:p>
      <w:pPr>
        <w:pStyle w:val="MainText"/>
        <w:rPr/>
      </w:pPr>
      <w:r>
        <w:rPr/>
        <w:t>SHS8 — паи, доли инвестиционных фондов — резидентов;</w:t>
      </w:r>
    </w:p>
    <w:p>
      <w:pPr>
        <w:pStyle w:val="MainText"/>
        <w:rPr/>
      </w:pPr>
      <w:r>
        <w:rPr/>
        <w:t>SHS9 — акции банков-нерезидентов (привилегированные);</w:t>
      </w:r>
    </w:p>
    <w:p>
      <w:pPr>
        <w:pStyle w:val="MainText"/>
        <w:rPr/>
      </w:pPr>
      <w:r>
        <w:rPr/>
        <w:t>SHS10 — акции прочих нерезидентов (привилегированные);</w:t>
      </w:r>
    </w:p>
    <w:p>
      <w:pPr>
        <w:pStyle w:val="MainText"/>
        <w:rPr/>
      </w:pPr>
      <w:r>
        <w:rPr/>
        <w:t>BIL1 — векселя федеральных органов исполнительной власти;</w:t>
      </w:r>
    </w:p>
    <w:p>
      <w:pPr>
        <w:pStyle w:val="MainText"/>
        <w:rPr/>
      </w:pPr>
      <w:r>
        <w:rPr/>
        <w:t>BIL2 — векселя органов исполнительной власти субъектов Российской Федерации и муниципальных образований;</w:t>
      </w:r>
    </w:p>
    <w:p>
      <w:pPr>
        <w:pStyle w:val="MainText"/>
        <w:rPr/>
      </w:pPr>
      <w:r>
        <w:rPr/>
        <w:t>BIL3 — векселя кредитных организаций — резидентов;</w:t>
      </w:r>
    </w:p>
    <w:p>
      <w:pPr>
        <w:pStyle w:val="MainText"/>
        <w:rPr/>
      </w:pPr>
      <w:r>
        <w:rPr/>
        <w:t>BIL4 — векселя прочих резидентов;</w:t>
      </w:r>
    </w:p>
    <w:p>
      <w:pPr>
        <w:pStyle w:val="MainText"/>
        <w:rPr/>
      </w:pPr>
      <w:r>
        <w:rPr/>
        <w:t>BIL5 — векселя иностранного государства;</w:t>
      </w:r>
    </w:p>
    <w:p>
      <w:pPr>
        <w:pStyle w:val="MainText"/>
        <w:rPr/>
      </w:pPr>
      <w:r>
        <w:rPr/>
        <w:t>BIL6 — векселя банков-нерезидентов;</w:t>
      </w:r>
    </w:p>
    <w:p>
      <w:pPr>
        <w:pStyle w:val="MainText"/>
        <w:rPr/>
      </w:pPr>
      <w:r>
        <w:rPr/>
        <w:t>BIL7 — векселя прочих нерезидентов;</w:t>
      </w:r>
    </w:p>
    <w:p>
      <w:pPr>
        <w:pStyle w:val="MainText"/>
        <w:rPr/>
      </w:pPr>
      <w:r>
        <w:rPr/>
        <w:t>DR1 — депозитарные расписки</w:t>
      </w:r>
      <w:r>
        <w:rPr>
          <w:vertAlign w:val="superscript"/>
        </w:rPr>
        <w:t>1</w:t>
      </w:r>
      <w:r>
        <w:rPr/>
        <w:t>, выпущенные на ценные бумаги российских эмитентов;</w:t>
      </w:r>
    </w:p>
    <w:p>
      <w:pPr>
        <w:pStyle w:val="MainText"/>
        <w:rPr/>
      </w:pPr>
      <w:r>
        <w:rPr/>
        <w:t>DR2 — депозитарные расписки</w:t>
      </w:r>
      <w:r>
        <w:rPr>
          <w:vertAlign w:val="superscript"/>
        </w:rPr>
        <w:t>1</w:t>
      </w:r>
      <w:r>
        <w:rPr/>
        <w:t>, выпущенные на ценные бумаги иностранных эмитентов;</w:t>
      </w:r>
    </w:p>
    <w:p>
      <w:pPr>
        <w:pStyle w:val="MainText"/>
        <w:rPr/>
      </w:pPr>
      <w:r>
        <w:rPr/>
        <w:t>DS1 — депозитные и сберегательные сертификаты кредитных организаций — резидентов;</w:t>
      </w:r>
    </w:p>
    <w:p>
      <w:pPr>
        <w:pStyle w:val="MainText"/>
        <w:rPr/>
      </w:pPr>
      <w:r>
        <w:rPr/>
        <w:t>DS2 — депозитные и сберегательные сертификаты банков-нерезидентов;</w:t>
      </w:r>
    </w:p>
    <w:p>
      <w:pPr>
        <w:pStyle w:val="MainText"/>
        <w:rPr/>
      </w:pPr>
      <w:r>
        <w:rPr/>
        <w:t>DOL1 — вклады, доли, паи в уставном, складочном капитале, паевом фонде кооператива, созданных или создаваемых юридических лиц — резидентов (кроме кредитных организаций);</w:t>
      </w:r>
    </w:p>
    <w:p>
      <w:pPr>
        <w:pStyle w:val="MainText"/>
        <w:rPr/>
      </w:pPr>
      <w:r>
        <w:rPr/>
        <w:t>DOL2 — вклады, доли, паи в уставном, складочном капитале, паевом фонде кооператива, созданных и вновь создаваемых юридических лиц — нерезидентов;</w:t>
      </w:r>
    </w:p>
    <w:p>
      <w:pPr>
        <w:pStyle w:val="MainText"/>
        <w:rPr/>
      </w:pPr>
      <w:r>
        <w:rPr/>
        <w:t>DOL3 — для операций по договору простого товарищества;</w:t>
      </w:r>
    </w:p>
    <w:p>
      <w:pPr>
        <w:pStyle w:val="MainText"/>
        <w:rPr/>
      </w:pPr>
      <w:r>
        <w:rPr/>
        <w:t>DOL4 — для операций по внесению целевых денежных вкладов в имущество (не включая вклады в уставный, складочный капитал общества, паевой фонд кооператива), переводов безвозмездной финансовой помощи учредителями (участниками), в том числе вкладов учредителей и целевых взносов вкладчиков, являющихся стороной пенсионного договора, предназначенных для обеспечения уставной деятельности негосударственного пенсионного фонда, а также между юридическими лицами (кроме некоммерческих, государственных и муниципальных организаций, органов государственной власти);</w:t>
      </w:r>
    </w:p>
    <w:p>
      <w:pPr>
        <w:pStyle w:val="MainText"/>
        <w:rPr/>
      </w:pPr>
      <w:r>
        <w:rPr/>
        <w:t>DOL5 — для операций по договору об инвестиционной деятельности (кроме операций физических лиц с целью приобретения права собственности на жилое помещение);</w:t>
      </w:r>
    </w:p>
    <w:p>
      <w:pPr>
        <w:pStyle w:val="MainText"/>
        <w:rPr/>
      </w:pPr>
      <w:r>
        <w:rPr/>
        <w:t>DOL6 — доли в уставном капитале кредитных организаций — резидентов;</w:t>
      </w:r>
    </w:p>
    <w:p>
      <w:pPr>
        <w:pStyle w:val="MainText"/>
        <w:rPr/>
      </w:pPr>
      <w:r>
        <w:rPr/>
        <w:t>OTH1 — другие виды ценных бумаг, кроме указанных в настоящем пункте;</w:t>
      </w:r>
    </w:p>
    <w:p>
      <w:pPr>
        <w:pStyle w:val="MainText"/>
        <w:rPr/>
      </w:pPr>
      <w:r>
        <w:rPr/>
        <w:t>ОТН2 — для операций с ценными бумагами (паями, долями в имуществе), имеющими разные типы (коды), расчеты за которые осуществлялись одной суммой и выделить платежи для каждого типа (кода) ценной бумаги (пая, доли в имуществе) невозможно. Код ОТН2 используется также при отсутствии признаков, позволяющих идентифицировать тип (код) ценной бумаги (пая, доли в имуществе);</w:t>
      </w:r>
    </w:p>
    <w:p>
      <w:pPr>
        <w:pStyle w:val="MainText"/>
        <w:rPr/>
      </w:pPr>
      <w:r>
        <w:rPr/>
        <w:t>ОТН3 — для операций брокеров-резидентов (кроме уполномоченных банков-брокеров) со своими клиентами-нерезидентами (поступления денежных средств для инвестирования в ценные бумаги, пополнения счета; переводы средств по неисполненным договорам, свободного остатка денежных средств);</w:t>
      </w:r>
    </w:p>
    <w:p>
      <w:pPr>
        <w:pStyle w:val="MainText"/>
        <w:rPr/>
      </w:pPr>
      <w:r>
        <w:rPr/>
        <w:t>ОТН4 — для операций клиентов-резидентов (кроме уполномоченных банков) со своими брокерами-нерезидентами (переводы денежных средств для инвестирования в ценные бумаги, пополнения счета; поступления денежных средств по неисполненным договорам, свободного остатка денежных средств).</w:t>
      </w:r>
    </w:p>
    <w:p>
      <w:pPr>
        <w:pStyle w:val="MainText"/>
        <w:rPr/>
      </w:pPr>
      <w:r>
        <w:rPr/>
        <w:t>III.4. В графе 4 указывается один из следующих кодов:</w:t>
      </w:r>
    </w:p>
    <w:p>
      <w:pPr>
        <w:pStyle w:val="MainText"/>
        <w:rPr/>
      </w:pPr>
      <w:r>
        <w:rPr/>
        <w:t>11 — для всех операций, отражаемых в разделе 1 Отчета, кроме операций, отражаемых с кодами 12, 13, 14, 21, 22, 23;</w:t>
      </w:r>
    </w:p>
    <w:p>
      <w:pPr>
        <w:pStyle w:val="MainText"/>
        <w:rPr/>
      </w:pPr>
      <w:r>
        <w:rPr/>
        <w:t>12 — покупка (продажа) ценных бумаг по первой части сделок на возвратной основе;</w:t>
      </w:r>
    </w:p>
    <w:p>
      <w:pPr>
        <w:pStyle w:val="MainText"/>
        <w:rPr/>
      </w:pPr>
      <w:r>
        <w:rPr/>
        <w:t>13 — покупка (продажа) ценных бумаг по второй части сделок на возвратной основе;</w:t>
      </w:r>
    </w:p>
    <w:p>
      <w:pPr>
        <w:pStyle w:val="MainText"/>
        <w:rPr/>
      </w:pPr>
      <w:r>
        <w:rPr/>
        <w:t>14 — списание (зачисление) маржи по сделкам на возвратной основе;</w:t>
      </w:r>
    </w:p>
    <w:p>
      <w:pPr>
        <w:pStyle w:val="MainText"/>
        <w:rPr/>
      </w:pPr>
      <w:r>
        <w:rPr/>
        <w:t>21 — для операций выбытия-приобретения ценных бумаг (долей, паев) по договору мены или взаимозачета, связанных с движением денежных средств (происходит зачисление на счет (списание со счета), в случаях:</w:t>
      </w:r>
    </w:p>
    <w:p>
      <w:pPr>
        <w:pStyle w:val="MainText"/>
        <w:rPr/>
      </w:pPr>
      <w:r>
        <w:rPr/>
        <w:t>оплаты одних ценных бумаг (долей, паев) другими ценными бумагами (долями, паями);</w:t>
      </w:r>
    </w:p>
    <w:p>
      <w:pPr>
        <w:pStyle w:val="MainText"/>
        <w:rPr/>
      </w:pPr>
      <w:r>
        <w:rPr/>
        <w:t>погашения долговых ценных бумаг посредством выпуска новых ценных бумаг;</w:t>
      </w:r>
    </w:p>
    <w:p>
      <w:pPr>
        <w:pStyle w:val="MainText"/>
        <w:rPr/>
      </w:pPr>
      <w:r>
        <w:rPr/>
        <w:t>мены или взаимозачета одного типа ценных бумаг (долей, паев), выпущенных одним эмитентом (резидентом или нерезидентом);</w:t>
      </w:r>
    </w:p>
    <w:p>
      <w:pPr>
        <w:pStyle w:val="MainText"/>
        <w:rPr/>
      </w:pPr>
      <w:r>
        <w:rPr/>
        <w:t>мены или взаимозачета одного типа ценных бумаг (долей, паев), выпущенных разными эмитентами (резидентами или нерезидентами);</w:t>
      </w:r>
    </w:p>
    <w:p>
      <w:pPr>
        <w:pStyle w:val="MainText"/>
        <w:rPr/>
      </w:pPr>
      <w:r>
        <w:rPr/>
        <w:t>мены или взаимозачета разных типов ценных бумаг (долей, паев), выпущенных одним или разными эмитентами резидентами или нерезидентами);</w:t>
      </w:r>
    </w:p>
    <w:p>
      <w:pPr>
        <w:pStyle w:val="MainText"/>
        <w:rPr/>
      </w:pPr>
      <w:r>
        <w:rPr/>
        <w:t>22 — для операций выбытия-приобретения ценных бумаг (долей, паев) по договору мены или взаимозачета без движения денежных средств в случаях:</w:t>
      </w:r>
    </w:p>
    <w:p>
      <w:pPr>
        <w:pStyle w:val="MainText"/>
        <w:rPr/>
      </w:pPr>
      <w:r>
        <w:rPr/>
        <w:t>оплаты одних ценных бумаг (долей, паев) другими ценными бумагами (долями, паями);</w:t>
      </w:r>
    </w:p>
    <w:p>
      <w:pPr>
        <w:pStyle w:val="MainText"/>
        <w:rPr/>
      </w:pPr>
      <w:r>
        <w:rPr/>
        <w:t>погашения долговых ценных бумаг посредством выпуска новых ценных бумаг;</w:t>
      </w:r>
    </w:p>
    <w:p>
      <w:pPr>
        <w:pStyle w:val="MainText"/>
        <w:rPr/>
      </w:pPr>
      <w:r>
        <w:rPr/>
        <w:t>мены или взаимозачета одного типа ценных бумаг (долей, паев), выпущенных одним эмитентом (резидентом или нерезидентом);</w:t>
      </w:r>
    </w:p>
    <w:p>
      <w:pPr>
        <w:pStyle w:val="MainText"/>
        <w:rPr/>
      </w:pPr>
      <w:r>
        <w:rPr/>
        <w:t>мены или взаимозачета одного типа ценных бумаг (долей, паев), выпущенных разными эмитентами (резидентами или нерезидентами);</w:t>
      </w:r>
    </w:p>
    <w:p>
      <w:pPr>
        <w:pStyle w:val="MainText"/>
        <w:rPr/>
      </w:pPr>
      <w:r>
        <w:rPr/>
        <w:t>мены или взаимозачета разных типов ценных бумаг (долей, паев), выпущенных одним или разными эмитентами (резидентами или нерезидентами).</w:t>
      </w:r>
    </w:p>
    <w:p>
      <w:pPr>
        <w:pStyle w:val="MainText"/>
        <w:rPr/>
      </w:pPr>
      <w:r>
        <w:rPr/>
        <w:t>Данные операции отражаются в Отчете как две операции — выбытие одних ценных бумаг (долей, паев) и приобретение других ценных бумаг (долей, паев);</w:t>
      </w:r>
    </w:p>
    <w:p>
      <w:pPr>
        <w:pStyle w:val="MainText"/>
        <w:rPr/>
      </w:pPr>
      <w:r>
        <w:rPr/>
        <w:t>23 — погашение кредита ценными бумагами;</w:t>
      </w:r>
    </w:p>
    <w:p>
      <w:pPr>
        <w:pStyle w:val="MainText"/>
        <w:rPr/>
      </w:pPr>
      <w:r>
        <w:rPr/>
        <w:t>99 — для всех операций, отражаемых в разделе 2 и 3 Отчета, кроме операций с кодами 21, 22.</w:t>
      </w:r>
    </w:p>
    <w:p>
      <w:pPr>
        <w:pStyle w:val="MainText"/>
        <w:rPr/>
      </w:pPr>
      <w:r>
        <w:rPr/>
        <w:t>III.5. В графе 5 указывается соответствующий код направления платежа.</w:t>
      </w:r>
    </w:p>
    <w:p>
      <w:pPr>
        <w:pStyle w:val="MainText"/>
        <w:rPr/>
      </w:pPr>
      <w:r>
        <w:rPr/>
        <w:t>С кодом “INR” в Отчете отражаются:</w:t>
      </w:r>
    </w:p>
    <w:p>
      <w:pPr>
        <w:pStyle w:val="MainText"/>
        <w:rPr/>
      </w:pPr>
      <w:r>
        <w:rPr/>
        <w:t>поступления от нерезидентов (включая нерезидентов, являющихся клиентами Банка), а также со счетов брокеров-резидентов, действующих в интересах своих клиентов-нерезидентов (кроме уполномоченных банков-брокеров), в том числе по сделкам на возвратной основе, средств по собственным операциям Банка. Для целей Отчета в качестве контрагента указывается не брокер, а его клиент-нерезидент;</w:t>
      </w:r>
    </w:p>
    <w:p>
      <w:pPr>
        <w:pStyle w:val="MainText"/>
        <w:rPr/>
      </w:pPr>
      <w:r>
        <w:rPr/>
        <w:t>поступления от нерезидентов (включая нерезидентов, являющихся клиентами Банка), а также со счетов брокеров-резидентов, действующих в интересах своих клиентов-нерезидентов (кроме уполномоченных банков-брокеров), в том числе по сделкам на возвратной основе, средств в пользу резидентов, являющихся клиентами Банка по брокерским, агентским договорам, договорам доверительного управления. Для целей Отчета в качестве получателя средств указывается клиент-резидент, а в качестве контрагента указывается не брокер, а его клиент-нерезидент;</w:t>
      </w:r>
    </w:p>
    <w:p>
      <w:pPr>
        <w:pStyle w:val="MainText"/>
        <w:rPr/>
      </w:pPr>
      <w:r>
        <w:rPr/>
        <w:t>поступления на клиентские счета резидентов (кроме уполномоченных банков) денежных средств от нерезидентов (включая нерезидентов, являющихся клиентами Банка), за исключением поступлений денежных средств со счетов брокеров-резидентов, действующих в интересах своих клиентов-нерезидентов;</w:t>
      </w:r>
    </w:p>
    <w:p>
      <w:pPr>
        <w:pStyle w:val="MainText"/>
        <w:rPr/>
      </w:pPr>
      <w:r>
        <w:rPr/>
        <w:t>поступления денежных средств на счета резидентов по операциям с кодами ОТН3 и ОТН4, указанными в графе 3 Отчета.</w:t>
      </w:r>
    </w:p>
    <w:p>
      <w:pPr>
        <w:pStyle w:val="MainText"/>
        <w:rPr/>
      </w:pPr>
      <w:r>
        <w:rPr/>
        <w:t>С кодом “OUTR” в Отчете отражаются:</w:t>
      </w:r>
    </w:p>
    <w:p>
      <w:pPr>
        <w:pStyle w:val="MainText"/>
        <w:rPr/>
      </w:pPr>
      <w:r>
        <w:rPr/>
        <w:t>платежи в пользу нерезидентов (включая нерезидентов, являющихся клиентами Банка), а также на счета брокеров-резидентов, действующих в интересах своих клиентов-нерезидентов (кроме уполномоченных банков-брокеров), в том числе по сделкам на возвратной основе, по собственным операциям Банка. Для целей Отчета в качестве контрагента указывается не брокер, а его клиент-нерезидент;</w:t>
      </w:r>
    </w:p>
    <w:p>
      <w:pPr>
        <w:pStyle w:val="MainText"/>
        <w:rPr/>
      </w:pPr>
      <w:r>
        <w:rPr/>
        <w:t>платежи в пользу нерезидентов (включая нерезидентов, являющихся клиентами Банка), а также на счета брокеров-резидентов, действующих в интересах своих клиентов-нерезидентов (кроме уполномоченных банков-брокеров), по операциям, совершенным Банком в интересах своих клиентов-резидентов по брокерским, агентским договорам, договорам доверительного управления, в том числе по сделкам на возвратной основе. Для целей Отчета в качестве плательщика средств указывается клиент — резидент Банка, а в качестве контрагента указывается не брокер, а его клиент-нерезидент;</w:t>
      </w:r>
    </w:p>
    <w:p>
      <w:pPr>
        <w:pStyle w:val="MainText"/>
        <w:rPr/>
      </w:pPr>
      <w:r>
        <w:rPr/>
        <w:t>платежи в пользу нерезидентов (включая нерезидентов, являющихся клиентами Банка), осуществленные клиентами-резидентами (кроме уполномоченных банков) по операциям с нерезидентами, в том числе по сделкам на возвратной основе, за исключением платежей на счета брокеров-резидентов, действующих в интересах своих клиентов-нерезидентов;</w:t>
      </w:r>
    </w:p>
    <w:p>
      <w:pPr>
        <w:pStyle w:val="MainText"/>
        <w:rPr/>
      </w:pPr>
      <w:r>
        <w:rPr/>
        <w:t>переводы клиентов-резидентов в пользу нерезидентов по операциям с кодами ОТН3 и ОТН4, указанными в графе 3 Отчета.</w:t>
      </w:r>
    </w:p>
    <w:p>
      <w:pPr>
        <w:pStyle w:val="MainText"/>
        <w:rPr/>
      </w:pPr>
      <w:r>
        <w:rPr/>
        <w:t>С кодом “OUTN” в Отчете отражаются:</w:t>
      </w:r>
    </w:p>
    <w:p>
      <w:pPr>
        <w:pStyle w:val="MainText"/>
        <w:rPr/>
      </w:pPr>
      <w:r>
        <w:rPr/>
        <w:t>платежи Банка в пользу резидентов (включая кредитные организации, выступающие как от своего имени и за свой счет, так и в интересах своих клиентов-резидентов по брокерским, агентским договорам, договорам доверительного управления) за приобретенные в пользу нерезидентов — клиентов Банка по брокерским, агентским договорам, договорам доверительного управления ценные бумаги (доли, паи), в том числе по сделкам на возвратной основе. Для целей Отчета в качестве плательщика указывается клиент-нерезидент (депонент-нерезидент) Банка;</w:t>
      </w:r>
    </w:p>
    <w:p>
      <w:pPr>
        <w:pStyle w:val="MainText"/>
        <w:rPr/>
      </w:pPr>
      <w:r>
        <w:rPr/>
        <w:t>платежи клиентов-брокеров (резидентов), не являющихся кредитными организациями, в пользу резидентов (кроме уполномоченных банков, выступающих как от своего имени и за свой счет, так и в интересах своих клиентов-резидентов по брокерским, агентским договорам, договорам доверительного управления) за ценные бумаги (доли, паи), приобретенные брокерами в интересах своих клиентов-нерезидентов, в том числе по сделкам на возвратной основе.</w:t>
      </w:r>
    </w:p>
    <w:p>
      <w:pPr>
        <w:pStyle w:val="MainText"/>
        <w:rPr/>
      </w:pPr>
      <w:r>
        <w:rPr/>
        <w:t>С кодом “INN” в Отчете отражаются:</w:t>
      </w:r>
    </w:p>
    <w:p>
      <w:pPr>
        <w:pStyle w:val="MainText"/>
        <w:rPr/>
      </w:pPr>
      <w:r>
        <w:rPr/>
        <w:t>поступления от резидентов (включая кредитные организации, выступающие как от своего имени и за свой счет, так и в интересах своих клиентов-резидентов по брокерским, агентским договорам, договорам доверительного управления) в пользу нерезидентов, являющихся клиентами Банка по брокерским, агентским договорам, договорам доверительного управления, денежных средств от реализации ценных бумаг (долей, паев), включая сделки на возвратной основе, а также сумм от погашения ценных бумаг, процентных (купонных) доходов по ценным бумагам (долям, паям), дивидендов по акциям, в том числе поступления денежных средств, полученные Банком в качестве номинального держателя, платежного агента или полученные депозитарием Банка. Для целей Отчета в качестве получателя средств указывается нерезидент-клиент (депонент) Банка;</w:t>
      </w:r>
    </w:p>
    <w:p>
      <w:pPr>
        <w:pStyle w:val="MainText"/>
        <w:rPr/>
      </w:pPr>
      <w:r>
        <w:rPr/>
        <w:t>поступления от резидентов (кроме уполномоченных банков, выступающих как от своего имени и за свой счет, так и в интересах своих клиентов-резидентов по брокерским, агентским договорам, договорам доверительного управления) на счета клиентов-брокеров (резидентов) денежных средств в пользу их клиентов-нерезидентов от реализации ценных бумаг (долей, паев), в том числе по сделкам на возвратной основе, а также сумм от погашения ценных бумаг, процентных (купонных) доходов по ценным бумагам (долям, паям), дивидендов по акциям.</w:t>
      </w:r>
    </w:p>
    <w:p>
      <w:pPr>
        <w:pStyle w:val="MainText"/>
        <w:rPr/>
      </w:pPr>
      <w:r>
        <w:rPr/>
        <w:t>Платежи и поступления денежных средств включаются в Отчет независимо от способа их осуществления, в частности, включаются расчеты, осуществленные на счета (со счетов) “НОСТРО”, “ЛОРО” Банка (в том числе транзитные операции через другие банки-резиденты), аккредитивные счета, а также расчеты чеками или путем внесения денежных средств в кассу Банка.</w:t>
      </w:r>
    </w:p>
    <w:p>
      <w:pPr>
        <w:pStyle w:val="MainText"/>
        <w:rPr/>
      </w:pPr>
      <w:r>
        <w:rPr/>
        <w:t>Расчеты между резидентом и нерезидентом, являющимися клиентами одного Банка (одного брокера-резидента) по брокерским (агентским) договорам, а также между Банком (брокером-резидентом) и его клиентом-нерезидентом по брокерскому (агентскому) договору отражаются в Отчете только с позиции резидента — участника операции и с кодами OUTR или INR.</w:t>
      </w:r>
    </w:p>
    <w:p>
      <w:pPr>
        <w:pStyle w:val="MainText"/>
        <w:rPr/>
      </w:pPr>
      <w:r>
        <w:rPr/>
        <w:t>III.6. В графе 6 количество ценных бумаг указывается в штуках. Количество дробных акций (паев, долей) указывается с точностью до четвертого знака после запятой (точки). Для операций с пакетом ценных бумаг (долей, паев) в случае отсутствия данных в разбивке по ценным бумагам (долям, паям) в графе 6 указывается их общее количество. Операции по договору мены или взаимозачета (неттинга), связанных как с движением денежных средств (осуществляется зачисление на счет (списание со счета), так и без движения денежных средств, отражаются в Отчете как две операции — выбытие одних ценных бумаг (долей, паев) и приобретение других ценных бумаг (долей, паев). Вклады, доли, паи в имуществе, выраженные в процентах, отражаются в данной графе в виде десятичного числа, например, если доля нерезидента в имуществе общества составляет 45 процентов, то в графе 6 указывается 0,45. Для операций с кодами DOL3, DOL4, DOL5, ОТН3, ОТН4, указанными в графе 3, графа 6 не заполняется.</w:t>
      </w:r>
    </w:p>
    <w:p>
      <w:pPr>
        <w:pStyle w:val="MainText"/>
        <w:rPr/>
      </w:pPr>
      <w:r>
        <w:rPr/>
        <w:t>III.7. В графе 7 указывается цифровой код валюты корреспондентского счета Банка в соответствии с Общероссийским классификатором валют (ОКВ) и Классификатором валют по межправительственным соглашениям, используемых в банковской системе Российской Федерации (Классификатор клиринговых валют), а для операций, отражаемых с кодом вида операции 22 или 23, указывается код валюты ценных бумаг (долей, паев) или кредита соответственно.</w:t>
      </w:r>
    </w:p>
    <w:p>
      <w:pPr>
        <w:pStyle w:val="MainText"/>
        <w:rPr/>
      </w:pPr>
      <w:r>
        <w:rPr/>
        <w:t>Для расчетов, осуществляемых между клиентами Банка (одного брокера-резидента), указывается код валюты счета клиента-резидента.</w:t>
      </w:r>
    </w:p>
    <w:p>
      <w:pPr>
        <w:pStyle w:val="MainText"/>
        <w:rPr/>
      </w:pPr>
      <w:r>
        <w:rPr/>
        <w:t>III.8. Показатели граф 8 и 9 отражаются в единицах валюты, указанной в графе 7, с двумя знаками после запятой (точки). В графе 8 указывается общая сумма платежа по операции с ценными бумагами (после выплаты налогов). Для операций, отражаемых в разделе 1 Отчета с кодом вида операции 11, графа 9 не заполняется. Для операций на возвратной основе в графе 9 по второй части сделки (код вида операции 13) отражаются получение или выплата доходов по данным операциям. В случае если сумма денежных средств, полученных по первой части сделки, превышает сумму денежных средств, полученных по второй части сделки, графа 9 Отчета не заполняется. В целях настоящего Отчета начисление доходов по таким сделкам осуществляется в соответствии с приложениями 3 и 11 к приложению к Положению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зарегистрированному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 Для операций с пакетом ценных бумаг в случае отсутствия данных в разбивке по ценным бумагам в графах 8 и 9 указывается общая сумма соответствующего платежа.</w:t>
      </w:r>
    </w:p>
    <w:p>
      <w:pPr>
        <w:pStyle w:val="MainText"/>
        <w:rPr/>
      </w:pPr>
      <w:r>
        <w:rPr/>
        <w:t>Операции по договору мены или взаимозачета (неттинга), связанные как с движением денежных средств (осуществляется зачисление на счет (списание со счета), так и без движения денежных средств, отражаются в Отчете как две операции — выбытие одних ценных бумаг (долей, паев) и приобретение других ценных бумаг (долей, паев).</w:t>
      </w:r>
    </w:p>
    <w:p>
      <w:pPr>
        <w:pStyle w:val="MainText"/>
        <w:rPr/>
      </w:pPr>
      <w:r>
        <w:rPr/>
        <w:t>Если платежи по операциям с ценными бумагами (долями, паями) обусловлены только погашением процентов (купонов), выплатой дивидендов или просроченной задолженности по процентам (купонам), а также процентов, начисленных на просроченную задолженность по основному долгу и процентам, показатель графы 9 должен быть равен показателю графы 8. Если в сумму платежа по операциям с ценными бумагами (долями, паями) не включены выплаты (начисления) доходов, а также просроченной задолженности по процентам (купонам) и процентов, начисленных на просроченную задолженность по основному долгу и процентам, в графе 9 указывается “0” (ноль).</w:t>
      </w:r>
    </w:p>
    <w:p>
      <w:pPr>
        <w:pStyle w:val="MainText"/>
        <w:rPr/>
      </w:pPr>
      <w:r>
        <w:rPr/>
        <w:t>III.9. В графе 10 для платежей и поступлений денежных средств в валюте Российской Федерации по операциям резидентов (включая операции Банка, действовавшего как от своего имени и за свой счет, так и в интересах резидентов-выгодоприобретателей) с нерезидентами, указывается:</w:t>
      </w:r>
    </w:p>
    <w:p>
      <w:pPr>
        <w:pStyle w:val="MainText"/>
        <w:rPr/>
      </w:pPr>
      <w:r>
        <w:rPr/>
        <w:t>Банковский идентификационный код (БИК) уполномоченного банка (далее — БИК уполномоченного банка), обслуживающего указанного в графе 13 Отчета нерезидента, — если переводы осуществлялись непосредственно на счета (со счетов) указанного нерезидента. В этом случае в графе 21 Отчета примечание “КОНТРАГЕНТ” не заполняется;</w:t>
      </w:r>
    </w:p>
    <w:p>
      <w:pPr>
        <w:pStyle w:val="MainText"/>
        <w:rPr/>
      </w:pPr>
      <w:r>
        <w:rPr/>
        <w:t>БИК уполномоченного банка, обслуживающего банк-нерезидент, — если расчеты с указанным в графе 13 Отчета нерезидентом осуществлялись на корреспондентский счет (с корреспондентского счета) банка-нерезидента. В этом случае в графе 21 Отчета в примечании “КОНТРАГЕНТ” указываются наименование банка-нерезидента и цифровой код страны его местонахождения в соответствии с Общероссийским классификатором стран мира (ОКСМ);</w:t>
      </w:r>
    </w:p>
    <w:p>
      <w:pPr>
        <w:pStyle w:val="MainText"/>
        <w:rPr/>
      </w:pPr>
      <w:r>
        <w:rPr/>
        <w:t>БИК уполномоченного банка, обслуживающего нерезидента-плательщика (получателя), — если расчеты с указанным в графе 13 Отчета нерезидентом осуществлялись на счет (со счета) иного лица-нерезидента. В этом случае в графе 21 Отчета в примечании “КОНТРАГЕНТ” указываются наименование и цифровой код страны нерезидента-плательщика (получателя) в соответствии с Общероссийским классификатором стран мира (ОКСМ).</w:t>
      </w:r>
    </w:p>
    <w:p>
      <w:pPr>
        <w:pStyle w:val="MainText"/>
        <w:rPr/>
      </w:pPr>
      <w:r>
        <w:rPr/>
        <w:t>Для расчетов в валюте Российской Федерации на корреспондентский счет (с корреспондентского счета) уполномоченного банка в иностранном банке указывается СВИФТ код банка-нерезидента или код страны местонахождения банка-нерезидента в соответствии с Общероссийским классификатором стран мира (ОКСМ), если банк не является участником системы СВИФТ.</w:t>
      </w:r>
    </w:p>
    <w:p>
      <w:pPr>
        <w:pStyle w:val="MainText"/>
        <w:rPr/>
      </w:pPr>
      <w:r>
        <w:rPr/>
        <w:t>Для платежей и поступлений денежных средств в иностранной валюте по операциям резидентов (включая операции Банка, действовавшего как от своего имени и за свой счет, так и в интересах резидентов-выгодоприобретателей) с нерезидентами, осуществленных через счета нерезидентов, открытые в банках за пределами Российской Федерации, в графе 10 указываются:</w:t>
      </w:r>
    </w:p>
    <w:p>
      <w:pPr>
        <w:pStyle w:val="MainText"/>
        <w:rPr/>
      </w:pPr>
      <w:r>
        <w:rPr/>
        <w:t>СВИФТ код банка-нерезидента, обслуживающего нерезидента-получателя (отправителя), — если банк-нерезидент является участником системы СВИФТ. При отсутствии в расчетных документах СВИФТ кода банка-нерезидента, обслуживающего нерезидента-отправителя, указывается СВИФТ код банка-нерезидента, являвшегося посредником;</w:t>
      </w:r>
    </w:p>
    <w:p>
      <w:pPr>
        <w:pStyle w:val="MainText"/>
        <w:rPr/>
      </w:pPr>
      <w:r>
        <w:rPr/>
        <w:t>цифровой код страны места нахождения банка-нерезидента в соответствии с Общероссийским классификатором стран мира (ОКСМ), обслуживающего нерезидента-получателя (отправителя), — если банк-нерезидент не является участником системы СВИФТ.</w:t>
      </w:r>
    </w:p>
    <w:p>
      <w:pPr>
        <w:pStyle w:val="MainText"/>
        <w:rPr/>
      </w:pPr>
      <w:r>
        <w:rPr/>
        <w:t>Для платежей и поступлений денежных средств в иностранной валюте по операциям резидентов с нерезидентами примечание “КОНТРАГЕНТ” в графе 21 Отчета не заполняется.</w:t>
      </w:r>
    </w:p>
    <w:p>
      <w:pPr>
        <w:pStyle w:val="MainText"/>
        <w:rPr/>
      </w:pPr>
      <w:r>
        <w:rPr/>
        <w:t>Для расчетов в иностранной валюте, осуществленных резидентами с нерезидентами на территории Российской Федерации, указывается БИК уполномоченного банка, обслуживающего указанного в графе 13 нерезидента.</w:t>
      </w:r>
    </w:p>
    <w:p>
      <w:pPr>
        <w:pStyle w:val="MainText"/>
        <w:rPr/>
      </w:pPr>
      <w:r>
        <w:rPr/>
        <w:t>Для расчетов с контрагентами-резидентами, являющимися брокерами (кроме кредитных организаций) и действовавшими в интересах выгодоприобретателей-нерезидентов, осуществленных на территории Российской Федерации, как в валюте Российской Федерации, так и в иностранной валюте, указывается БИК уполномоченного банка, обслуживающего брокера.</w:t>
      </w:r>
    </w:p>
    <w:p>
      <w:pPr>
        <w:pStyle w:val="MainText"/>
        <w:rPr/>
      </w:pPr>
      <w:r>
        <w:rPr/>
        <w:t>Для операций выбытия-приобретения ценных бумаг по договору мены или взаимозачета без движения денежных средств (код вида операции 22), погашения кредита ценными бумагами (код вида операции 23), а также для операций с кодами INN и OUTN графа 10 не заполняется.</w:t>
      </w:r>
    </w:p>
    <w:p>
      <w:pPr>
        <w:pStyle w:val="MainText"/>
        <w:rPr/>
      </w:pPr>
      <w:r>
        <w:rPr/>
        <w:t>III.10. В графах 11 и 12 приводятся данные о резиденте — участнике операции (выгодоприобретателе). В графе 11 указывается наименование юридического лица, являющегося получателем (плательщиком) средств. Для паевых инвестиционных фондов (ПИФов) указывается наименование управляющей компании, а в скобках — наименование ПИФа. Торговые площадки ЗАО “Московская межбанковская валютная биржа” (ЗАО ММВБ), ЗАО “Фондовая биржа ММВБ” (ЗАО ФБ ММВБ), НК “Московская фондовая биржа” (НК МФБ), ОАО “Фондовая биржа РТС” (ОАО РТС) и другие российские биржи по операциям с ценными бумагами следует рассматривать в качестве контрагента-резидента, если информация об истинном контрагенте отсутствует. Для физических лиц (кроме индивидуальных предпринимателей) в графе 11 проставляется “ФЛ”, для индивидуальных предпринимателей — “ИП”. По операциям, совершенным Банком в интересах клиентов-резидентов по брокерским, агентским договорам, договорам доверительного управления, а также клиентов, в отношении которых Банк исполняет функции номинального держателя, в графе 11 указывается наименование клиента-резидента, а не Банка.</w:t>
      </w:r>
    </w:p>
    <w:p>
      <w:pPr>
        <w:pStyle w:val="MainText"/>
        <w:rPr/>
      </w:pPr>
      <w:r>
        <w:rPr/>
        <w:t>В графе 12 указываются:</w:t>
      </w:r>
    </w:p>
    <w:p>
      <w:pPr>
        <w:pStyle w:val="MainText"/>
        <w:rPr/>
      </w:pPr>
      <w:r>
        <w:rPr/>
        <w:t>для юридических лиц (кроме кредитных организаций) — идентификационный номер налогоплательщика (ИНН);</w:t>
      </w:r>
    </w:p>
    <w:p>
      <w:pPr>
        <w:pStyle w:val="MainText"/>
        <w:rPr/>
      </w:pPr>
      <w:r>
        <w:rPr/>
        <w:t>для паевых инвестиционных фондов — ИНН управляющей компании;</w:t>
      </w:r>
    </w:p>
    <w:p>
      <w:pPr>
        <w:pStyle w:val="MainText"/>
        <w:rPr/>
      </w:pPr>
      <w:r>
        <w:rPr/>
        <w:t>для кредитных организаций — регистрационный номер в соответствии с Книгой государственной регистрации кредитных организаций.</w:t>
      </w:r>
    </w:p>
    <w:p>
      <w:pPr>
        <w:pStyle w:val="MainText"/>
        <w:rPr/>
      </w:pPr>
      <w:r>
        <w:rPr/>
        <w:t>Для физических лиц и индивидуальных предпринимателей, а также при зачислении на временные расчетные счета вкладов участников создаваемого общества-резидента, не имеющего на момент совершения операции ИНН, графа 12 не заполняется.</w:t>
      </w:r>
    </w:p>
    <w:p>
      <w:pPr>
        <w:pStyle w:val="MainText"/>
        <w:rPr/>
      </w:pPr>
      <w:r>
        <w:rPr/>
        <w:t>Для отражаемых в разделах 2 и 3 Отчета операций Банка в качестве номинального держателя (платежного агента) в графах 11 и 12 указываются наименование и ИНН резидента, выпустившего ценную бумагу (доли, паи в имуществе), соответствующие данным, приведенным в графах 15 и 16 Отчета, а не Банка.</w:t>
      </w:r>
    </w:p>
    <w:p>
      <w:pPr>
        <w:pStyle w:val="MainText"/>
        <w:rPr/>
      </w:pPr>
      <w:r>
        <w:rPr/>
        <w:t>III.11. В графах 13 и 14 приводятся данные о нерезиденте — участнике операции (выгодоприобретателе). В графе 13 указывается наименование юридического лица — нерезидента (включая банки-нерезиденты), для физических лиц — нерезидентов проставляется “ФЛ”. По операциям, совершенным Банком в интересах клиентов-нерезидентов по брокерским, агентским договорам, договорам доверительного управления, в данной графе указывается наименование клиента-нерезидента, а не Банка. Международные торговые площадки по операциям с ценными бумагами следует рассматривать в качестве контрагента-нерезидента, если информация об истинном контрагенте отсутствует.</w:t>
      </w:r>
    </w:p>
    <w:p>
      <w:pPr>
        <w:pStyle w:val="MainText"/>
        <w:rPr/>
      </w:pPr>
      <w:r>
        <w:rPr/>
        <w:t>В графе 14 для нерезидентов (юридических и физических лиц) указывается цифровой код страны в соответствии с Общероссийским классификатором стран мира (ОКСМ). Для представительств и филиалов иностранных компаний, расположенных на территории Российской Федерации, указывается код страны материнской компании. Если страна материнской компании неизвестна, то в графе 14 проставляется “997”. Для международных организаций в данной графе проставляется “998”. При отсутствии данных о стране нерезидента проставляется “999”.</w:t>
      </w:r>
    </w:p>
    <w:p>
      <w:pPr>
        <w:pStyle w:val="MainText"/>
        <w:rPr/>
      </w:pPr>
      <w:r>
        <w:rPr/>
        <w:t>Для отражаемых в разделах 2 и 3 Отчета операций Банка в качестве номинального держателя (платежного агента) в графах 13 и 14 указываются наименование и код страны нерезидента, выпустившего ценную бумагу, соответствующие данным, приведенным в графах 15 и 16 Отчета, а не Банка. Для операций, совершенных брокером-резидентом в интересах нерезидента, в графах 13 и 14 указываются наименование и код клиента-нерезидента.</w:t>
      </w:r>
    </w:p>
    <w:p>
      <w:pPr>
        <w:pStyle w:val="MainText"/>
        <w:rPr/>
      </w:pPr>
      <w:r>
        <w:rPr/>
        <w:t>III.12. В графах 15 и 16 Отчета приводятся данные о резидентах (нерезидентах), выпустивших ценные бумаги, а также о резидентах (нерезидентах), с вкладами, долями, паями в имуществе которых были осуществлены операции. В графе 15 для юридических лиц — резидентов, включая кредитные организации, указывается полное наименование с сокращенным наименованием организационно-правовой формы. Для ПИФов-резидентов указывается наименование управляющей компании, а в скобках — наименование ПИФа. Для депозитарных расписок в графе 15 указывается наименование эмитента ценных бумаг, лежащих в основе расписок. Наименование нерезидента может быть указано на русском, английском языках или языке его официального наименования. Для физических лиц (резидентов и нерезидентов) указывается “ФЛ”. Для индивидуальных предпринимателей — резидентов указывается “ИП”.</w:t>
      </w:r>
    </w:p>
    <w:p>
      <w:pPr>
        <w:pStyle w:val="MainText"/>
        <w:rPr/>
      </w:pPr>
      <w:r>
        <w:rPr/>
        <w:t>В графе 16 для резидентов, включая кредитные организации, указывается ИНН, а для нерезидентов — цифровой код страны в соответствии с Общероссийским классификатором стран мира (ОКСМ). При зачислении на временные расчетные счета вкладов участников создаваемого общества — резидента, не имеющего на момент совершения операции ИНН, данная графа не заполняется. Для физических лиц — резидентов и индивидуальных предпринимателей — резидентов графа 16 не заполняется.</w:t>
      </w:r>
    </w:p>
    <w:p>
      <w:pPr>
        <w:pStyle w:val="MainText"/>
        <w:rPr/>
      </w:pPr>
      <w:r>
        <w:rPr/>
        <w:t>Для представительств и филиалов иностранных компаний, расположенных на территории Российской Федерации, указывается код страны материнской компании. Если страна материнской компании неизвестна, то в графе 16 проставляется “997”. Для международных организаций в данной графе проставляется “998”. При отсутствии данных о стране нерезидента указывается код “999”.</w:t>
      </w:r>
    </w:p>
    <w:p>
      <w:pPr>
        <w:pStyle w:val="MainText"/>
        <w:rPr/>
      </w:pPr>
      <w:r>
        <w:rPr/>
        <w:t>Для операций с пакетом ценных бумаг, паев, долей (при наличии информации об эмитентах ценных бумаг, резидентах (нерезидентах), доли, паи которых входят в пакет) наименования эмитентов и указанных резидентов (нерезидентов) отражаются в графе 15 через символ “;” (точка с запятой) без отступов (пробелов). Графа 16 для данных операций заполняется аналогичным образом.</w:t>
      </w:r>
    </w:p>
    <w:p>
      <w:pPr>
        <w:pStyle w:val="MainText"/>
        <w:rPr/>
      </w:pPr>
      <w:r>
        <w:rPr/>
        <w:t>При заполнении граф 15 и 16 следует использовать Реестр эмитентов и эмиссионных ценных бумаг, представляемый Банком России в рамках программного обеспечения (далее — Реестр). Данные по эмитентам, указанным в Реестре, отражаются в графах 15 и 16 в соответствии с реквизитами Реестра. По прочим эмитентам графы заполняются на основании имеющейся у Банка информации.</w:t>
      </w:r>
    </w:p>
    <w:p>
      <w:pPr>
        <w:pStyle w:val="MainText"/>
        <w:rPr/>
      </w:pPr>
      <w:r>
        <w:rPr/>
        <w:t>Для операций с кодами DOL3, DOL4, DOL5, ОТН3 и ОТН4, указанными в графе 3 Отчета, графы 15 и 16 не заполняются.</w:t>
      </w:r>
    </w:p>
    <w:p>
      <w:pPr>
        <w:pStyle w:val="MainText"/>
        <w:rPr/>
      </w:pPr>
      <w:r>
        <w:rPr/>
        <w:t>III.13. Графа 17 заполняется только для операций с эмиссионными ценными бумагами и векселями. В графе 17 для эмиссионных ценных бумаг, выпущенных резидентами, указывается государственный регистрационный номер выпуска ценных бумаг, а при его отсутствии указывается международный идентификационный код ценной бумаги (ISIN). Для эмиссионных ценных бумаг, выпущенных нерезидентами, указывается ISIN-код ценной бумаги. Если ISIN-код отсутствует, то указывается код, присвоенный национальным регистрационным агентством или другой заменяющей его в этом качестве организацией. Не допускается использование для эмиссионных ценных бумаг внутренних кодов Банка, а также кодов, присвоенных другими организациями, не являющимися регистрационными. Для векселей допускается использование кодов (номеров), присвоенных им организациями, не являющимися регистрационными, а также присвоенных Банком для их учета.</w:t>
      </w:r>
    </w:p>
    <w:p>
      <w:pPr>
        <w:pStyle w:val="MainText"/>
        <w:rPr/>
      </w:pPr>
      <w:r>
        <w:rPr/>
        <w:t>Для операций с пакетом ценных бумаг (при наличии информации о регистрационных номерах ценных бумаг, входящих в пакет) их регистрационные номера отражаются в графе 17 через символ “;” (точка с запятой) без отступов (пробелов).</w:t>
      </w:r>
    </w:p>
    <w:p>
      <w:pPr>
        <w:pStyle w:val="MainText"/>
        <w:rPr/>
      </w:pPr>
      <w:r>
        <w:rPr/>
        <w:t>Данные по эмиссионным ценным бумагам, указанным в Реестре, отражаются в графах 17—20 Отчета в соответствии с реквизитами Реестра. По ценным бумагам, не указанным в Реестре, графа 17 заполняется на основании имеющейся у Банка информации.</w:t>
      </w:r>
    </w:p>
    <w:p>
      <w:pPr>
        <w:pStyle w:val="MainText"/>
        <w:rPr/>
      </w:pPr>
      <w:r>
        <w:rPr/>
        <w:t>III.14. Графа 18 заполняется только для операций с эмиссионными ценными бумагами и векселями. В графе 18 указывается дата регистрации выпуска ценной бумаги, а для векселей — дата их составления. Дата указывается в формате “дд.мм.гггг”, где “дд” — день, “мм” — месяц, “гггг” — год. Для операций, имеющих в графе 21 Отчета примечание “ПАКЕТ”, графа 18 не заполняется.</w:t>
      </w:r>
    </w:p>
    <w:p>
      <w:pPr>
        <w:pStyle w:val="MainText"/>
        <w:rPr/>
      </w:pPr>
      <w:r>
        <w:rPr/>
        <w:t>III.15. Графа 19 заполняется только для долговых ценных бумаг. Дата указывается в формате “дд.мм.гггг”, где “дд” — день, “мм” — месяц, “гггг” — год. Для векселей со сроком до востребования, а также для операций, имеющих в графе 21 Отчета примечание “ПАКЕТ”, графа 19 не заполняется.</w:t>
      </w:r>
    </w:p>
    <w:p>
      <w:pPr>
        <w:pStyle w:val="MainText"/>
        <w:rPr/>
      </w:pPr>
      <w:r>
        <w:rPr/>
        <w:t>III.16. В графе 20 указывается согласно Общероссийскому классификатору валют (ОКВ) цифровой код валюты, в которой указана номинальная стоимость ценной бумаги (долей). Для ценных бумаг, номинированных в российских рублях, проставляется код “643”. Для операций с кодами DOL3, DOL4, DOL5, ОТН3 и ОТН4, указанными в графе 3 Отчета, а также для операций, имеющих в графе 21 Отчета примечание “ПАКЕТ”, графа 20 не заполняется.</w:t>
      </w:r>
    </w:p>
    <w:p>
      <w:pPr>
        <w:pStyle w:val="MainText"/>
        <w:rPr/>
      </w:pPr>
      <w:r>
        <w:rPr/>
        <w:t>III.17. В графе 21 приводится следующая дополнительная информация:</w:t>
      </w:r>
    </w:p>
    <w:p>
      <w:pPr>
        <w:pStyle w:val="MainText"/>
        <w:rPr/>
      </w:pPr>
      <w:r>
        <w:rPr/>
        <w:t>для платежей за ценные бумаги (доли, паи), осуществляемых в рассрочку, в графе указывается “РАССРОЧКА”;</w:t>
      </w:r>
    </w:p>
    <w:p>
      <w:pPr>
        <w:pStyle w:val="MainText"/>
        <w:rPr/>
      </w:pPr>
      <w:r>
        <w:rPr/>
        <w:t>указывается “ПАКЕТ” для платежей за пакет, состоящий из:</w:t>
      </w:r>
    </w:p>
    <w:p>
      <w:pPr>
        <w:pStyle w:val="MainText"/>
        <w:rPr/>
      </w:pPr>
      <w:r>
        <w:rPr/>
        <w:t>одного типа (кода) ценных бумаг (долей, паев), выпущенных разными резидентами или нерезидентами;</w:t>
      </w:r>
    </w:p>
    <w:p>
      <w:pPr>
        <w:pStyle w:val="MainText"/>
        <w:rPr/>
      </w:pPr>
      <w:r>
        <w:rPr/>
        <w:t>разных типов (кодов) ценных бумаг (долей, паев), выпущенных одним резидентом или нерезидентом;</w:t>
      </w:r>
    </w:p>
    <w:p>
      <w:pPr>
        <w:pStyle w:val="MainText"/>
        <w:rPr/>
      </w:pPr>
      <w:r>
        <w:rPr/>
        <w:t>разных типов (кодов) ценных бумаг (долей, паев), выпущенных разными резидентами или нерезидентами;</w:t>
      </w:r>
    </w:p>
    <w:p>
      <w:pPr>
        <w:pStyle w:val="MainText"/>
        <w:rPr/>
      </w:pPr>
      <w:r>
        <w:rPr/>
        <w:t>векселей одного векселедателя, но имеющих разные сроки выпуска (погашения) и (или) номинальную стоимость;</w:t>
      </w:r>
    </w:p>
    <w:p>
      <w:pPr>
        <w:pStyle w:val="MainText"/>
        <w:rPr/>
      </w:pPr>
      <w:r>
        <w:rPr/>
        <w:t>для операций, указанных в пункте III.9 настоящего Порядка, указываются наименование и цифровой код страны по Общероссийскому классификатору стран мира (ОКСМ) банка-нерезидента и (или) соответствующего нерезидента в формате: “КОНТРАГЕНТ: наименование банка-нерезидента / цифровой код ОКСМ / наименование нерезидента / цифровой код ОКСМ / КОНТРАГЕНТ”;</w:t>
      </w:r>
    </w:p>
    <w:p>
      <w:pPr>
        <w:pStyle w:val="MainText"/>
        <w:rPr/>
      </w:pPr>
      <w:r>
        <w:rPr/>
        <w:t>для операций по выплатам при уменьшении уставного капитала, ликвидации общества, кооператива, товарищества, приобретению обществом долей, паев в своем уставном капитале или выкупу акций эмитентом, отражаемым в разделе 2 Отчета, в данной графе в качестве примечания указывается наименование соответствующей операции;</w:t>
      </w:r>
    </w:p>
    <w:p>
      <w:pPr>
        <w:pStyle w:val="MainText"/>
        <w:rPr/>
      </w:pPr>
      <w:r>
        <w:rPr/>
        <w:t>для операций с кодом OTH1 необходимо дать краткое описание ценной бумаги;</w:t>
      </w:r>
    </w:p>
    <w:p>
      <w:pPr>
        <w:pStyle w:val="MainText"/>
        <w:rPr/>
      </w:pPr>
      <w:r>
        <w:rPr/>
        <w:t>для операций с кодом OTH2 необходимо дать пояснение о ценных бумагах (долях, паях), отраженных с данным кодом;</w:t>
      </w:r>
    </w:p>
    <w:p>
      <w:pPr>
        <w:pStyle w:val="MainText"/>
        <w:rPr/>
      </w:pPr>
      <w:r>
        <w:rPr/>
        <w:t>для операций Банка по покупке у нерезидентов (погашению) собственных векселей, первоначально выписанных на резидентов, необходимо указать наименование и, если известен, ИНН указанного резидента.</w:t>
      </w:r>
    </w:p>
    <w:p>
      <w:pPr>
        <w:pStyle w:val="MainText"/>
        <w:rPr/>
      </w:pPr>
      <w:r>
        <w:rPr/>
        <w:t>Кроме указанных случаев в данной графе по усмотрению Банка могут быть даны другие пояснения.</w:t>
      </w:r>
    </w:p>
    <w:p>
      <w:pPr>
        <w:pStyle w:val="MainText"/>
        <w:rPr/>
      </w:pPr>
      <w:r>
        <w:rPr/>
        <w:t>III.18. В рамках одного операционного дня допускается агрегация платежей при условии идентичности всех показателей, отражаемых в Отчете, кроме показателей граф 6, 8 и 9. Расчеты за ценные бумаги (доли, паи), внесение вкладов, осуществляемые в рассрочку в течение одного отчетного периода, могут агрегироваться. При этом в графе 2 указывается дата последнего в данном отчетном периоде платежа в рассрочку.</w:t>
      </w:r>
    </w:p>
    <w:p>
      <w:pPr>
        <w:pStyle w:val="MainText"/>
        <w:spacing w:before="0" w:after="120"/>
        <w:rPr/>
      </w:pPr>
      <w:r>
        <w:rPr/>
        <w:t>III.19. Если в расчетных документах, представляемых клиентами-резидентами по собственным операциям с ценными бумагами, отсутствуют данные о количестве ценных бумаг, а также характеристики ценных бумаг, в соответствующей графе Отчета проставляется “0” (ноль) для числовых показателей или “—” (прочерк) для символьных показателей.</w:t>
      </w:r>
    </w:p>
    <w:p>
      <w:pPr>
        <w:pStyle w:val="SnoskaLineTab"/>
        <w:pBdr>
          <w:top w:val="single" w:sz="6" w:space="1" w:color="000000"/>
        </w:pBdr>
        <w:rPr/>
      </w:pPr>
      <w:r>
        <w:rPr>
          <w:vertAlign w:val="superscript"/>
        </w:rPr>
        <w:t>1</w:t>
      </w:r>
      <w:r>
        <w:rPr/>
        <w:t> В качестве депозитарных расписок в Отчете отражаются ценные бумаги, выпущенные депозитарными банками в форме сертификатов, удостоверяющих право собственности на долю в портфеле акций или облигаций эмитентов. Депозитарная расписка может представлять одну ценную бумагу, несколько ценных бумаг одного класса или часть ценной бумаги.</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b w:val="false"/>
        </w:rPr>
      </w:pPr>
      <w:r>
        <w:rPr>
          <w:color w:val="000000"/>
        </w:rPr>
        <w:t xml:space="preserve">СВЕДЕНИЯ О ТРАНСГРАНИЧНЫХ ПЕРЕВОДАХ ФИЗИЧЕСКИХ ЛИЦ </w:t>
        <w:br/>
        <w:t xml:space="preserve">за </w:t>
      </w:r>
      <w:r>
        <w:rPr/>
        <w:t>______ г</w:t>
      </w:r>
      <w:r>
        <w:rPr>
          <w:b w:val="false"/>
        </w:rPr>
        <w:t>.</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0" w:after="60"/>
        <w:jc w:val="end"/>
        <w:rPr/>
      </w:pPr>
      <w:r>
        <w:rPr/>
        <w:t>Код формы по ОКУД 0409407</w:t>
        <w:br/>
        <w:t>Месячная (Квартальная)</w:t>
      </w:r>
    </w:p>
    <w:tbl>
      <w:tblPr>
        <w:tblW w:w="16257" w:type="dxa"/>
        <w:jc w:val="center"/>
        <w:tblInd w:w="0" w:type="dxa"/>
        <w:tblLayout w:type="fixed"/>
        <w:tblCellMar>
          <w:top w:w="0" w:type="dxa"/>
          <w:start w:w="28" w:type="dxa"/>
          <w:bottom w:w="0" w:type="dxa"/>
          <w:end w:w="28" w:type="dxa"/>
        </w:tblCellMar>
      </w:tblPr>
      <w:tblGrid>
        <w:gridCol w:w="675"/>
        <w:gridCol w:w="2226"/>
        <w:gridCol w:w="2226"/>
        <w:gridCol w:w="2226"/>
        <w:gridCol w:w="2226"/>
        <w:gridCol w:w="2226"/>
        <w:gridCol w:w="2226"/>
        <w:gridCol w:w="2226"/>
      </w:tblGrid>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Направление перевода</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Контрагент-переводополучатель (перевододатель)</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start="57" w:end="57"/>
              <w:jc w:val="center"/>
              <w:rPr>
                <w:sz w:val="16"/>
              </w:rPr>
            </w:pPr>
            <w:r>
              <w:rPr>
                <w:sz w:val="16"/>
              </w:rPr>
              <w:t>Код страны банка-переводополучателя (банка-перевододателя)</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операции</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валюты перевода</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Количество операций, единиц</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Сумма, в целых единицах соответствующей валюты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5582"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1. Трансграничные переводы, осуществленные через системы денежных переводов (заполняется только уполномоченными банками, выполняющими функции расчетных центров для соответствующих систем денежных переводов)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5582"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Раздел 2. Прочие трансграничные переводы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15582"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2.1. Переводы физических лиц — резидентов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15582"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Подраздел 2.2. Переводы физических лиц — нерезидентов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color w:val="000000"/>
        </w:rPr>
        <w:t>Порядок составления и представления отчетности по форме 0409407 “Сведения о трансграничных переводах физических лиц”</w:t>
      </w:r>
    </w:p>
    <w:p>
      <w:pPr>
        <w:pStyle w:val="MGlavaCenter"/>
        <w:keepLines w:val="false"/>
        <w:spacing w:before="0" w:after="120"/>
        <w:rPr>
          <w:b w:val="false"/>
        </w:rPr>
      </w:pPr>
      <w:r>
        <w:rPr>
          <w:b w:val="false"/>
        </w:rPr>
        <w:t>Раздел I. Общие положения</w:t>
      </w:r>
    </w:p>
    <w:p>
      <w:pPr>
        <w:pStyle w:val="MainText"/>
        <w:rPr/>
      </w:pPr>
      <w:r>
        <w:rPr/>
        <w:t>I.1. Собираемая в рамках отчетности по форме 0409407 “Сведения о трансграничных переводах физических лиц” (далее — Отчет) информация используется для составления платежного баланса Российской Федерации.</w:t>
      </w:r>
    </w:p>
    <w:p>
      <w:pPr>
        <w:pStyle w:val="MainText"/>
        <w:rPr/>
      </w:pPr>
      <w:r>
        <w:rPr/>
        <w:t>I.2. Полученные сведения представляются в платежном балансе Российской Федерации в агрегированном виде. Конфиденциальность информации, сообщенной в Отчете, гарантируется.</w:t>
      </w:r>
    </w:p>
    <w:p>
      <w:pPr>
        <w:pStyle w:val="MainText"/>
        <w:rPr/>
      </w:pPr>
      <w:r>
        <w:rPr/>
        <w:t>I.3. Используемые в настоящем Порядке понятия “резидент” и “нерезидент” применяются в соответствии с валютным законодательством Российской Федерации.</w:t>
      </w:r>
    </w:p>
    <w:p>
      <w:pPr>
        <w:pStyle w:val="MainText"/>
        <w:rPr/>
      </w:pPr>
      <w:r>
        <w:rPr/>
        <w:t>I.4. В Отчете отражаются:</w:t>
      </w:r>
    </w:p>
    <w:p>
      <w:pPr>
        <w:pStyle w:val="MainText"/>
        <w:rPr/>
      </w:pPr>
      <w:r>
        <w:rPr/>
        <w:t>переводы, осуществленные за пределы территории Российской Федерации физическими лицами непосредственно из Российской Федерации;</w:t>
      </w:r>
    </w:p>
    <w:p>
      <w:pPr>
        <w:pStyle w:val="MainText"/>
        <w:rPr/>
      </w:pPr>
      <w:r>
        <w:rPr/>
        <w:t>переводы, поступившие из-за пределов территории Российской Федерации в пользу физических лиц, находящихся в Российской Федерации.</w:t>
      </w:r>
    </w:p>
    <w:p>
      <w:pPr>
        <w:pStyle w:val="MainText"/>
        <w:rPr/>
      </w:pPr>
      <w:r>
        <w:rPr/>
        <w:t>I.5. В Отчете не отражаются:</w:t>
      </w:r>
    </w:p>
    <w:p>
      <w:pPr>
        <w:pStyle w:val="MainText"/>
        <w:rPr/>
      </w:pPr>
      <w:r>
        <w:rPr/>
        <w:t>транзитные переводы через Российскую Федерацию, банк перевододателя и банк переводополучателя которых находятся за пределами территории Российской Федерации;</w:t>
      </w:r>
    </w:p>
    <w:p>
      <w:pPr>
        <w:pStyle w:val="MainText"/>
        <w:rPr/>
      </w:pPr>
      <w:r>
        <w:rPr/>
        <w:t>переводы на территории Российской Федерации;</w:t>
      </w:r>
    </w:p>
    <w:p>
      <w:pPr>
        <w:pStyle w:val="MainText"/>
        <w:rPr/>
      </w:pPr>
      <w:r>
        <w:rPr/>
        <w:t>переводы физических лиц, являющихся индивидуальными предпринимателями.</w:t>
      </w:r>
    </w:p>
    <w:p>
      <w:pPr>
        <w:pStyle w:val="MGlavaCenter"/>
        <w:rPr>
          <w:b w:val="false"/>
        </w:rPr>
      </w:pPr>
      <w:r>
        <w:rPr>
          <w:b w:val="false"/>
        </w:rPr>
        <w:t>Раздел II. Порядок представления Отчета</w:t>
      </w:r>
    </w:p>
    <w:p>
      <w:pPr>
        <w:pStyle w:val="MainText"/>
        <w:rPr/>
      </w:pPr>
      <w:r>
        <w:rPr/>
        <w:t>II.1. Уполномоченные банки и их филиалы ежеквартально, не позднее 17-го рабочего дня месяца, следующего за отчетным кварталом, в электронном виде направляют Отчеты в территориальные учреждения Банка России, осуществляющие надзор за их деятельностью.</w:t>
      </w:r>
    </w:p>
    <w:p>
      <w:pPr>
        <w:pStyle w:val="MainText"/>
        <w:rPr/>
      </w:pPr>
      <w:r>
        <w:rPr/>
        <w:t>Уполномоченные банки, выполняющие функции расчетных (клиринговых) центров для соответствующих систем денежных переводов, перечень которых указан в графе 5 таблицы, приведенной в разделе IV настоящего Порядка, ежемесячно, не позднее 17-го рабочего дня месяца, следующего за отчетным, в электронном виде направляют информацию по разделу 1 Отчета в территориальные учреждения Банка России, осуществляющие надзор за их деятельностью.</w:t>
      </w:r>
    </w:p>
    <w:p>
      <w:pPr>
        <w:pStyle w:val="MainText"/>
        <w:rPr/>
      </w:pPr>
      <w:r>
        <w:rPr/>
        <w:t>Уполномоченные банки, а также территориальные банки крупных кредитных организаций с широкой сетью подразделений представляют Отчет филиалов (отделений), расположенных с ними на территории одного субъекта Российской Федерации, в территориальное учреждение Банка России, осуществляющее надзор за деятельностью головного офиса.</w:t>
      </w:r>
    </w:p>
    <w:p>
      <w:pPr>
        <w:pStyle w:val="MainText"/>
        <w:rPr/>
      </w:pPr>
      <w:r>
        <w:rPr/>
        <w:t>Филиалы уполномоченных банков, а также подчиненные территориальным банкам филиалы (отделения) крупных кредитных организаций с широкой сетью подразделений, находящиеся на территории другого субъекта Российской Федерации, представляют Отчет в территориальное учреждение Банка России, осуществляющее надзор за их деятельностью.</w:t>
      </w:r>
    </w:p>
    <w:p>
      <w:pPr>
        <w:pStyle w:val="MainText"/>
        <w:rPr/>
      </w:pPr>
      <w:r>
        <w:rPr/>
        <w:t>Филиалы уполномоченных банков, расположенные за пределами территории Российской Федерации, Отчет не представляют.</w:t>
      </w:r>
    </w:p>
    <w:p>
      <w:pPr>
        <w:pStyle w:val="MainText"/>
        <w:rPr/>
      </w:pPr>
      <w:r>
        <w:rPr/>
        <w:t>II.2. В случае выявления фактов представления недостоверных данных (за последние 12 месяцев) исправление производится посредством повторного представления отчетности, содержащей исправленные значения показателей, одновременно с представлением Отчета за тот период, в котором были выявлены факты недостоверности представленных данных.</w:t>
      </w:r>
    </w:p>
    <w:p>
      <w:pPr>
        <w:pStyle w:val="MainText"/>
        <w:rPr/>
      </w:pPr>
      <w:r>
        <w:rPr/>
        <w:t>II.3. Срок хранения отчитывающимся уполномоченным банком (его филиалом) копий направленных Отчетов — 3 года.</w:t>
      </w:r>
    </w:p>
    <w:p>
      <w:pPr>
        <w:pStyle w:val="MainText"/>
        <w:rPr/>
      </w:pPr>
      <w:r>
        <w:rPr/>
        <w:t>II.4. Для получения информации по вопросам заполнения и представления Отчета следует обращаться в Банк России: тел (495) 771-42-99; факс (495) 771-44-60; e-mail: knn@cbr.ru.</w:t>
      </w:r>
    </w:p>
    <w:p>
      <w:pPr>
        <w:pStyle w:val="MGlavaCenter"/>
        <w:rPr>
          <w:b w:val="false"/>
        </w:rPr>
      </w:pPr>
      <w:r>
        <w:rPr>
          <w:b w:val="false"/>
        </w:rPr>
        <w:t>Раздел III. Порядок составления Отчета</w:t>
      </w:r>
    </w:p>
    <w:p>
      <w:pPr>
        <w:pStyle w:val="MainText"/>
        <w:rPr/>
      </w:pPr>
      <w:r>
        <w:rPr/>
        <w:t>III.1. Раздел 1 заполняется только уполномоченными банками, выполняющими функции расчетных (клиринговых) центров для соответствующих систем денежных переводов, перечень которых указан в графе 5 таблицы, приведенной в разделе IV настоящего Порядка. Данные уполномоченные банки отражают в разделе сводные данные (с учетом всех своих филиалов) о переводах, осуществленных непосредственно из Российской Федерации за пределы территории Российской Федерации физическими лицами через отделения (филиалы) отчитывающегося уполномоченного банка и пункты обслуживания в организациях-агентах, а также поступивших из-за пределов территории Российской Федерации непосредственно в Российскую Федерацию в пользу физических лиц.</w:t>
      </w:r>
    </w:p>
    <w:p>
      <w:pPr>
        <w:pStyle w:val="MainText"/>
        <w:rPr/>
      </w:pPr>
      <w:r>
        <w:rPr/>
        <w:t>III.2. В разделе 2 в зависимости от перевододателя (переводополучателя) в Российской Федерации операции классифицируются по двум подразделам.</w:t>
      </w:r>
    </w:p>
    <w:p>
      <w:pPr>
        <w:pStyle w:val="MainText"/>
        <w:rPr/>
      </w:pPr>
      <w:r>
        <w:rPr/>
        <w:t>Операции уполномоченных банков, указанных в графе 5 таблицы, приведенной в разделе IV настоящего Порядка, которые были осуществлены не через системы денежных переводов, указанные в графе 7 таблицы, приведенной в разделе IV настоящего Порядка, отражаются в разделе 2.</w:t>
      </w:r>
    </w:p>
    <w:p>
      <w:pPr>
        <w:pStyle w:val="MainText"/>
        <w:rPr/>
      </w:pPr>
      <w:r>
        <w:rPr/>
        <w:t>III.2.1. В подразделе 2.1 отражаются трансграничные переводы, поступившие в отчетном периоде в пользу резидентов-переводополучателей и отправленные резидентами-перевододателями в иностранной валюте и в валюте Российской Федерации (с открытием и без открытия счета).</w:t>
      </w:r>
    </w:p>
    <w:p>
      <w:pPr>
        <w:pStyle w:val="MainText"/>
        <w:rPr/>
      </w:pPr>
      <w:r>
        <w:rPr/>
        <w:t>В подразделе 2.1 не отражаются переводы по следующим операциям:</w:t>
      </w:r>
    </w:p>
    <w:p>
      <w:pPr>
        <w:pStyle w:val="MainText"/>
        <w:rPr/>
      </w:pPr>
      <w:r>
        <w:rPr/>
        <w:t>денежные переводы, осуществленные через системы денежных переводов, указанные в графе 7 таблицы, приведенной в разделе IV настоящего Порядка, а также через системы MoneуGram, Coinstar Money Transfer и другие;</w:t>
      </w:r>
    </w:p>
    <w:p>
      <w:pPr>
        <w:pStyle w:val="MainText"/>
        <w:rPr/>
      </w:pPr>
      <w:r>
        <w:rPr/>
        <w:t>купля (продажа) товаров, не предназначенных для личного пользования;</w:t>
      </w:r>
    </w:p>
    <w:p>
      <w:pPr>
        <w:pStyle w:val="MainText"/>
        <w:rPr/>
      </w:pPr>
      <w:r>
        <w:rPr/>
        <w:t>покупка, продажа ценных бумаг, купонные платежи по ним и выплаты дивидендов;</w:t>
      </w:r>
    </w:p>
    <w:p>
      <w:pPr>
        <w:pStyle w:val="MainText"/>
        <w:rPr/>
      </w:pPr>
      <w:r>
        <w:rPr/>
        <w:t>предоставление (привлечение) кредитов, ссуд, займов и выплаты в счет погашения процентов и основного долга;</w:t>
      </w:r>
    </w:p>
    <w:p>
      <w:pPr>
        <w:pStyle w:val="MainText"/>
        <w:rPr/>
      </w:pPr>
      <w:r>
        <w:rPr/>
        <w:t>взносы в уставный капитал и распределение прибыли от участия в нем, инвестиционные и паевые взносы;</w:t>
      </w:r>
    </w:p>
    <w:p>
      <w:pPr>
        <w:pStyle w:val="MainText"/>
        <w:rPr/>
      </w:pPr>
      <w:r>
        <w:rPr/>
        <w:t>покупка, продажа долей (кроме долевого инвестирования в строительство недвижимого имущества);</w:t>
      </w:r>
    </w:p>
    <w:p>
      <w:pPr>
        <w:pStyle w:val="MainText"/>
        <w:rPr/>
      </w:pPr>
      <w:r>
        <w:rPr/>
        <w:t>операции, связанные с производными финансовыми инструментами и конверсионными операциями на валютных рынках;</w:t>
      </w:r>
    </w:p>
    <w:p>
      <w:pPr>
        <w:pStyle w:val="MainText"/>
        <w:rPr/>
      </w:pPr>
      <w:r>
        <w:rPr/>
        <w:t>покупка, продажа чеков, векселей;</w:t>
      </w:r>
    </w:p>
    <w:p>
      <w:pPr>
        <w:pStyle w:val="MainText"/>
        <w:rPr/>
      </w:pPr>
      <w:r>
        <w:rPr/>
        <w:t>расчеты с использованием платежных карт (операции по получению наличных денежных средств в банкоматах и пунктах выдачи наличных, по оплате товаров, работ, услуг).</w:t>
      </w:r>
    </w:p>
    <w:p>
      <w:pPr>
        <w:pStyle w:val="MainText"/>
        <w:rPr/>
      </w:pPr>
      <w:r>
        <w:rPr/>
        <w:t>В графе 5 подраздела 2.1 указывается один из следующих кодов:</w:t>
      </w:r>
    </w:p>
    <w:p>
      <w:pPr>
        <w:pStyle w:val="MainText"/>
        <w:rPr/>
      </w:pPr>
      <w:r>
        <w:rPr/>
        <w:t>1 — выполнение работ, оказание услуг, передача информации, результатов интеллектуальной деятельности;</w:t>
      </w:r>
    </w:p>
    <w:p>
      <w:pPr>
        <w:pStyle w:val="MainText"/>
        <w:rPr/>
      </w:pPr>
      <w:r>
        <w:rPr/>
        <w:t>2 — гранты, пожертвования, компенсации, стипендии, пенсии, алименты, выплаты наследства, дарение;</w:t>
      </w:r>
    </w:p>
    <w:p>
      <w:pPr>
        <w:pStyle w:val="MainText"/>
        <w:rPr/>
      </w:pPr>
      <w:r>
        <w:rPr/>
        <w:t>3 — перечисление заработной платы;</w:t>
      </w:r>
    </w:p>
    <w:p>
      <w:pPr>
        <w:pStyle w:val="MainText"/>
        <w:rPr/>
      </w:pPr>
      <w:r>
        <w:rPr/>
        <w:t>4 — расчеты за товары;</w:t>
      </w:r>
    </w:p>
    <w:p>
      <w:pPr>
        <w:pStyle w:val="MainText"/>
        <w:rPr/>
      </w:pPr>
      <w:r>
        <w:rPr/>
        <w:t>5 — операции с недвижимым имуществом;</w:t>
      </w:r>
    </w:p>
    <w:p>
      <w:pPr>
        <w:pStyle w:val="MainText"/>
        <w:rPr/>
      </w:pPr>
      <w:r>
        <w:rPr/>
        <w:t>6 — переводы собственных средств и переводы между близкими родственниками;</w:t>
      </w:r>
    </w:p>
    <w:p>
      <w:pPr>
        <w:pStyle w:val="MainText"/>
        <w:rPr/>
      </w:pPr>
      <w:r>
        <w:rPr/>
        <w:t>9 — прочие переводы.</w:t>
      </w:r>
    </w:p>
    <w:p>
      <w:pPr>
        <w:pStyle w:val="MainText"/>
        <w:rPr/>
      </w:pPr>
      <w:r>
        <w:rPr/>
        <w:t>III.2.2. В подразделе 2.2 отражаются трансграничные переводы, поступившие в отчетном периоде в пользу нерезидентов-переводополучателей и отправленные нерезидентами-перевододателями в иностранной валюте и в валюте Российской Федерации (с открытием и без открытия счета).</w:t>
      </w:r>
    </w:p>
    <w:p>
      <w:pPr>
        <w:pStyle w:val="MainText"/>
        <w:rPr/>
      </w:pPr>
      <w:r>
        <w:rPr/>
        <w:t>В подразделе 2.2 не отражаются переводы по следующим операциям:</w:t>
      </w:r>
    </w:p>
    <w:p>
      <w:pPr>
        <w:pStyle w:val="MainText"/>
        <w:rPr/>
      </w:pPr>
      <w:r>
        <w:rPr/>
        <w:t>денежные переводы, осуществленные через системы денежных переводов, указанные в графе 7 таблицы, приведенной в разделе IV настоящего Порядка, а также через системы MoneyGram, Coinstar Money Transfer и другие;</w:t>
      </w:r>
    </w:p>
    <w:p>
      <w:pPr>
        <w:pStyle w:val="MainText"/>
        <w:rPr/>
      </w:pPr>
      <w:r>
        <w:rPr/>
        <w:t>покупка, продажа платежных документов;</w:t>
      </w:r>
    </w:p>
    <w:p>
      <w:pPr>
        <w:pStyle w:val="MainText"/>
        <w:rPr/>
      </w:pPr>
      <w:r>
        <w:rPr/>
        <w:t>расчеты с использованием платежных карт (операции по получению наличных денежных средств в банкоматах и пунктах выдачи наличных, по оплате товаров, работ, услуг).</w:t>
      </w:r>
    </w:p>
    <w:p>
      <w:pPr>
        <w:pStyle w:val="MainText"/>
        <w:rPr/>
      </w:pPr>
      <w:r>
        <w:rPr/>
        <w:t>III.3. Возвраты денежных средств, отраженных в Отчетах за предыдущие периоды (за последние 12 месяцев), отражаются в Отчете за тот период, в котором был осуществлен их возврат.</w:t>
      </w:r>
    </w:p>
    <w:p>
      <w:pPr>
        <w:pStyle w:val="MainText"/>
        <w:rPr/>
      </w:pPr>
      <w:r>
        <w:rPr/>
        <w:t>Возврат поступивших, но не выплаченных денежных средств вычитается из общей суммы (с теми же значениями граф 2—6 Отчета) поступивших в отчетном периоде денежных средств. Полученное сальдо отражается в графах 7, 8 Отчета. Аналогичным образом отражаются возвраты ранее отправленных переводов.</w:t>
      </w:r>
    </w:p>
    <w:p>
      <w:pPr>
        <w:pStyle w:val="MainText"/>
        <w:rPr/>
      </w:pPr>
      <w:r>
        <w:rPr/>
        <w:t>Если переводы, платежи (поступления) денежных средств, а также их возвраты осуществлялись в течение одного отчетного периода в одной и той же валюте, с одним и тем же кодом страны переводополучателя (перевододателя) и кодом операции, в Отчете указанные операции сальдируются.</w:t>
      </w:r>
    </w:p>
    <w:p>
      <w:pPr>
        <w:pStyle w:val="MainText"/>
        <w:rPr/>
      </w:pPr>
      <w:r>
        <w:rPr/>
        <w:t>III.4. В графе 2 Отчета указываются следующие направления переводов:</w:t>
      </w:r>
    </w:p>
    <w:p>
      <w:pPr>
        <w:pStyle w:val="MainText"/>
        <w:rPr/>
      </w:pPr>
      <w:r>
        <w:rPr/>
        <w:t>переводы из Российской Федерации,</w:t>
      </w:r>
    </w:p>
    <w:p>
      <w:pPr>
        <w:pStyle w:val="MainText"/>
        <w:rPr/>
      </w:pPr>
      <w:r>
        <w:rPr/>
        <w:t>переводы в Российскую Федерацию.</w:t>
      </w:r>
    </w:p>
    <w:p>
      <w:pPr>
        <w:pStyle w:val="MainText"/>
        <w:rPr/>
      </w:pPr>
      <w:r>
        <w:rPr/>
        <w:t>III.5. В графе 3 Отчета указывается следующее:</w:t>
      </w:r>
    </w:p>
    <w:p>
      <w:pPr>
        <w:pStyle w:val="MainText"/>
        <w:rPr/>
      </w:pPr>
      <w:r>
        <w:rPr/>
        <w:t>ФЛ — физические лица;</w:t>
      </w:r>
    </w:p>
    <w:p>
      <w:pPr>
        <w:pStyle w:val="MainText"/>
        <w:rPr/>
      </w:pPr>
      <w:r>
        <w:rPr/>
        <w:t>ЮЛ — юридические лица;</w:t>
      </w:r>
    </w:p>
    <w:p>
      <w:pPr>
        <w:pStyle w:val="MainText"/>
        <w:rPr/>
      </w:pPr>
      <w:r>
        <w:rPr/>
        <w:t>Н/Д — прочие контрагенты, информация о которых отсутствует.</w:t>
      </w:r>
    </w:p>
    <w:p>
      <w:pPr>
        <w:pStyle w:val="MainText"/>
        <w:rPr/>
      </w:pPr>
      <w:r>
        <w:rPr/>
        <w:t>Для переводов из Российской Федерации указывается контрагент-переводополучатель, для переводов в Российскую Федерацию — контрагент-перевододатель.</w:t>
      </w:r>
    </w:p>
    <w:p>
      <w:pPr>
        <w:pStyle w:val="MainText"/>
        <w:rPr/>
      </w:pPr>
      <w:r>
        <w:rPr/>
        <w:t>III.6. В графе 4 указывается цифровой код страны банка перевододателя (для переводов в Российскую Федерацию) или банка переводополучателя (для переводов из Российской Федерации) в соответствии с Общероссийским классификатором стран мира (ОКСМ).</w:t>
      </w:r>
    </w:p>
    <w:p>
      <w:pPr>
        <w:pStyle w:val="MainText"/>
        <w:rPr/>
      </w:pPr>
      <w:r>
        <w:rPr/>
        <w:t>В случае если страна банка перевододателя не известна, следует использовать дополнительные источники, имеющиеся в распоряжении уполномоченного банка (его филиала), или обращаться к клиентам за дополнительными разъяснениями. При отсутствии информации о стране банка переводополучателя (банка перевододателя) в данной графе отражается код “999”.</w:t>
      </w:r>
    </w:p>
    <w:p>
      <w:pPr>
        <w:pStyle w:val="MainText"/>
        <w:rPr/>
      </w:pPr>
      <w:r>
        <w:rPr/>
        <w:t>В графе 4 не должен указываться цифровой код Российской Федерации.</w:t>
      </w:r>
    </w:p>
    <w:p>
      <w:pPr>
        <w:pStyle w:val="MainText"/>
        <w:rPr/>
      </w:pPr>
      <w:r>
        <w:rPr/>
        <w:t>III.7. В графе 5 подраздела 2.1 указывается один из кодов операций, пояснения к которым приведены в разделе V настоящего Порядка.</w:t>
      </w:r>
    </w:p>
    <w:p>
      <w:pPr>
        <w:pStyle w:val="MainText"/>
        <w:rPr/>
      </w:pPr>
      <w:r>
        <w:rPr/>
        <w:t>В разделе 1 и подразделе 2.2 графа 5 не заполняется.</w:t>
      </w:r>
    </w:p>
    <w:p>
      <w:pPr>
        <w:pStyle w:val="MainText"/>
        <w:rPr/>
      </w:pPr>
      <w:r>
        <w:rPr/>
        <w:t>III.8. В графе 6 Отчета указывается цифровой код валюты в соответствии с Общероссийским классификатором валют (ОКВ).</w:t>
      </w:r>
    </w:p>
    <w:p>
      <w:pPr>
        <w:pStyle w:val="MainText"/>
        <w:rPr/>
      </w:pPr>
      <w:r>
        <w:rPr/>
        <w:t>Суммы указываются в валюте, которая была списана с корреспондентского счета или зачислена на корреспондентский счет отчитывающегося уполномоченного банка (для отчитывающихся филиалов уполномоченного банка указывается валюта межфилиальных расчетов).</w:t>
      </w:r>
    </w:p>
    <w:p>
      <w:pPr>
        <w:pStyle w:val="MainText"/>
        <w:rPr/>
      </w:pPr>
      <w:r>
        <w:rPr/>
        <w:t>III.9. В графе 7 Отчета отражается общее количество операций, осуществленных в отчетном периоде.</w:t>
      </w:r>
    </w:p>
    <w:p>
      <w:pPr>
        <w:pStyle w:val="MainText"/>
        <w:rPr/>
      </w:pPr>
      <w:r>
        <w:rPr/>
        <w:t>III.10. В графе 8 Отчета отражается общая сумма операций, определяемая на валовой основе. Общая сумма округляется по математическому методу и указывается в целых единицах соответствующего вида валюты.</w:t>
      </w:r>
    </w:p>
    <w:p>
      <w:pPr>
        <w:pStyle w:val="MainText"/>
        <w:rPr/>
      </w:pPr>
      <w:r>
        <w:rPr/>
        <w:t>III.11. Для целей Отчета датой проведения перевода, платежа (поступления) денежных средств считается дата осуществления операции между отчитывающимся уполномоченным банком (его филиалом) и банком-корреспондентом или между отчитывающимся филиалом уполномоченного банка и его головным офисом.</w:t>
      </w:r>
    </w:p>
    <w:p>
      <w:pPr>
        <w:pStyle w:val="MGlavaCenter"/>
        <w:keepNext w:val="false"/>
        <w:rPr>
          <w:b w:val="false"/>
        </w:rPr>
      </w:pPr>
      <w:r>
        <w:rPr/>
        <w:t>Раздел IV. Перечень уполномоченных банков, представляющих раздел 1 Отчета</w:t>
      </w:r>
    </w:p>
    <w:tbl>
      <w:tblPr>
        <w:tblW w:w="10985" w:type="dxa"/>
        <w:jc w:val="center"/>
        <w:tblInd w:w="0" w:type="dxa"/>
        <w:tblLayout w:type="fixed"/>
        <w:tblCellMar>
          <w:top w:w="0" w:type="dxa"/>
          <w:start w:w="28" w:type="dxa"/>
          <w:bottom w:w="0" w:type="dxa"/>
          <w:end w:w="28" w:type="dxa"/>
        </w:tblCellMar>
      </w:tblPr>
      <w:tblGrid>
        <w:gridCol w:w="672"/>
        <w:gridCol w:w="1278"/>
        <w:gridCol w:w="708"/>
        <w:gridCol w:w="1417"/>
        <w:gridCol w:w="3544"/>
        <w:gridCol w:w="1134"/>
        <w:gridCol w:w="2232"/>
      </w:tblGrid>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территории</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Код по ОКАТО</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Регистрационный номер</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Фирменное наименование кредитной организации — расчетного (клирингового) центра</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БИК</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системы денежных переводов</w:t>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1073</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АКБ “РУССЛАВБАНК” (ЗАО)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044552685</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Contact</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3304-К</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НКО ЗАО “ЛИДЕР”</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044552501</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Международные денежные переводы ЛИДЕР</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3292</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ЗАО “РАЙФФАЙЗЕНБАНК”</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044525700</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Быстрая почта</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2726-С</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ООО “НКО “ВЕСТЕРН ЮНИОН ДП ВОСТОК”</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044525299</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Western Union</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3467</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ОАО КБ “ЮНИСТРИМ”</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044585550</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UNIStream</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2803</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АКБ “ИНТЕРКООПБАНК” (ОАО)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044579110</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InterExpress</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2827</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ООО МКБ “МОСКОМПРИВАТБАНК”</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044585342</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PrivatMoney</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2968</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КБ “ЕВРОТРАСТ” (ЗАО)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044525762</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Migom</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3342-К</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НКО “ОРС” (ОАО)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044583103</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АЛЛЮР</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3443</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ООО КБ “АНЕЛИК РУ”</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044583616</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Anelik</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1623</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ВТБ 24 (ЗАО)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044525716</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Гута-Спринт</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Новосибирск</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50</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3166-К</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РНКО “ПЛАТЕЖНЫЙ ЦЕНТР” (ООО)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045017786</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w:t>
            </w:r>
            <w:r>
              <w:rPr>
                <w:sz w:val="16"/>
              </w:rPr>
              <w:t>Золотая корона”</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3303</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АЗИЯ-ИНВЕСТ БАНК (ЗАО)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044585218</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АзияЭкспресс</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1470</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ОАО АКБ “СВЯЗЬ-БАНК”</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044525848</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BLIZКO</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c>
          <w:tcPr>
            <w:tcW w:w="127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Москва</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45</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1481</w:t>
            </w:r>
          </w:p>
        </w:tc>
        <w:tc>
          <w:tcPr>
            <w:tcW w:w="35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СБЕРБАНК РОССИИ ОАО</w:t>
            </w:r>
          </w:p>
        </w:tc>
        <w:tc>
          <w:tcPr>
            <w:tcW w:w="11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044525225</w:t>
            </w:r>
          </w:p>
        </w:tc>
        <w:tc>
          <w:tcPr>
            <w:tcW w:w="22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Блиц</w:t>
            </w:r>
          </w:p>
        </w:tc>
      </w:tr>
    </w:tbl>
    <w:p>
      <w:pPr>
        <w:pStyle w:val="MainText"/>
        <w:spacing w:before="120" w:after="0"/>
        <w:rPr/>
      </w:pPr>
      <w:r>
        <w:rPr/>
        <w:t>Операции отчитывающегося уполномоченного банка (его филиала), осуществленные через системы денежных переводов, указанные в графе 7 таблицы, приведенной в данном разделе, в разделе 2 не отражаются.</w:t>
      </w:r>
    </w:p>
    <w:p>
      <w:pPr>
        <w:pStyle w:val="MGlavaCenter"/>
        <w:rPr>
          <w:b w:val="false"/>
        </w:rPr>
      </w:pPr>
      <w:r>
        <w:rPr>
          <w:b w:val="false"/>
        </w:rPr>
        <w:t>Раздел V. Пояснения к кодам операций</w:t>
      </w:r>
    </w:p>
    <w:p>
      <w:pPr>
        <w:pStyle w:val="MainText"/>
        <w:rPr/>
      </w:pPr>
      <w:r>
        <w:rPr/>
        <w:t>V.1. К коду 1 относятся: платежи (поступления) денежных средств за выполнение работ, предоставление услуг, передачу информации, результатов интеллектуальной деятельности (строительные услуги, услуги гостиниц, ресторанов, туристических агентств и операторов, услуги по транспортным перевозкам, услуги связи, финансовые, юридические, консультационные услуги, страховые взносы (премии), страховые выплаты (возмещения), консульские сборы, аренда зданий и сооружений и другие виды работ, услуг, передачи информации, результатов интеллектуальной деятельности).</w:t>
      </w:r>
    </w:p>
    <w:p>
      <w:pPr>
        <w:pStyle w:val="MainText"/>
        <w:rPr/>
      </w:pPr>
      <w:r>
        <w:rPr/>
        <w:t>V.2. К коду 2 относятся: отчисления (пожертвования) в некоммерческие и благотворительные организации; гранты; выплаты, компенсации, связанные с возмещением ущерба; полученные стипендии и пенсии; алименты и прочие выплаты на содержание детей; перечисление денежных средств, переходящих в порядке наследования или дарения.</w:t>
      </w:r>
    </w:p>
    <w:p>
      <w:pPr>
        <w:pStyle w:val="MainText"/>
        <w:rPr/>
      </w:pPr>
      <w:r>
        <w:rPr/>
        <w:t>V.3. К коду 3 относятся: поступления заработной платы, премий и прочие перечисления денежных средств по трудовым договорам в пользу физических лиц — резидентов.</w:t>
      </w:r>
    </w:p>
    <w:p>
      <w:pPr>
        <w:pStyle w:val="MainText"/>
        <w:rPr/>
      </w:pPr>
      <w:r>
        <w:rPr/>
        <w:t>V.4. К коду 4 относятся: торговля по каталогам, платежи и поступления денежных средств за товары, не связанные с осуществлением предпринимательской деятельности.</w:t>
      </w:r>
    </w:p>
    <w:p>
      <w:pPr>
        <w:pStyle w:val="MainText"/>
        <w:rPr/>
      </w:pPr>
      <w:r>
        <w:rPr/>
        <w:t>V.5. К коду 5 относятся: покупка или продажа прав на недвижимое имущество, включая приобретение недвижимого имущества посредством долевого инвестирования.</w:t>
      </w:r>
    </w:p>
    <w:p>
      <w:pPr>
        <w:pStyle w:val="MainText"/>
        <w:rPr/>
      </w:pPr>
      <w:r>
        <w:rPr/>
        <w:t>V.6. К коду 6 относятся: переводы в рублях и иностранной валюте со счета физического лица — резидента, открытого в банке-нерезиденте, на счет того же физического лица — резидента в уполномоченном банке (его филиале) и переводы в рублях и иностранной валюте со счета физического лица — резидента в уполномоченном банке (его филиале) на счет того же физического лица — резидента, открытый в банке-нерезиденте, а также переводы физических лиц — резидентов в рублях и иностранной валюте со своих счетов, открытых в уполномоченных банках, в пользу иных физических лиц — резидентов, являющихся их супругами или близкими родственниками, на счета указанных лиц, открытые в банках-нерезидентах, и переводы в пользу физических лиц — резидентов в рублях и иностранной валюте на счета, открытые в уполномоченных банках, осуществленные иными физическими лицами — резидентами, являющимися их супругами или близкими родственниками, со счетов указанных лиц, открытых в банках-нерезидентах.</w:t>
      </w:r>
    </w:p>
    <w:p>
      <w:pPr>
        <w:pStyle w:val="MainText"/>
        <w:rPr/>
      </w:pPr>
      <w:r>
        <w:rPr/>
        <w:t>V.7. К коду 9 относятся: все переводы, цель которых не может быть выяснена на момент составления Отчета; переводы, связанные с пополнением счета, за исключением переводов собственных средств и переводов между близкими родственниками; переводы с назначением платежа: “материальная помощь”, “безвозмездная помощь”, “переводы на текущие расходы”, а также все прочие переводы, не отнесенные к кодам 1—6.</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 МЕЖБАНКОВСКИХ КРЕДИТАХ И ДЕПОЗИТАХ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0409501</w:t>
        <w:br/>
        <w:t>Месячная</w:t>
        <w:br/>
        <w:t>тыс. руб.</w:t>
      </w:r>
    </w:p>
    <w:tbl>
      <w:tblPr>
        <w:tblW w:w="16249" w:type="dxa"/>
        <w:jc w:val="center"/>
        <w:tblInd w:w="0" w:type="dxa"/>
        <w:tblLayout w:type="fixed"/>
        <w:tblCellMar>
          <w:top w:w="0" w:type="dxa"/>
          <w:start w:w="28" w:type="dxa"/>
          <w:bottom w:w="0" w:type="dxa"/>
          <w:end w:w="28" w:type="dxa"/>
        </w:tblCellMar>
      </w:tblPr>
      <w:tblGrid>
        <w:gridCol w:w="670"/>
        <w:gridCol w:w="1988"/>
        <w:gridCol w:w="1415"/>
        <w:gridCol w:w="1353"/>
        <w:gridCol w:w="1625"/>
        <w:gridCol w:w="1314"/>
        <w:gridCol w:w="1314"/>
        <w:gridCol w:w="1314"/>
        <w:gridCol w:w="1314"/>
        <w:gridCol w:w="1314"/>
        <w:gridCol w:w="1314"/>
        <w:gridCol w:w="1314"/>
      </w:tblGrid>
      <w:tr>
        <w:trPr>
          <w:tblHeader w:val="true"/>
          <w:cantSplit/>
        </w:trPr>
        <w:tc>
          <w:tcPr>
            <w:tcW w:w="67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1988" w:type="dxa"/>
            <w:tcBorders>
              <w:top w:val="single" w:sz="6" w:space="0" w:color="000000"/>
              <w:start w:val="single" w:sz="6" w:space="0" w:color="000000"/>
              <w:end w:val="single" w:sz="6" w:space="0" w:color="000000"/>
            </w:tcBorders>
          </w:tcPr>
          <w:p>
            <w:pPr>
              <w:pStyle w:val="MainText"/>
              <w:keepNext w:val="true"/>
              <w:pBdr/>
              <w:ind w:hanging="0" w:end="0"/>
              <w:jc w:val="center"/>
              <w:rPr>
                <w:sz w:val="16"/>
              </w:rPr>
            </w:pPr>
            <w:r>
              <w:rPr>
                <w:sz w:val="16"/>
              </w:rPr>
              <w:t>Наименование</w:t>
            </w:r>
          </w:p>
        </w:tc>
        <w:tc>
          <w:tcPr>
            <w:tcW w:w="141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Регистрационный</w:t>
            </w:r>
          </w:p>
        </w:tc>
        <w:tc>
          <w:tcPr>
            <w:tcW w:w="135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страны</w:t>
            </w:r>
          </w:p>
        </w:tc>
        <w:tc>
          <w:tcPr>
            <w:tcW w:w="162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131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131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Остаток</w:t>
            </w:r>
          </w:p>
        </w:tc>
        <w:tc>
          <w:tcPr>
            <w:tcW w:w="2628"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Обороты за отчетный месяц</w:t>
            </w:r>
          </w:p>
        </w:tc>
        <w:tc>
          <w:tcPr>
            <w:tcW w:w="131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Остаток</w:t>
            </w:r>
          </w:p>
        </w:tc>
        <w:tc>
          <w:tcPr>
            <w:tcW w:w="131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Дата</w:t>
            </w:r>
          </w:p>
        </w:tc>
        <w:tc>
          <w:tcPr>
            <w:tcW w:w="131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Процентная</w:t>
            </w:r>
          </w:p>
        </w:tc>
      </w:tr>
      <w:tr>
        <w:trPr>
          <w:tblHeader w:val="true"/>
          <w:cantSplit/>
        </w:trPr>
        <w:tc>
          <w:tcPr>
            <w:tcW w:w="670"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w:t>
            </w:r>
          </w:p>
        </w:tc>
        <w:tc>
          <w:tcPr>
            <w:tcW w:w="19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кредитной организации, привлекшей (разместившей) денежные средства</w:t>
            </w:r>
          </w:p>
        </w:tc>
        <w:tc>
          <w:tcPr>
            <w:tcW w:w="1415"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(код СВИФТ)</w:t>
            </w:r>
          </w:p>
        </w:tc>
        <w:tc>
          <w:tcPr>
            <w:tcW w:w="1353"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места нахождения кредитной организации</w:t>
            </w:r>
          </w:p>
        </w:tc>
        <w:tc>
          <w:tcPr>
            <w:tcW w:w="1625"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балансового счета, на котором отражены привлеченные (размещенные) средства</w:t>
            </w:r>
          </w:p>
        </w:tc>
        <w:tc>
          <w:tcPr>
            <w:tcW w:w="131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отдельного лицевого счета</w:t>
            </w:r>
          </w:p>
        </w:tc>
        <w:tc>
          <w:tcPr>
            <w:tcW w:w="131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начало месяца</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дебетовый</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кредитовый</w:t>
            </w:r>
          </w:p>
        </w:tc>
        <w:tc>
          <w:tcPr>
            <w:tcW w:w="131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конец месяца</w:t>
            </w:r>
          </w:p>
        </w:tc>
        <w:tc>
          <w:tcPr>
            <w:tcW w:w="131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исполнения обязательства</w:t>
            </w:r>
          </w:p>
        </w:tc>
        <w:tc>
          <w:tcPr>
            <w:tcW w:w="1314"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ставка</w:t>
            </w:r>
          </w:p>
        </w:tc>
      </w:tr>
      <w:tr>
        <w:trPr>
          <w:tblHeader w:val="true"/>
          <w:cantSplit/>
        </w:trPr>
        <w:tc>
          <w:tcPr>
            <w:tcW w:w="6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9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41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35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62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13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5579" w:type="dxa"/>
            <w:gridSpan w:val="11"/>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 Сведения о предоставленных межбанковских кредитах (размещенных депозитах)</w:t>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9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9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9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5579" w:type="dxa"/>
            <w:gridSpan w:val="11"/>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 Сведения о полученных межбанковских кредитах (привлеченных депозитах)</w:t>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19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9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9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5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2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0409501 “Сведения о межбанковских кредитах и депозитах”</w:t>
      </w:r>
    </w:p>
    <w:p>
      <w:pPr>
        <w:pStyle w:val="MainText"/>
        <w:rPr/>
      </w:pPr>
      <w:r>
        <w:rPr/>
        <w:t>1. В отчетности по форме 0409501 “Сведения о межбанковских кредитах и депозитах” (далее — Отчет) отражаются сведения о привлеченных (размещенных) кредитной организацией средствах. Деление средств на кредиты (депозиты) производится исходя из условий заключенных между кредитными организациями договоров (соглашений) в соответствии с требованиями гражданского законодательства Российской Федерации.</w:t>
      </w:r>
    </w:p>
    <w:p>
      <w:pPr>
        <w:pStyle w:val="MainText"/>
        <w:rPr/>
      </w:pPr>
      <w:r>
        <w:rPr/>
        <w:t>При размещении одной кредитной организацией средств в другой кредитной организации и наличии в договоре (соглашении) указания на то, что данная операция является кредитной, в бухгалтерском учете и отчетности контрагентов операция отражается как кредит, предоставленный кредитной организацией (полученный кредитной организацией). В случае, если в соглашении операция определена как депозитная, в бухгалтерском учете и отчетности данная операция отражается как размещенные (привлеченные) депозиты.</w:t>
      </w:r>
    </w:p>
    <w:p>
      <w:pPr>
        <w:pStyle w:val="MainText"/>
        <w:rPr/>
      </w:pPr>
      <w:r>
        <w:rPr/>
        <w:t>В Отчете подлежат также отражению средства, числящиеся на корреспондентских счетах кредитной организации (“ЛОРО”, “НОСТРО”), которые исходя из принципа преобладания экономической сущности над формой и других международно признанных принципов могут быть классифицированы кредитной организацией как межбанковский кредит (депозит) полученный (выданный).</w:t>
      </w:r>
    </w:p>
    <w:p>
      <w:pPr>
        <w:pStyle w:val="MainText"/>
        <w:rPr/>
      </w:pPr>
      <w:r>
        <w:rPr/>
        <w:t>2. Понятия “резидент” и “нерезидент” используются для целей составления Отчета в соответствии с валютным законодательством Российской Федерации.</w:t>
      </w:r>
    </w:p>
    <w:p>
      <w:pPr>
        <w:pStyle w:val="MainText"/>
        <w:rPr/>
      </w:pPr>
      <w:r>
        <w:rPr/>
        <w:t>3. В графе 2 Отчета указывается наименование кредитной организации:</w:t>
      </w:r>
    </w:p>
    <w:p>
      <w:pPr>
        <w:pStyle w:val="MainText"/>
        <w:rPr/>
      </w:pPr>
      <w:r>
        <w:rPr/>
        <w:t>резидента — в соответствии с Книгой государственной регистрации кредитных организаций;</w:t>
      </w:r>
    </w:p>
    <w:p>
      <w:pPr>
        <w:pStyle w:val="MainText"/>
        <w:rPr/>
      </w:pPr>
      <w:r>
        <w:rPr/>
        <w:t>нерезидента — участника системы СВИФТ — в соответствии со справочником СВИФТ, других кредитных организаций — нерезидентов — в соответствии с наименованием, приведенным в договоре (соглашении), указанном в пункте 1 настоящего Порядка.</w:t>
      </w:r>
    </w:p>
    <w:p>
      <w:pPr>
        <w:pStyle w:val="MainText"/>
        <w:rPr/>
      </w:pPr>
      <w:r>
        <w:rPr/>
        <w:t>Сведения по кредитным организациям, у которых отозвана лицензия на осуществление банковских операций, включаются в Отчет до момента исключения записей об их регистрации из Книги государственной регистрации кредитных организаций.</w:t>
      </w:r>
    </w:p>
    <w:p>
      <w:pPr>
        <w:pStyle w:val="MainText"/>
        <w:rPr/>
      </w:pPr>
      <w:r>
        <w:rPr/>
        <w:t>Сведения по кредитным организациям, записи о регистрации которых исключены из Книги государственной регистрации кредитных организаций, должны быть исключены из отчетности в том месяце, когда принято решение об исключении записи о регистрации кредитной организации из Книги государственной регистрации кредитных организаций. Если по каким-либо причинам сведения по таким кредитным организациям не были исключены из Отчета, должны быть представлены соответствующие пояснения.</w:t>
      </w:r>
    </w:p>
    <w:p>
      <w:pPr>
        <w:pStyle w:val="MainText"/>
        <w:rPr/>
      </w:pPr>
      <w:r>
        <w:rPr/>
        <w:t>4. В графе 3 Отчета указывается:</w:t>
      </w:r>
    </w:p>
    <w:p>
      <w:pPr>
        <w:pStyle w:val="MainText"/>
        <w:rPr/>
      </w:pPr>
      <w:r>
        <w:rPr/>
        <w:t>для кредитных организаций — резидентов — регистрационный номер кредитной организации в соответствии с Книгой государственной регистрации кредитных организаций;</w:t>
      </w:r>
    </w:p>
    <w:p>
      <w:pPr>
        <w:pStyle w:val="MainText"/>
        <w:rPr/>
      </w:pPr>
      <w:r>
        <w:rPr/>
        <w:t>для кредитных организаций — нерезидентов — участников системы СВИФТ — код кредитной организации по справочнику СВИФТ, для других кредитных организаций — нерезидентов — код НР.</w:t>
      </w:r>
    </w:p>
    <w:p>
      <w:pPr>
        <w:pStyle w:val="MainText"/>
        <w:rPr/>
      </w:pPr>
      <w:r>
        <w:rPr/>
        <w:t>5. В графе 4 Отчета указывается цифровой код страны в соответствии с Общероссийским классификатором стран мира (ОКСМ).</w:t>
      </w:r>
    </w:p>
    <w:p>
      <w:pPr>
        <w:pStyle w:val="MainText"/>
        <w:rPr/>
      </w:pPr>
      <w:r>
        <w:rPr/>
        <w:t>6. В графе 5 Отчета указывается номер балансового счета, на котором открыт отдельный лицевой счет:</w:t>
      </w:r>
    </w:p>
    <w:p>
      <w:pPr>
        <w:pStyle w:val="MainText"/>
        <w:rPr/>
      </w:pPr>
      <w:r>
        <w:rPr/>
        <w:t>в разделе I — кредитной организации — заемщику;</w:t>
      </w:r>
    </w:p>
    <w:p>
      <w:pPr>
        <w:pStyle w:val="MainText"/>
        <w:rPr/>
      </w:pPr>
      <w:r>
        <w:rPr/>
        <w:t>в разделе II — кредитной организации — кредитору.</w:t>
      </w:r>
    </w:p>
    <w:p>
      <w:pPr>
        <w:pStyle w:val="MainText"/>
        <w:rPr/>
      </w:pPr>
      <w:r>
        <w:rPr/>
        <w:t>7. В графе 6 Отчета указывается номер отдельного лицевого счета, присвоенный кредитной организацией, составляющей Отчет, кредитной организации — контрагенту.</w:t>
      </w:r>
    </w:p>
    <w:p>
      <w:pPr>
        <w:pStyle w:val="MainText"/>
        <w:rPr/>
      </w:pPr>
      <w:r>
        <w:rPr/>
        <w:t>8. Информация включается в Отчет в случае наличия данных хотя бы по одной из граф 7—10.</w:t>
      </w:r>
    </w:p>
    <w:p>
      <w:pPr>
        <w:pStyle w:val="MainText"/>
        <w:rPr/>
      </w:pPr>
      <w:r>
        <w:rPr/>
        <w:t>В графах 8—9 указываются обороты без учета исправительных проводок.</w:t>
      </w:r>
    </w:p>
    <w:p>
      <w:pPr>
        <w:pStyle w:val="MainText"/>
        <w:rPr/>
      </w:pPr>
      <w:r>
        <w:rPr/>
        <w:t>Кредиты (депозиты), отражение которых в бухгалтерском учете в соответствии с нормативными актами Банка России осуществляется на одном лицевом счете, могут отражаться в Отчете общей суммой за месяц.</w:t>
      </w:r>
    </w:p>
    <w:p>
      <w:pPr>
        <w:pStyle w:val="MainText"/>
        <w:rPr/>
      </w:pPr>
      <w:r>
        <w:rPr/>
        <w:t>Остатки и обороты по графам 7—10, сгруппированные по балансовым счетам второго порядка, должны соответствовать остаткам и оборотам этих счетов в оборотной ведомости по счетам бухгалтерского учета кредитной организации (отчетность по форме 0409101 “Оборотная ведомость по счетам бухгалтерского учета кредитной организации”), составленной на аналогичную отчетную дату. Остатки и обороты по указанным графам, сгруппированные по контрагентам-резидентам, должны соответствовать аналогичным показателям, приведенным в Отчете кредитной организации — резидента — контрагента на аналогичную дату.</w:t>
      </w:r>
    </w:p>
    <w:p>
      <w:pPr>
        <w:pStyle w:val="MainText"/>
        <w:rPr/>
      </w:pPr>
      <w:r>
        <w:rPr/>
        <w:t>При наличии расхождений между данными Отчета и отчетности по форме 0409101 “Оборотная ведомость по счетам бухгалтерского учета кредитной организации” кредитные организации вместе с Отчетом представляют пояснения (объяснения) о причинах расхождения. Пояснения (объяснения) представляются кредитными организациями также в случае установления расхождений в Отчетах кредитных организаций — контрагентов.</w:t>
      </w:r>
    </w:p>
    <w:p>
      <w:pPr>
        <w:pStyle w:val="MainText"/>
        <w:rPr/>
      </w:pPr>
      <w:r>
        <w:rPr/>
        <w:t>Отражению в Отчете также подлежат требования к кредитным организациям и обязательства кредитной организации перед кредитными организациями по возврату денежных средств, предоставленных (полученных) по сделкам, совершаемым с ценными бумагами на возвратной основе без прекращения признания (без первоначального признания) ценных бумаг (сделки РЕПО) и гарантийный депозит (вклад), полученный (переданный) по операциям займа ценных бумаг без прекращения признания (без первоначального признания) в качестве обеспечения возврата ценных бумаг и уплаты процентов за пользование ими (далее — гарантийный депозит (вклад). По сделкам РЕПО в графе 1 Отчета рядом с порядковым номером указывается символ “*”, по гарантийным депозитам (вкладам) — символ “**”.</w:t>
      </w:r>
    </w:p>
    <w:p>
      <w:pPr>
        <w:pStyle w:val="MainText"/>
        <w:rPr/>
      </w:pPr>
      <w:r>
        <w:rPr/>
        <w:t>В случае заключения сделки РЕПО через брокера на бирже (в том числе если брокером является кредитная организация) в графах 2—4 Отчета в качестве контрагента по сделке указывается кредитная организация — конечный контрагент.</w:t>
      </w:r>
    </w:p>
    <w:p>
      <w:pPr>
        <w:pStyle w:val="MainText"/>
        <w:rPr/>
      </w:pPr>
      <w:r>
        <w:rPr/>
        <w:t>Сделки РЕПО, заключаемые на бирже с участием центрального контрагента, отражению в форме не подлежат.</w:t>
      </w:r>
    </w:p>
    <w:p>
      <w:pPr>
        <w:pStyle w:val="MainText"/>
        <w:rPr/>
      </w:pPr>
      <w:r>
        <w:rPr/>
        <w:t>9. В графе 11 указываются календарные даты исполнения обязательств в формате “дд.мм.гггг”, где “дд” — день, “мм” — месяц, “гггг” — год.</w:t>
      </w:r>
    </w:p>
    <w:p>
      <w:pPr>
        <w:pStyle w:val="MainText"/>
        <w:rPr/>
      </w:pPr>
      <w:r>
        <w:rPr/>
        <w:t>Предоставленные (размещенные) кредитной организацией кредиты (депозиты) “овернайт” отражаются в Отчете как кредиты (депозиты), предоставленные (размещенные) сроком на 1 рабочий день. В случае если срок исполнения обязательств приходится на нерабочий день, днем их погашения будет считаться следующий за ним рабочий день.</w:t>
      </w:r>
    </w:p>
    <w:p>
      <w:pPr>
        <w:pStyle w:val="MainText"/>
        <w:rPr/>
      </w:pPr>
      <w:r>
        <w:rPr/>
        <w:t>10. В графе 12 процентная ставка по кредиту указывается исходя из договора (соглашения), дополнительного договора (соглашения), для кредитов, предоставляемых траншами, — исходя из условий последнего транша. По кредитам (депозитам) “овернайт” указывается средневзвешенная за отчетный период процентная ставка, рассчитываемая по формуле:</w:t>
      </w:r>
    </w:p>
    <w:p>
      <w:pPr>
        <w:pStyle w:val="MainTextBezOtstupa"/>
        <w:spacing w:before="120" w:after="120"/>
        <w:ind w:start="567" w:end="0"/>
        <w:jc w:val="start"/>
        <w:rPr/>
      </w:pPr>
      <w:r>
        <w:rPr/>
        <w:t>Pav = (V1 x P1 + V2 x P2 + ... + Vn x Pn) : (V1 + V2 + ... + Vn),</w:t>
      </w:r>
    </w:p>
    <w:p>
      <w:pPr>
        <w:pStyle w:val="MainText"/>
        <w:rPr/>
      </w:pPr>
      <w:r>
        <w:rPr/>
        <w:t>где:</w:t>
      </w:r>
    </w:p>
    <w:p>
      <w:pPr>
        <w:pStyle w:val="MainText"/>
        <w:rPr/>
      </w:pPr>
      <w:r>
        <w:rPr/>
        <w:t>V1, V2, ... Vn — объем кредита (депозита, вклада) по кредитному (депозитному) договору (дополнительному соглашению) по n-й сделке;</w:t>
      </w:r>
    </w:p>
    <w:p>
      <w:pPr>
        <w:pStyle w:val="MainText"/>
        <w:rPr/>
      </w:pPr>
      <w:r>
        <w:rPr/>
        <w:t>P1, P2, ... Pn — номинальная процентная ставка по n-й сделке, установленная в кредитном (депозитном) договоре.</w:t>
      </w:r>
    </w:p>
    <w:p>
      <w:pPr>
        <w:pStyle w:val="MainText"/>
        <w:rPr/>
      </w:pPr>
      <w:r>
        <w:rPr/>
        <w:t>По сделкам РЕПО в графе 12 Отчета приводится ставка РЕПО. По гарантийным депозитам (вкладам) графа 12 Отчета не заполняется.</w:t>
      </w:r>
    </w:p>
    <w:p>
      <w:pPr>
        <w:pStyle w:val="MainText"/>
        <w:rPr/>
      </w:pPr>
      <w:r>
        <w:rPr/>
        <w:t>11. Отчет составляется в целом по кредитной организации (включая небанковские кредитные организации) по состоянию на 1-е число месяца, следующего за отчетным, и представляется в территориальное учреждение Банка России:</w:t>
      </w:r>
    </w:p>
    <w:p>
      <w:pPr>
        <w:pStyle w:val="MainText"/>
        <w:rPr/>
      </w:pPr>
      <w:r>
        <w:rPr/>
        <w:t>кредитными организациями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12.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9923" w:type="dxa"/>
        <w:jc w:val="end"/>
        <w:tblInd w:w="0" w:type="dxa"/>
        <w:tblLayout w:type="fixed"/>
        <w:tblCellMar>
          <w:top w:w="0" w:type="dxa"/>
          <w:start w:w="107" w:type="dxa"/>
          <w:bottom w:w="0" w:type="dxa"/>
          <w:end w:w="107" w:type="dxa"/>
        </w:tblCellMar>
      </w:tblPr>
      <w:tblGrid>
        <w:gridCol w:w="1418"/>
        <w:gridCol w:w="1134"/>
        <w:gridCol w:w="2268"/>
        <w:gridCol w:w="2268"/>
        <w:gridCol w:w="1134"/>
        <w:gridCol w:w="1701"/>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c>
          <w:tcPr>
            <w:tcW w:w="1701"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Число филиалов,</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c>
          <w:tcPr>
            <w:tcW w:w="1701"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включенных в отчет</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rPr>
          <w:color w:val="000000"/>
        </w:rPr>
      </w:pPr>
      <w:r>
        <w:rPr>
          <w:color w:val="000000"/>
        </w:rPr>
        <w:t xml:space="preserve">ОТЧЕТ ОБ ОПЕРАЦИЯХ С НАЛИЧНОЙ ИНОСТРАННОЙ ВАЛЮТОЙ </w:t>
        <w:br/>
        <w:t>И ЧЕКАМИ В ИНОСТРАННОЙ ВАЛЮТЕ</w:t>
        <w:br/>
        <w:t>за ______ г.</w:t>
      </w:r>
    </w:p>
    <w:p>
      <w:pPr>
        <w:pStyle w:val="MainTextLine155"/>
        <w:tabs>
          <w:tab w:val="clear" w:pos="8787"/>
          <w:tab w:val="right" w:pos="9978" w:leader="underscore"/>
        </w:tabs>
        <w:rPr/>
      </w:pPr>
      <w:r>
        <w:rPr/>
        <w:t>Сокращенное фирменное наименование уполномоченного банка (наименование его филиала)</w:t>
        <w:tab/>
      </w:r>
    </w:p>
    <w:p>
      <w:pPr>
        <w:pStyle w:val="MainTextLine155"/>
        <w:tabs>
          <w:tab w:val="clear" w:pos="8787"/>
          <w:tab w:val="right" w:pos="9978" w:leader="underscore"/>
        </w:tabs>
        <w:rPr/>
      </w:pPr>
      <w:r>
        <w:rPr/>
        <w:t>Почтовый адрес</w:t>
        <w:tab/>
      </w:r>
    </w:p>
    <w:p>
      <w:pPr>
        <w:pStyle w:val="MainTextBezOtstupa"/>
        <w:keepNext w:val="true"/>
        <w:keepLines/>
        <w:spacing w:before="120" w:after="60"/>
        <w:jc w:val="end"/>
        <w:rPr/>
      </w:pPr>
      <w:r>
        <w:rPr/>
        <w:t>Код формы по ОКУД 0409601</w:t>
        <w:br/>
        <w:t>Месячная</w:t>
      </w:r>
    </w:p>
    <w:tbl>
      <w:tblPr>
        <w:tblW w:w="10801" w:type="dxa"/>
        <w:jc w:val="center"/>
        <w:tblInd w:w="0" w:type="dxa"/>
        <w:tblLayout w:type="fixed"/>
        <w:tblCellMar>
          <w:top w:w="0" w:type="dxa"/>
          <w:start w:w="107" w:type="dxa"/>
          <w:bottom w:w="0" w:type="dxa"/>
          <w:end w:w="107" w:type="dxa"/>
        </w:tblCellMar>
      </w:tblPr>
      <w:tblGrid>
        <w:gridCol w:w="8959"/>
        <w:gridCol w:w="1842"/>
      </w:tblGrid>
      <w:tr>
        <w:trPr>
          <w:cantSplit/>
        </w:trPr>
        <w:tc>
          <w:tcPr>
            <w:tcW w:w="8959" w:type="dxa"/>
            <w:tcBorders/>
          </w:tcPr>
          <w:p>
            <w:pPr>
              <w:pStyle w:val="Normal"/>
              <w:jc w:val="end"/>
              <w:rPr>
                <w:rFonts w:ascii="Arial" w:hAnsi="Arial" w:cs="Arial"/>
              </w:rPr>
            </w:pPr>
            <w:r>
              <w:rPr>
                <w:rFonts w:cs="Arial" w:ascii="Arial" w:hAnsi="Arial"/>
              </w:rPr>
              <w:t>Признак отчета с нулевыми показателями</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
        <w:rPr/>
      </w:pPr>
      <w:r>
        <w:rPr/>
      </w:r>
    </w:p>
    <w:tbl>
      <w:tblPr>
        <w:tblW w:w="10801" w:type="dxa"/>
        <w:jc w:val="center"/>
        <w:tblInd w:w="0" w:type="dxa"/>
        <w:tblLayout w:type="fixed"/>
        <w:tblCellMar>
          <w:top w:w="0" w:type="dxa"/>
          <w:start w:w="28" w:type="dxa"/>
          <w:bottom w:w="0" w:type="dxa"/>
          <w:end w:w="28" w:type="dxa"/>
        </w:tblCellMar>
      </w:tblPr>
      <w:tblGrid>
        <w:gridCol w:w="312"/>
        <w:gridCol w:w="8647"/>
        <w:gridCol w:w="1842"/>
      </w:tblGrid>
      <w:tr>
        <w:trPr>
          <w:cantSplit/>
        </w:trPr>
        <w:tc>
          <w:tcPr>
            <w:tcW w:w="312" w:type="dxa"/>
            <w:tcBorders/>
          </w:tcPr>
          <w:p>
            <w:pPr>
              <w:pStyle w:val="Normal"/>
              <w:jc w:val="end"/>
              <w:rPr>
                <w:rFonts w:ascii="Arial" w:hAnsi="Arial" w:cs="Arial"/>
              </w:rPr>
            </w:pPr>
            <w:r>
              <w:rPr>
                <w:rFonts w:cs="Arial" w:ascii="Arial" w:hAnsi="Arial"/>
              </w:rPr>
              <w:t>I.</w:t>
            </w:r>
          </w:p>
        </w:tc>
        <w:tc>
          <w:tcPr>
            <w:tcW w:w="8647" w:type="dxa"/>
            <w:tcBorders/>
          </w:tcPr>
          <w:p>
            <w:pPr>
              <w:pStyle w:val="Normal"/>
              <w:rPr>
                <w:rFonts w:ascii="Arial" w:hAnsi="Arial" w:cs="Arial"/>
              </w:rPr>
            </w:pPr>
            <w:r>
              <w:rPr>
                <w:rFonts w:cs="Arial" w:ascii="Arial" w:hAnsi="Arial"/>
              </w:rPr>
              <w:t>Количество обменных пунктов уполномоченного банка (его филиала), совершавших операции с наличной иностранной валютой и (или) чеками в иностранной валюте в отчетном периоде</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
        <w:rPr/>
      </w:pPr>
      <w:r>
        <w:rPr/>
      </w:r>
    </w:p>
    <w:tbl>
      <w:tblPr>
        <w:tblW w:w="10801" w:type="dxa"/>
        <w:jc w:val="center"/>
        <w:tblInd w:w="0" w:type="dxa"/>
        <w:tblLayout w:type="fixed"/>
        <w:tblCellMar>
          <w:top w:w="0" w:type="dxa"/>
          <w:start w:w="28" w:type="dxa"/>
          <w:bottom w:w="0" w:type="dxa"/>
          <w:end w:w="28" w:type="dxa"/>
        </w:tblCellMar>
      </w:tblPr>
      <w:tblGrid>
        <w:gridCol w:w="312"/>
        <w:gridCol w:w="8647"/>
        <w:gridCol w:w="1842"/>
      </w:tblGrid>
      <w:tr>
        <w:trPr>
          <w:cantSplit/>
        </w:trPr>
        <w:tc>
          <w:tcPr>
            <w:tcW w:w="312" w:type="dxa"/>
            <w:tcBorders/>
          </w:tcPr>
          <w:p>
            <w:pPr>
              <w:pStyle w:val="Normal"/>
              <w:jc w:val="end"/>
              <w:rPr>
                <w:rFonts w:ascii="Arial" w:hAnsi="Arial" w:cs="Arial"/>
              </w:rPr>
            </w:pPr>
            <w:r>
              <w:rPr>
                <w:rFonts w:cs="Arial" w:ascii="Arial" w:hAnsi="Arial"/>
              </w:rPr>
              <w:t>II.</w:t>
            </w:r>
          </w:p>
        </w:tc>
        <w:tc>
          <w:tcPr>
            <w:tcW w:w="8647" w:type="dxa"/>
            <w:tcBorders/>
          </w:tcPr>
          <w:p>
            <w:pPr>
              <w:pStyle w:val="Normal"/>
              <w:rPr>
                <w:rFonts w:ascii="Arial" w:hAnsi="Arial" w:cs="Arial"/>
              </w:rPr>
            </w:pPr>
            <w:r>
              <w:rPr>
                <w:rFonts w:cs="Arial" w:ascii="Arial" w:hAnsi="Arial"/>
              </w:rPr>
              <w:t>Количество внутренних структурных подразделений уполномоченного банка (его филиала), совершавших операции с наличной иностранной валютой и (или) чеками в иностранной валюте в отчетном периоде, за исключением обменных пунктов</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
        <w:rPr/>
      </w:pPr>
      <w:r>
        <w:rPr/>
      </w:r>
    </w:p>
    <w:tbl>
      <w:tblPr>
        <w:tblW w:w="10801" w:type="dxa"/>
        <w:jc w:val="center"/>
        <w:tblInd w:w="0" w:type="dxa"/>
        <w:tblLayout w:type="fixed"/>
        <w:tblCellMar>
          <w:top w:w="0" w:type="dxa"/>
          <w:start w:w="28" w:type="dxa"/>
          <w:bottom w:w="0" w:type="dxa"/>
          <w:end w:w="28" w:type="dxa"/>
        </w:tblCellMar>
      </w:tblPr>
      <w:tblGrid>
        <w:gridCol w:w="312"/>
        <w:gridCol w:w="8647"/>
        <w:gridCol w:w="1842"/>
      </w:tblGrid>
      <w:tr>
        <w:trPr>
          <w:cantSplit/>
        </w:trPr>
        <w:tc>
          <w:tcPr>
            <w:tcW w:w="312" w:type="dxa"/>
            <w:tcBorders/>
          </w:tcPr>
          <w:p>
            <w:pPr>
              <w:pStyle w:val="Normal"/>
              <w:jc w:val="end"/>
              <w:rPr>
                <w:rFonts w:ascii="Arial" w:hAnsi="Arial" w:cs="Arial"/>
              </w:rPr>
            </w:pPr>
            <w:r>
              <w:rPr>
                <w:rFonts w:cs="Arial" w:ascii="Arial" w:hAnsi="Arial"/>
              </w:rPr>
              <w:t>III.</w:t>
            </w:r>
          </w:p>
        </w:tc>
        <w:tc>
          <w:tcPr>
            <w:tcW w:w="8647" w:type="dxa"/>
            <w:tcBorders/>
          </w:tcPr>
          <w:p>
            <w:pPr>
              <w:pStyle w:val="Normal"/>
              <w:rPr>
                <w:rFonts w:ascii="Arial" w:hAnsi="Arial" w:cs="Arial"/>
              </w:rPr>
            </w:pPr>
            <w:r>
              <w:rPr>
                <w:rFonts w:cs="Arial" w:ascii="Arial" w:hAnsi="Arial"/>
              </w:rPr>
              <w:t>Количество операционных касс кассового узла уполномоченного банка (его филиала), совершавших операции с наличной иностранной валютой и (или) чеками в иностранной валюте в отчетном периоде</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
        <w:rPr/>
      </w:pPr>
      <w:r>
        <w:rPr/>
      </w:r>
    </w:p>
    <w:tbl>
      <w:tblPr>
        <w:tblW w:w="10801" w:type="dxa"/>
        <w:jc w:val="center"/>
        <w:tblInd w:w="0" w:type="dxa"/>
        <w:tblLayout w:type="fixed"/>
        <w:tblCellMar>
          <w:top w:w="0" w:type="dxa"/>
          <w:start w:w="28" w:type="dxa"/>
          <w:bottom w:w="0" w:type="dxa"/>
          <w:end w:w="28" w:type="dxa"/>
        </w:tblCellMar>
      </w:tblPr>
      <w:tblGrid>
        <w:gridCol w:w="312"/>
        <w:gridCol w:w="8647"/>
        <w:gridCol w:w="1842"/>
      </w:tblGrid>
      <w:tr>
        <w:trPr>
          <w:cantSplit/>
        </w:trPr>
        <w:tc>
          <w:tcPr>
            <w:tcW w:w="312" w:type="dxa"/>
            <w:tcBorders/>
          </w:tcPr>
          <w:p>
            <w:pPr>
              <w:pStyle w:val="Normal"/>
              <w:jc w:val="end"/>
              <w:rPr>
                <w:rFonts w:ascii="Arial" w:hAnsi="Arial" w:cs="Arial"/>
              </w:rPr>
            </w:pPr>
            <w:r>
              <w:rPr>
                <w:rFonts w:cs="Arial" w:ascii="Arial" w:hAnsi="Arial"/>
              </w:rPr>
              <w:t>IV.</w:t>
            </w:r>
          </w:p>
        </w:tc>
        <w:tc>
          <w:tcPr>
            <w:tcW w:w="8647" w:type="dxa"/>
            <w:tcBorders/>
          </w:tcPr>
          <w:p>
            <w:pPr>
              <w:pStyle w:val="Normal"/>
              <w:rPr>
                <w:rFonts w:ascii="Arial" w:hAnsi="Arial" w:cs="Arial"/>
              </w:rPr>
            </w:pPr>
            <w:r>
              <w:rPr>
                <w:rFonts w:cs="Arial" w:ascii="Arial" w:hAnsi="Arial"/>
              </w:rPr>
              <w:t>Код территории по ОКАТО внутренних структурных подразделений</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
        <w:rPr/>
      </w:pPr>
      <w:r>
        <w:rPr/>
      </w:r>
      <w:r>
        <w:br w:type="page"/>
      </w:r>
    </w:p>
    <w:p>
      <w:pPr>
        <w:pStyle w:val="MGlavaCenter"/>
        <w:spacing w:before="120" w:after="0"/>
        <w:rPr>
          <w:b w:val="false"/>
        </w:rPr>
      </w:pPr>
      <w:r>
        <w:rPr>
          <w:b w:val="false"/>
        </w:rPr>
        <w:t>Раздел 1. Операции уполномоченного банка (его филиала) с наличной иностранной валютой и чеками в иностранной валюте</w:t>
      </w:r>
    </w:p>
    <w:p>
      <w:pPr>
        <w:pStyle w:val="Rasshifrovka"/>
        <w:keepLines w:val="false"/>
        <w:jc w:val="end"/>
        <w:rPr/>
      </w:pPr>
      <w:r>
        <w:rPr/>
        <w:t>тыс. единиц иностранной валюты</w:t>
      </w:r>
    </w:p>
    <w:tbl>
      <w:tblPr>
        <w:tblW w:w="10989" w:type="dxa"/>
        <w:jc w:val="center"/>
        <w:tblInd w:w="0" w:type="dxa"/>
        <w:tblLayout w:type="fixed"/>
        <w:tblCellMar>
          <w:top w:w="0" w:type="dxa"/>
          <w:start w:w="28" w:type="dxa"/>
          <w:bottom w:w="0" w:type="dxa"/>
          <w:end w:w="28" w:type="dxa"/>
        </w:tblCellMar>
      </w:tblPr>
      <w:tblGrid>
        <w:gridCol w:w="814"/>
        <w:gridCol w:w="426"/>
        <w:gridCol w:w="7089"/>
        <w:gridCol w:w="665"/>
        <w:gridCol w:w="665"/>
        <w:gridCol w:w="665"/>
        <w:gridCol w:w="665"/>
      </w:tblGrid>
      <w:tr>
        <w:trPr>
          <w:tblHeader w:val="true"/>
          <w:cantSplit/>
        </w:trPr>
        <w:tc>
          <w:tcPr>
            <w:tcW w:w="81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Доллар США</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Евро</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tblHeader w:val="true"/>
          <w:cantSplit/>
        </w:trPr>
        <w:tc>
          <w:tcPr>
            <w:tcW w:w="81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tblHeader w:val="true"/>
          <w:cantSplit/>
        </w:trPr>
        <w:tc>
          <w:tcPr>
            <w:tcW w:w="814"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Код валюты</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840</w:t>
            </w:r>
          </w:p>
        </w:tc>
        <w:tc>
          <w:tcPr>
            <w:tcW w:w="66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978</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наличной иностранной валюты и чеков в иностранной валюте на начало месяца</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остаток наличной иностранной валюты</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Поступило наличной иностранной валюты, всего, </w:t>
              <w:br/>
              <w:t>в том числе:</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ввезено банком в Российскую Федерацию</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банков-резидентов</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2.3</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поступило по межфилиальному обороту</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2.4</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куплено у физических лиц и принято по конверсии, всего из них:</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2.4.1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куплено у физических лиц — нерезидентов и принято по конверсии</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2.4.2</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куплено у физических лиц — резидентов и принято по конверсии</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2.5</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принято для зачисления на счета физических лиц — нерезидентов</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2.6</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принято для зачисления на счета физических лиц — резидентов</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2.7</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принято от физических лиц — нерезидентов для переводов без открытия счета</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2.8</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принято от физических лиц — резидентов для переводов без открытия счета</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2.9</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поступления наличной иностранной валюты</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Поступило чеков в иностранной валюте, всего, </w:t>
              <w:br/>
              <w:t>в том числе:</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куплено у физических лиц — нерезидентов (оплачено физическим лицам — нерезидентам)</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куплено у физических лиц — резидентов (оплачено физическим лицам — резидентам)</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3.3</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поступления чеков</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4</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Израсходовано наличной иностранной валюты, всего, </w:t>
              <w:br/>
              <w:t>в том числе:</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вывезено банком из Российской Федерации</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4.2</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банкам-резидентам</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4.3</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израсходовано по межфилиальному обороту</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продано физическим лицам и выдано по конверсии, всего из них:</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продано физическим лицам — нерезидентам и выдано по конверсии</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4.4.2</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продано физическим лицам — резидентам и выдано по конверсии</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4.5</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со счетов физических лиц — нерезидентов</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4.6</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со счетов физических лиц — резидентов</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4.7</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физическим лицам — нерезидентам переводов без открытия счета</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4.8</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физическим лицам — резидентам переводов без открытия счета</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4.9</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расходования наличной иностранной валюты</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5</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Израсходовано чеков в иностранной валюте, всего, </w:t>
              <w:br/>
              <w:t>в том числе</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продано физическим лицам — нерезидентам</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5.2</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продано физическим лицам — резидентам</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5.3</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расходования чеков</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6</w:t>
            </w:r>
          </w:p>
        </w:tc>
        <w:tc>
          <w:tcPr>
            <w:tcW w:w="751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наличной иностранной валюты и чеков в иностранной валюте на конец месяца</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4"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6.1</w:t>
            </w:r>
          </w:p>
        </w:tc>
        <w:tc>
          <w:tcPr>
            <w:tcW w:w="708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остаток наличной иностранной валюты</w:t>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66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spacing w:before="240" w:after="120"/>
        <w:rPr>
          <w:b w:val="false"/>
        </w:rPr>
      </w:pPr>
      <w:r>
        <w:br w:type="page"/>
      </w:r>
      <w:r>
        <w:rPr>
          <w:b w:val="false"/>
        </w:rPr>
        <w:t>Раздел 2. Справочная информация об операциях физических лиц с наличной иностранной валютой</w:t>
      </w:r>
    </w:p>
    <w:p>
      <w:pPr>
        <w:pStyle w:val="MainTextBezOtstupa"/>
        <w:spacing w:before="0" w:after="120"/>
        <w:jc w:val="center"/>
        <w:rPr/>
      </w:pPr>
      <w:r>
        <w:rPr/>
        <w:t>2.1. Поступление в уполномоченный банк (его филиал) наличной иностранной валюты</w:t>
      </w:r>
    </w:p>
    <w:tbl>
      <w:tblPr>
        <w:tblW w:w="10987" w:type="dxa"/>
        <w:jc w:val="center"/>
        <w:tblInd w:w="0" w:type="dxa"/>
        <w:tblLayout w:type="fixed"/>
        <w:tblCellMar>
          <w:top w:w="0" w:type="dxa"/>
          <w:start w:w="28" w:type="dxa"/>
          <w:bottom w:w="0" w:type="dxa"/>
          <w:end w:w="28" w:type="dxa"/>
        </w:tblCellMar>
      </w:tblPr>
      <w:tblGrid>
        <w:gridCol w:w="675"/>
        <w:gridCol w:w="707"/>
        <w:gridCol w:w="1277"/>
        <w:gridCol w:w="1388"/>
        <w:gridCol w:w="1388"/>
        <w:gridCol w:w="1388"/>
        <w:gridCol w:w="1388"/>
        <w:gridCol w:w="1388"/>
        <w:gridCol w:w="1388"/>
      </w:tblGrid>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70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валюты</w:t>
            </w:r>
          </w:p>
        </w:tc>
        <w:tc>
          <w:tcPr>
            <w:tcW w:w="127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валюты</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Куплено уполномоченным банком</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Уплачено уполномоченным банком</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Количество сделок по покупке,</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Принято для конверсии,</w:t>
            </w:r>
          </w:p>
        </w:tc>
        <w:tc>
          <w:tcPr>
            <w:tcW w:w="2776"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Количество операций по зачислению на счета физических лиц, единиц</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70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77"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(его филиалом), тысяч единиц иностранной валюты</w:t>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(его филиалом), тысяч рублей</w:t>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единиц</w:t>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тысяч единиц иностранной валюты</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нерезидентов</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резидентов</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70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2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840</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Доллар США</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978</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Евро</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7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98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Итого </w:t>
            </w:r>
          </w:p>
        </w:tc>
        <w:tc>
          <w:tcPr>
            <w:tcW w:w="138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jc w:val="center"/>
        <w:rPr/>
      </w:pPr>
      <w:r>
        <w:rPr/>
        <w:t>2.2. Расходование уполномоченным банком (его филиалом) наличной иностранной валюты</w:t>
      </w:r>
    </w:p>
    <w:tbl>
      <w:tblPr>
        <w:tblW w:w="10987" w:type="dxa"/>
        <w:jc w:val="center"/>
        <w:tblInd w:w="0" w:type="dxa"/>
        <w:tblLayout w:type="fixed"/>
        <w:tblCellMar>
          <w:top w:w="0" w:type="dxa"/>
          <w:start w:w="28" w:type="dxa"/>
          <w:bottom w:w="0" w:type="dxa"/>
          <w:end w:w="28" w:type="dxa"/>
        </w:tblCellMar>
      </w:tblPr>
      <w:tblGrid>
        <w:gridCol w:w="675"/>
        <w:gridCol w:w="708"/>
        <w:gridCol w:w="1276"/>
        <w:gridCol w:w="1388"/>
        <w:gridCol w:w="1388"/>
        <w:gridCol w:w="1388"/>
        <w:gridCol w:w="1388"/>
        <w:gridCol w:w="1388"/>
        <w:gridCol w:w="1388"/>
      </w:tblGrid>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70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валюты</w:t>
            </w:r>
          </w:p>
        </w:tc>
        <w:tc>
          <w:tcPr>
            <w:tcW w:w="127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валюты</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Продано уполномоченным</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Получено уполномоченным</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Количество сделок</w:t>
            </w:r>
          </w:p>
        </w:tc>
        <w:tc>
          <w:tcPr>
            <w:tcW w:w="138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Выдано по конверсии,</w:t>
            </w:r>
          </w:p>
        </w:tc>
        <w:tc>
          <w:tcPr>
            <w:tcW w:w="2776"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Количество операций по снятию со счетов физических лиц, единиц</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708"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276"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банком (его филиалом), тысяч единиц иностранной валюты</w:t>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банком (его филиалом), тысяч рублей</w:t>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 продаже, единиц</w:t>
            </w:r>
          </w:p>
        </w:tc>
        <w:tc>
          <w:tcPr>
            <w:tcW w:w="1388"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тысяч единиц иностранной валюты</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нерезидентов</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резидентов</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70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27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c>
          <w:tcPr>
            <w:tcW w:w="138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840</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Доллар США</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978</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Евро</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98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Итого </w:t>
            </w:r>
          </w:p>
        </w:tc>
        <w:tc>
          <w:tcPr>
            <w:tcW w:w="138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38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color w:val="000000"/>
        </w:rPr>
        <w:t>Порядок составления и представления отчетности по форме 0409601 “Отчет об операциях с наличной иностранной валютой и чеками в иностранной валюте”</w:t>
      </w:r>
    </w:p>
    <w:p>
      <w:pPr>
        <w:pStyle w:val="MGlavaCenter"/>
        <w:keepLines w:val="false"/>
        <w:spacing w:before="0" w:after="120"/>
        <w:rPr>
          <w:b w:val="false"/>
        </w:rPr>
      </w:pPr>
      <w:r>
        <w:rPr>
          <w:b w:val="false"/>
        </w:rPr>
        <w:t>Раздел I. Общие положения</w:t>
      </w:r>
    </w:p>
    <w:p>
      <w:pPr>
        <w:pStyle w:val="MainText"/>
        <w:rPr/>
      </w:pPr>
      <w:r>
        <w:rPr/>
        <w:t>I.1. Отчетность по форме 0409601 “Отчет об операциях с наличной иностранной валютой и чеками в иностранной валюте” (далее — Отчет) составляется в целях получения Банком России от уполномоченных банков (их филиалов) информации об источниках поступления и направлениях расходования наличной иностранной валюты и чеков (в том числе дорожных чеков), номинальная стоимость которых указана в иностранной валюте (далее — чеки в иностранной валюте).</w:t>
      </w:r>
    </w:p>
    <w:p>
      <w:pPr>
        <w:pStyle w:val="MainText"/>
        <w:rPr/>
      </w:pPr>
      <w:r>
        <w:rPr/>
        <w:t>I.2. Отчет представляется уполномоченным банком, а также его филиалами, имеющими право на осуществление операций с наличной иностранной валютой и (или) чеками в иностранной валюте (далее — филиалы) в виде электронного сообщения в форматах, установленных Департаментом финансового мониторинга и валютного контроля Банка России, по состоянию на 1-е число месяца, следующего за отчетным.</w:t>
      </w:r>
    </w:p>
    <w:p>
      <w:pPr>
        <w:pStyle w:val="MainText"/>
        <w:rPr/>
      </w:pPr>
      <w:r>
        <w:rPr/>
        <w:t>I.3. Уполномоченный банк, не имеющий филиалов, представляет Отчет в территориальное учреждение Банка России, осуществляющее надзор за его деятельностью, ежемесячно, не позднее 8-го рабочего дня месяца, следующего за отчетным. Отчет уполномоченного банка, не имеющего филиалов, включает в себя отчет по уполномоченному банку в целом и, в случае наличия внутренних структурных подразделений уполномоченного банка, расположенных вне пределов территории, подведомственной территориальному учреждению Банка России, осуществляющему надзор за деятельностью уполномоченного банка, — отдельные сводные отчеты по указанным внутренним структурным подразделениям уполномоченного банка в разрезе субъектов Российской Федерации.</w:t>
      </w:r>
    </w:p>
    <w:p>
      <w:pPr>
        <w:pStyle w:val="MainText"/>
        <w:rPr/>
      </w:pPr>
      <w:r>
        <w:rPr/>
        <w:t>Уполномоченный банк, имеющий филиалы (за исключением уполномоченного банка — крупной кредитной организации с широкой сетью подразделений), представляет Отчет в территориальное учреждение Банка России, осуществляющее надзор за его деятельностью, ежемесячно не позднее 8-го рабочего дня месяца, следующего за отчетным. Отчет уполномоченного банка, имеющего филиалы, включает в себя:</w:t>
      </w:r>
    </w:p>
    <w:p>
      <w:pPr>
        <w:pStyle w:val="MainText"/>
        <w:rPr/>
      </w:pPr>
      <w:r>
        <w:rPr/>
        <w:t>консолидированный отчет в целом по уполномоченному банку;</w:t>
      </w:r>
    </w:p>
    <w:p>
      <w:pPr>
        <w:pStyle w:val="MainText"/>
        <w:rPr/>
      </w:pPr>
      <w:r>
        <w:rPr/>
        <w:t>отчет по головному офису уполномоченного банка. Отчет по головному офису уполномоченного банка включает в себя отчет по головному офису уполномоченного банка в целом и, в случае наличия внутренних структурных подразделений головного офиса уполномоченного банка, расположенных вне пределов территории, подведомственной территориальному учреждению Банка России, осуществляющему надзор за деятельностью головного офиса уполномоченного банка, — отдельные сводные отчеты по указанным внутренним структурным подразделениям головного офиса уполномоченного банка в разрезе субъектов Российской Федерации;</w:t>
      </w:r>
    </w:p>
    <w:p>
      <w:pPr>
        <w:pStyle w:val="MainText"/>
        <w:rPr/>
      </w:pPr>
      <w:r>
        <w:rPr/>
        <w:t>отчеты филиалов, расположенных на одной территории с головным офисом уполномоченного банка. Отчет филиала, расположенного на одной территории с головным офисом уполномоченного банка, включает в себя отчет по филиалу в целом и, в случае наличия внутренних структурных подразделений филиала, расположенных вне пределов территории, подведомственной территориальному учреждению Банка России, осуществляющему надзор за деятельностью филиала, — отдельные сводные отчеты по указанным внутренним структурным подразделениям филиала в разрезе субъектов Российской Федерации.</w:t>
      </w:r>
    </w:p>
    <w:p>
      <w:pPr>
        <w:pStyle w:val="MainText"/>
        <w:rPr/>
      </w:pPr>
      <w:r>
        <w:rPr/>
        <w:t>Филиалы, территориально расположенные отдельно от головного офиса уполномоченного банка, представляют Отчет в территориальные учреждения Банка России, осуществляющие надзор за их деятельностью, ежемесячно, не позднее 3-го рабочего дня месяца, следующего за отчетным. Отчет филиала, территориально расположенного отдельно от головного офиса уполномоченного банка, включает в себя отчет по филиалу в целом и, в случае наличия внутренних структурных подразделений филиала, расположенных вне пределов территории, подведомственной территориальному учреждению Банка России, осуществляющему надзор за деятельностью филиала, — отдельные сводные отчеты по указанным внутренним структурным подразделениям филиала в разрезе субъектов Российской Федерации.</w:t>
      </w:r>
    </w:p>
    <w:p>
      <w:pPr>
        <w:pStyle w:val="MainText"/>
        <w:rPr/>
      </w:pPr>
      <w:r>
        <w:rPr/>
        <w:t>Уполномоченный банк (его филиал), не имеющий внутренних структурных подразделений, расположенных вне пределов территории, подведомственной территориальному учреждению Банка России, осуществляющему надзор за деятельностью уполномоченного банка (его филиала), либо имеющий указанные внутренние структурные подразделения, которые в отчетном периоде не проводили операции с наличной иностранной валютой и чеками в иностранной валюте и имеют только нулевые остатки наличной иностранной валюты и чеков в иностранной валюте, не представляет отдельные сводные отчеты по указанным внутренним структурным подразделениям.</w:t>
      </w:r>
    </w:p>
    <w:p>
      <w:pPr>
        <w:pStyle w:val="MainText"/>
        <w:rPr/>
      </w:pPr>
      <w:r>
        <w:rPr/>
        <w:t>Уполномоченный банк — крупная кредитная организация с широкой сетью подразделений представляет Отчет непосредственно в Департамент финансового мониторинга и валютного контроля Банка России не позднее 15-го рабочего дня месяца, следующего за отчетным.</w:t>
      </w:r>
    </w:p>
    <w:p>
      <w:pPr>
        <w:pStyle w:val="MainText"/>
        <w:rPr/>
      </w:pPr>
      <w:r>
        <w:rPr/>
        <w:t>I.4. В Отчете на основании данных реестров, электронных журналов, приходных и расходных ордеров и иных документов, предусмотренных нормативными актами Банка России, отражается информация об операциях с наличной иностранной валютой и чеками в иностранной валюте, осуществляемых:</w:t>
      </w:r>
    </w:p>
    <w:p>
      <w:pPr>
        <w:pStyle w:val="MainText"/>
        <w:rPr/>
      </w:pPr>
      <w:r>
        <w:rPr/>
        <w:t>в уполномоченном банке (его филиалах);</w:t>
      </w:r>
    </w:p>
    <w:p>
      <w:pPr>
        <w:pStyle w:val="MainText"/>
        <w:rPr/>
      </w:pPr>
      <w:r>
        <w:rPr/>
        <w:t>в дополнительных офисах, кредитно-кассовых офисах, операционных кассах вне кассового узла, обменных пунктах, иных внутренних структурных подразделениях (далее — внутреннее структурное подразделение);</w:t>
      </w:r>
    </w:p>
    <w:p>
      <w:pPr>
        <w:pStyle w:val="MainText"/>
        <w:rPr/>
      </w:pPr>
      <w:r>
        <w:rPr/>
        <w:t>с использованием программно-технических комплексов.</w:t>
      </w:r>
    </w:p>
    <w:p>
      <w:pPr>
        <w:pStyle w:val="MainText"/>
        <w:rPr/>
      </w:pPr>
      <w:r>
        <w:rPr/>
        <w:t>I.5. Обеспечение внутреннего структурного подразделения уполномоченного банка (его филиала) авансом в наличной иностранной валюте, выдача наличной иностранной валюты из кассы уполномоченного банка (его филиала) для загрузки в программно-технический комплекс, а также возврат остатков наличной иностранной валюты из внутреннего структурного подразделения, остатков наличной иностранной валюты, изъятой из программно-технического комплекса, в кассу уполномоченного банка (его филиала), отражению в Отчете не подлежат.</w:t>
      </w:r>
    </w:p>
    <w:p>
      <w:pPr>
        <w:pStyle w:val="MainText"/>
        <w:rPr/>
      </w:pPr>
      <w:r>
        <w:rPr/>
        <w:t>Обеспечение внутреннего структурного подразделения уполномоченного банка (его филиала) бланками чеков в иностранной валюте, возврат неиспользованных бланков чеков из внутреннего структурного подразделения в кассу уполномоченного банка (его филиала), а также поступление бланков чеков от банков-эмитентов отражению в Отчете не подлежат.</w:t>
      </w:r>
    </w:p>
    <w:p>
      <w:pPr>
        <w:pStyle w:val="MainText"/>
        <w:rPr/>
      </w:pPr>
      <w:r>
        <w:rPr/>
        <w:t>I.6. Отчет, содержащий только нулевые показатели, представляется в Банк России в соответствии с пунктом I.3 настоящего Порядка. При этом в поле “Признак отчета с нулевыми показателями” титульного листа Отчета проставляется ноль. Остальные графы и строки Отчета не заполняются.</w:t>
      </w:r>
    </w:p>
    <w:p>
      <w:pPr>
        <w:pStyle w:val="MainText"/>
        <w:rPr/>
      </w:pPr>
      <w:r>
        <w:rPr/>
        <w:t>В случае отсутствия данных по отдельным показателям Отчета соответствующие строки (графы) Отчета не заполняются.</w:t>
      </w:r>
    </w:p>
    <w:p>
      <w:pPr>
        <w:pStyle w:val="MainText"/>
        <w:rPr/>
      </w:pPr>
      <w:r>
        <w:rPr/>
        <w:t>Поле “Число филиалов, осуществлявших операции с наличной иностранной валютой”, расположенное в зоне 1 заголовочной части Отчета, заполняется только уполномоченными банками, имеющими филиалы, в том числе уполномоченными банками — крупными кредитными организациями с широкой сетью подразделений, путем указания количества филиалов, осуществлявших операции с наличной иностранной валютой и (или) чеками в иностранной валюте либо имевших ненулевые остатки наличной иностранной валюты и (или) чеков в иностранной валюте в отчетном периоде.</w:t>
      </w:r>
    </w:p>
    <w:p>
      <w:pPr>
        <w:pStyle w:val="MGlavaCenter"/>
        <w:rPr>
          <w:b w:val="false"/>
        </w:rPr>
      </w:pPr>
      <w:r>
        <w:rPr>
          <w:b w:val="false"/>
        </w:rPr>
        <w:t>Раздел II. Порядок заполнения титульного листа Отчета</w:t>
      </w:r>
    </w:p>
    <w:p>
      <w:pPr>
        <w:pStyle w:val="MainText"/>
        <w:rPr/>
      </w:pPr>
      <w:r>
        <w:rPr/>
        <w:t>II.1. В строке I указывается количество обменных пунктов уполномоченного банка (его филиала), которые в отчетном периоде совершали операции с наличной иностранной валютой и (или) чеками в иностранной валюте.</w:t>
      </w:r>
    </w:p>
    <w:p>
      <w:pPr>
        <w:pStyle w:val="MainText"/>
        <w:rPr/>
      </w:pPr>
      <w:r>
        <w:rPr/>
        <w:t>II.2. В строке II указывается количество внутренних структурных подразделений уполномоченного банка (его филиала), которые в отчетном периоде совершали операции с наличной иностранной валютой и (или) чеками в иностранной валюте, за исключением обменных пунктов. В данный показатель не включаются операционные кассы кассового узла уполномоченного банка (его филиала), которые в отчетном периоде совершали операции с наличной иностранной валютой и (или) чеками в иностранной валюте.</w:t>
      </w:r>
    </w:p>
    <w:p>
      <w:pPr>
        <w:pStyle w:val="MainText"/>
        <w:rPr/>
      </w:pPr>
      <w:r>
        <w:rPr/>
        <w:t>II.3. Строка III заполняется в случае совершения операций с наличной иностранной валютой и (или) чеками в иностранной валюте в операционных кассах кассового узла уполномоченного банка (его филиала) в отчетном периоде.</w:t>
      </w:r>
    </w:p>
    <w:p>
      <w:pPr>
        <w:pStyle w:val="MainText"/>
        <w:rPr/>
      </w:pPr>
      <w:r>
        <w:rPr/>
        <w:t>II.3.1. В строке III отчетов уполномоченного банка, не имеющего филиалов, головного офиса уполномоченного банка, а также филиала уполномоченного банка в случае совершения в отчетном периоде операций с наличной иностранной валютой и (или) чеками в иностранной валюте в операционных кассах их кассового узла указывается “1”.</w:t>
      </w:r>
    </w:p>
    <w:p>
      <w:pPr>
        <w:pStyle w:val="MainText"/>
        <w:rPr/>
      </w:pPr>
      <w:r>
        <w:rPr/>
        <w:t>II.3.2. В строке III консолидированного отчета уполномоченного банка, имеющего филиалы, указывается сумма показателей по строке III отчета головного офиса уполномоченного банка и отчетов филиалов уполномоченного банка.</w:t>
      </w:r>
    </w:p>
    <w:p>
      <w:pPr>
        <w:pStyle w:val="MainText"/>
        <w:rPr/>
      </w:pPr>
      <w:r>
        <w:rPr/>
        <w:t>II.4. Строка IV заполняется при составлении отдельных сводных отчетов по внутренним структурным подразделениям уполномоченного банка (его филиала), расположенным вне пределов территории, подведомственной территориальному учреждению Банка России, осуществляющему надзор за деятельностью уполномоченного банка (его филиала), в разрезе субъектов Российской Федерации.</w:t>
      </w:r>
    </w:p>
    <w:p>
      <w:pPr>
        <w:pStyle w:val="MainText"/>
        <w:rPr/>
      </w:pPr>
      <w:r>
        <w:rPr/>
        <w:t>В строке IV указывается код территории, соответствующий первым четырем разрядам кода по Общероссийскому классификатору объектов административно-территориального деления (ОКАТО), на которой расположены внутренние структурные подразделения, по которым составляется отдельный сводный отчет.</w:t>
      </w:r>
    </w:p>
    <w:p>
      <w:pPr>
        <w:pStyle w:val="MGlavaCenter"/>
        <w:rPr>
          <w:b w:val="false"/>
        </w:rPr>
      </w:pPr>
      <w:r>
        <w:rPr>
          <w:b w:val="false"/>
        </w:rPr>
        <w:t>Раздел III. Порядок заполнения раздела 1 Отчета</w:t>
      </w:r>
    </w:p>
    <w:p>
      <w:pPr>
        <w:pStyle w:val="MainText"/>
        <w:rPr/>
      </w:pPr>
      <w:r>
        <w:rPr/>
        <w:t>III.1. Показатели отражаются по тем иностранным валютам, в которых в отчетном периоде совершались операции или имеются остатки наличной иностранной валюты и чеков в иностранной валюте на начало или конец отчетного периода.</w:t>
      </w:r>
    </w:p>
    <w:p>
      <w:pPr>
        <w:pStyle w:val="MainText"/>
        <w:rPr/>
      </w:pPr>
      <w:r>
        <w:rPr/>
        <w:t>III.2. Данные указываются в тысячах единиц иностранной валюты, с точностью до трех знаков после запятой.</w:t>
      </w:r>
    </w:p>
    <w:p>
      <w:pPr>
        <w:pStyle w:val="MainText"/>
        <w:rPr/>
      </w:pPr>
      <w:r>
        <w:rPr/>
        <w:t>III.3. В строке “Код валюты” указываются цифровые коды валют в соответствии с Общероссийским классификатором валют (ОКВ).</w:t>
      </w:r>
    </w:p>
    <w:p>
      <w:pPr>
        <w:pStyle w:val="MainText"/>
        <w:rPr/>
      </w:pPr>
      <w:r>
        <w:rPr/>
        <w:t>III.4. В строке 1 указывается величина остатка наличной иностранной валюты и чеков в иностранной валюте на начало отчетного месяца (входящие остатки на начало отчетного месяца по балансовым счетам №№ 20202, 20203, 20206—20210).</w:t>
      </w:r>
    </w:p>
    <w:p>
      <w:pPr>
        <w:pStyle w:val="MainText"/>
        <w:rPr/>
      </w:pPr>
      <w:r>
        <w:rPr/>
        <w:t>В строке 1.1 указывается величина остатка наличной иностранной валюты на начало отчетного месяца.</w:t>
      </w:r>
    </w:p>
    <w:p>
      <w:pPr>
        <w:pStyle w:val="MainText"/>
        <w:rPr/>
      </w:pPr>
      <w:r>
        <w:rPr/>
        <w:t>III.5. В строке 2 указывается общая сумма поступившей наличной иностранной валюты за отчетный период. В строках 2.1—2.9 дается расшифровка этих поступлений. Сумма показателей строк 2.1—2.9 должна быть равна значению показателя строки 2.</w:t>
      </w:r>
    </w:p>
    <w:p>
      <w:pPr>
        <w:pStyle w:val="MainText"/>
        <w:rPr/>
      </w:pPr>
      <w:r>
        <w:rPr/>
        <w:t>III.5.1. В строке 2.1 указывается сумма наличной иностранной валюты, ввезенной в Российскую Федерацию уполномоченным банком и зачисленной на балансовый счет № 20202 “Касса кредитных организаций”.</w:t>
      </w:r>
    </w:p>
    <w:p>
      <w:pPr>
        <w:pStyle w:val="MainText"/>
        <w:rPr/>
      </w:pPr>
      <w:r>
        <w:rPr/>
        <w:t>III.5.2. В строке 2.2 указывается сумма наличной иностранной валюты, поступившей в кассу уполномоченного банка (его филиала), представляющего Отчет, в результате совершения операций с другими банками-резидентами.</w:t>
      </w:r>
    </w:p>
    <w:p>
      <w:pPr>
        <w:pStyle w:val="MainText"/>
        <w:rPr/>
      </w:pPr>
      <w:r>
        <w:rPr/>
        <w:t>III.5.3. В строке 2.3 указывается сумма наличной иностранной валюты, поступившей по межфилиальному обороту (подкрепление касс друг друга головным офисом и филиалами уполномоченного банка).</w:t>
      </w:r>
    </w:p>
    <w:p>
      <w:pPr>
        <w:pStyle w:val="MainText"/>
        <w:rPr/>
      </w:pPr>
      <w:r>
        <w:rPr/>
        <w:t>III.5.4. В строке 2.4 указывается общая сумма наличной иностранной валюты, купленной у физических лиц за наличную валюту Российской Федерации (с учетом покупки поврежденных денежных знаков иностранных государств (группы государств) за наличную валюту Российской Федерации) или полученной для обмена (конверсии), в том числе с использованием программно-технических комплексов.</w:t>
      </w:r>
    </w:p>
    <w:p>
      <w:pPr>
        <w:pStyle w:val="MainText"/>
        <w:rPr/>
      </w:pPr>
      <w:r>
        <w:rPr/>
        <w:t>В строках 2.4.1 и 2.4.2 указываются части суммы, указанной в строке 2.4, купленные (полученные для конверсии) у физических лиц (нерезидентов и резидентов), в соответствии с информацией о статусе физического лица, полученной при его идентификации в случаях, предусмотренных федеральными законами.</w:t>
      </w:r>
    </w:p>
    <w:p>
      <w:pPr>
        <w:pStyle w:val="MainText"/>
        <w:rPr/>
      </w:pPr>
      <w:r>
        <w:rPr/>
        <w:t>III.5.5. В строках 2.5 и 2.6 указываются суммы наличной иностранной валюты, принятой за отчетный период при участии уполномоченного работника кредитной организации (кассира) для зачисления на текущие счета, счета по вкладам (депозитам) физических лиц (нерезидентов и резидентов) в иностранной валюте и валюте Российской Федерации, в том числе принятой с использованием платежных (банковских) карт, эмитированных как уполномоченным банком, так и другими эмитентами. В данный показатель не включаются операции, осуществленные через банкоматы.</w:t>
      </w:r>
    </w:p>
    <w:p>
      <w:pPr>
        <w:pStyle w:val="MainText"/>
        <w:rPr/>
      </w:pPr>
      <w:r>
        <w:rPr/>
        <w:t>III.5.6. В строках 2.7 и 2.8 указываются суммы наличной иностранной валюты, внесенной физическими лицами (нерезидентами и резидентами) для осуществления переводов из Российской Федерации без открытия банковского счета, в том числе через системы денежных переводов. В строках 2.7 и 2.8 не отражается комиссия, взимаемая уполномоченным банком с физических лиц (нерезидентов и резидентов) при осуществлении указанных переводов из Российской Федерации.</w:t>
      </w:r>
    </w:p>
    <w:p>
      <w:pPr>
        <w:pStyle w:val="MainText"/>
        <w:rPr/>
      </w:pPr>
      <w:r>
        <w:rPr/>
        <w:t>III.5.7. В строке 2.9 указываются суммы прочих поступлений наличной иностранной валюты от физических лиц, индивидуальных предпринимателей, а также физических лиц, занимающихся в установленном законодательством Российской Федерации порядке частной практикой, и юридических лиц (резидентов и нерезидентов), за исключением сумм, подлежащих отражению по строкам 2.1—2.8.</w:t>
      </w:r>
    </w:p>
    <w:p>
      <w:pPr>
        <w:pStyle w:val="MainText"/>
        <w:rPr/>
      </w:pPr>
      <w:r>
        <w:rPr/>
        <w:t>III.6. В строке 3 указывается общая сумма приобретенных (оплаченных) чеков в иностранной валюте у физических лиц, индивидуальных предпринимателей, а также физических лиц, занимающихся в установленном законодательством Российской Федерации порядке частной практикой, и юридических лиц.</w:t>
      </w:r>
    </w:p>
    <w:p>
      <w:pPr>
        <w:pStyle w:val="MainText"/>
        <w:rPr/>
      </w:pPr>
      <w:r>
        <w:rPr/>
        <w:t>III.6.1. В строках 3.1 и 3.2 указываются суммы купленных (оплаченных) чеков в иностранной валюте у физических лиц (нерезидентов и резидентов).</w:t>
      </w:r>
    </w:p>
    <w:p>
      <w:pPr>
        <w:pStyle w:val="MainText"/>
        <w:rPr/>
      </w:pPr>
      <w:r>
        <w:rPr/>
        <w:t>III.6.2. В строке 3.3 указываются прочие покупки (оплата) и поступления чеков в иностранной валюте в кассу уполномоченного банка (его филиала).</w:t>
      </w:r>
    </w:p>
    <w:p>
      <w:pPr>
        <w:pStyle w:val="MainText"/>
        <w:rPr/>
      </w:pPr>
      <w:r>
        <w:rPr/>
        <w:t>Сумма показателей строк 3.1—3.3 должна быть равна значению показателя строки 3.</w:t>
      </w:r>
    </w:p>
    <w:p>
      <w:pPr>
        <w:pStyle w:val="MainText"/>
        <w:rPr/>
      </w:pPr>
      <w:r>
        <w:rPr/>
        <w:t>III.7. В строке 4 указывается общая сумма израсходованной наличной иностранной валюты за отчетный период. В строках 4.1—4.9 указывается сумма израсходованной наличной иностранной валюты по отдельным направлениям. Сумма показателей строк 4.1—4.9 должна быть равна значению показателя строки 4.</w:t>
      </w:r>
    </w:p>
    <w:p>
      <w:pPr>
        <w:pStyle w:val="MainText"/>
        <w:rPr/>
      </w:pPr>
      <w:r>
        <w:rPr/>
        <w:t>III.7.1. В строке 4.1 указывается сумма наличной иностранной валюты, вывезенной уполномоченными банками из Российской Федерации.</w:t>
      </w:r>
    </w:p>
    <w:p>
      <w:pPr>
        <w:pStyle w:val="MainText"/>
        <w:rPr/>
      </w:pPr>
      <w:r>
        <w:rPr/>
        <w:t>III.7.2. В строке 4.2 указывается сумма наличной иностранной валюты, выданной (израсходованной) из кассы уполномоченного банка (его филиала), представляющего Отчет, в результате совершения операций с другими банками-резидентами.</w:t>
      </w:r>
    </w:p>
    <w:p>
      <w:pPr>
        <w:pStyle w:val="MainText"/>
        <w:rPr/>
      </w:pPr>
      <w:r>
        <w:rPr/>
        <w:t>III.7.3. В строке 4.3 указывается сумма наличной иностранной валюты, переданной по межфилиальному обороту для подкрепления головным офисом и филиалами уполномоченного банка касс друг друга.</w:t>
      </w:r>
    </w:p>
    <w:p>
      <w:pPr>
        <w:pStyle w:val="MainText"/>
        <w:rPr/>
      </w:pPr>
      <w:r>
        <w:rPr/>
        <w:t>III.7.4. В строке 4.4 указывается общая сумма наличной иностранной валюты, проданной физическим лицам за наличную валюту Российской Федерации или выданной по обмену (конверсии), в том числе с использованием программно-технических комплексов.</w:t>
      </w:r>
    </w:p>
    <w:p>
      <w:pPr>
        <w:pStyle w:val="MainText"/>
        <w:rPr/>
      </w:pPr>
      <w:r>
        <w:rPr/>
        <w:t>В строках 4.4.1 и 4.4.2 указываются части суммы, указанной в строке 4.4, проданные (выданные для конверсии) физическим лицам (нерезидентам и резидентам), в соответствии с информацией о статусе физического лица, полученной при его идентификации в случаях, предусмотренных федеральными законами.</w:t>
      </w:r>
    </w:p>
    <w:p>
      <w:pPr>
        <w:pStyle w:val="MainText"/>
        <w:rPr/>
      </w:pPr>
      <w:r>
        <w:rPr/>
        <w:t>III.7.5. В строках 4.5 и 4.6 указываются суммы наличной иностранной валюты, выданной за отчетный период при участии уполномоченного работника кредитной организации (кассира) с текущих счетов, счетов по вкладам (депозитам) физических лиц (нерезидентов и резидентов) в иностранной валюте и валюте Российской Федерации, в том числе выданной с использованием платежных (банковских) карт, эмитированных как уполномоченным банком, так и другими эмитентами. В данный показатель не включаются операции, осуществленные через банкоматы.</w:t>
      </w:r>
    </w:p>
    <w:p>
      <w:pPr>
        <w:pStyle w:val="MainText"/>
        <w:rPr/>
      </w:pPr>
      <w:r>
        <w:rPr/>
        <w:t>III.7.6. В строках 4.7 и 4.8 указываются суммы наличной иностранной валюты, выданной физическим лицам (нерезидентам и резидентам) по переводам в Российскую Федерацию без открытия банковского счета.</w:t>
      </w:r>
    </w:p>
    <w:p>
      <w:pPr>
        <w:pStyle w:val="MainText"/>
        <w:rPr/>
      </w:pPr>
      <w:r>
        <w:rPr/>
        <w:t>III.7.7. В строке 4.9 указывается сумма прочих направлений использования наличной иностранной валюты физическими лицами, индивидуальными предпринимателями, а также физическими лицами, занимающимися в установленном законодательством Российской Федерации порядке частной практикой, и юридическими лицами (резидентами и нерезидентами), за исключением сумм, подлежащих отражению по строкам 4.1—4.8.</w:t>
      </w:r>
    </w:p>
    <w:p>
      <w:pPr>
        <w:pStyle w:val="MainText"/>
        <w:rPr/>
      </w:pPr>
      <w:r>
        <w:rPr/>
        <w:t>III.8. В строке 5 указывается сумма проданных чеков в иностранной валюте физическим лицам, индивидуальным предпринимателям, а также физическим лицам, занимающимся в установленном законодательством Российской Федерации порядке частной практикой, и юридическим лицам.</w:t>
      </w:r>
    </w:p>
    <w:p>
      <w:pPr>
        <w:pStyle w:val="MainText"/>
        <w:rPr/>
      </w:pPr>
      <w:r>
        <w:rPr/>
        <w:t>III.8.1. В строках 5.1 и 5.2 указываются суммы проданных чеков в иностранной валюте физическим лицам (нерезидентам и резидентам).</w:t>
      </w:r>
    </w:p>
    <w:p>
      <w:pPr>
        <w:pStyle w:val="MainText"/>
        <w:rPr/>
      </w:pPr>
      <w:r>
        <w:rPr/>
        <w:t>III.8.2. В строке 5.3 указываются сумма проданных чеков в иностранной валюте юридическим лицам — клиентам уполномоченного банка, сумма направленных на инкассо чеков в иностранной валюте, оплаченных уполномоченным банком, представляющим Отчет, а также прочие направления расходования чеков в иностранной валюте. Сумма показателей строк 5.1—5.3 должна быть равна значению показателя строки 5.</w:t>
      </w:r>
    </w:p>
    <w:p>
      <w:pPr>
        <w:pStyle w:val="MainText"/>
        <w:rPr/>
      </w:pPr>
      <w:r>
        <w:rPr/>
        <w:t>III.9. В строке 6 указывается величина остатка наличной иностранной валюты и чеков в иностранной валюте по состоянию на конец отчетного месяца (исходящие остатки на конец отчетного месяца по балансовым счетам №№ 20202, 20203, 20206—20210).</w:t>
      </w:r>
    </w:p>
    <w:p>
      <w:pPr>
        <w:pStyle w:val="MainText"/>
        <w:rPr/>
      </w:pPr>
      <w:r>
        <w:rPr/>
        <w:t>В строке 6.1 указывается величина остатка наличной иностранной валюты на конец отчетного месяца.</w:t>
      </w:r>
    </w:p>
    <w:p>
      <w:pPr>
        <w:pStyle w:val="MainText"/>
        <w:rPr/>
      </w:pPr>
      <w:r>
        <w:rPr/>
        <w:t>III.10. В случае если даты совершения операций по подкреплению головным офисом уполномоченного банка своих филиалов наличной иностранной валютой приходятся на разные отчетные периоды, следует руководствоваться следующим правилом:</w:t>
      </w:r>
    </w:p>
    <w:p>
      <w:pPr>
        <w:pStyle w:val="MainText"/>
        <w:rPr/>
      </w:pPr>
      <w:r>
        <w:rPr/>
        <w:t>суммы, отраженные головным офисом уполномоченного банка на балансовом счете № 20209 “Денежные средства в пути”, включаются в данные отчета головного офиса уполномоченного банка текущим месяцем по строке 6 раздела 1 Отчета;</w:t>
      </w:r>
    </w:p>
    <w:p>
      <w:pPr>
        <w:pStyle w:val="MainText"/>
        <w:rPr/>
      </w:pPr>
      <w:r>
        <w:rPr/>
        <w:t>суммы по межфилиальным оборотам отражаются в отчете головного офиса (филиала) уполномоченного банка следующего отчетного периода по строке 2.3 (4.3) раздела 1 Отчета.</w:t>
      </w:r>
    </w:p>
    <w:p>
      <w:pPr>
        <w:pStyle w:val="MGlavaCenter"/>
        <w:rPr>
          <w:b w:val="false"/>
        </w:rPr>
      </w:pPr>
      <w:r>
        <w:rPr>
          <w:b w:val="false"/>
        </w:rPr>
        <w:t>Раздел IV. Порядок заполнения раздела 2 Отчета</w:t>
      </w:r>
    </w:p>
    <w:p>
      <w:pPr>
        <w:pStyle w:val="MainText"/>
        <w:rPr/>
      </w:pPr>
      <w:r>
        <w:rPr/>
        <w:t>IV.1. В раздел 2 включаются данные об операциях физических лиц с наличной иностранной валютой, осуществляемых в уполномоченном банке (его филиалах), внутренних структурных подразделениях, а также с использованием программно-технических комплексов.</w:t>
      </w:r>
    </w:p>
    <w:p>
      <w:pPr>
        <w:pStyle w:val="MainText"/>
        <w:rPr/>
      </w:pPr>
      <w:r>
        <w:rPr/>
        <w:t>IV.2. Показатели раздела 2 имеют следующее содержание:</w:t>
      </w:r>
    </w:p>
    <w:p>
      <w:pPr>
        <w:pStyle w:val="MainText"/>
        <w:rPr/>
      </w:pPr>
      <w:r>
        <w:rPr/>
        <w:t>IV.2.1. Графа 1 предназначена для нумерации строк.</w:t>
      </w:r>
    </w:p>
    <w:p>
      <w:pPr>
        <w:pStyle w:val="MainText"/>
        <w:rPr/>
      </w:pPr>
      <w:r>
        <w:rPr/>
        <w:t>IV.2.2. В графах 2 и 3 проставляются соответственно цифровой код и наименование иностранной валюты в соответствии с Общероссийским классификатором валют (ОКВ).</w:t>
      </w:r>
    </w:p>
    <w:p>
      <w:pPr>
        <w:pStyle w:val="MainText"/>
        <w:rPr/>
      </w:pPr>
      <w:r>
        <w:rPr/>
        <w:t>IV.2.3. В графе 4 указывается сумма наличной иностранной валюты, купленной у физических лиц (нерезидентов и резидентов) за наличную валюту Российской Федерации (с учетом покупки поврежденных денежных знаков иностранных государств (группы государств) за наличную валюту Российской Федерации) (в тысячах единиц, с точностью до трех знаков после запятой).</w:t>
      </w:r>
    </w:p>
    <w:p>
      <w:pPr>
        <w:pStyle w:val="MainText"/>
        <w:rPr/>
      </w:pPr>
      <w:r>
        <w:rPr/>
        <w:t>IV.2.4. В графе 5 указывается сумма наличной валюты Российской Федерации, уплаченной за купленную наличную иностранную валюту, в том числе за поврежденные денежные знаки иностранных государств (группы государств) (в тысячах рублей, с точностью до трех знаков после запятой).</w:t>
      </w:r>
    </w:p>
    <w:p>
      <w:pPr>
        <w:pStyle w:val="MainText"/>
        <w:rPr/>
      </w:pPr>
      <w:r>
        <w:rPr/>
        <w:t>IV.2.5. В графе 6 указывается количество совершенных сделок по покупке наличной иностранной валюты за наличную валюту Российской Федерации с учетом количества сделок по покупке поврежденных денежных знаков иностранных государств (группы государств) за наличную валюту Российской Федерации (в единицах). Операции по принятию иностранной валюты для конверсии в данный показатель не включаются.</w:t>
      </w:r>
    </w:p>
    <w:p>
      <w:pPr>
        <w:pStyle w:val="MainText"/>
        <w:rPr/>
      </w:pPr>
      <w:r>
        <w:rPr/>
        <w:t>IV.2.6. В графе 7 указывается сумма наличной иностранной валюты, принятой от физических лиц (нерезидентов и резидентов) для конверсии (в тысячах единиц, с точностью до трех знаков после запятой).</w:t>
      </w:r>
    </w:p>
    <w:p>
      <w:pPr>
        <w:pStyle w:val="MainText"/>
        <w:rPr/>
      </w:pPr>
      <w:r>
        <w:rPr/>
        <w:t>IV.2.7. В графах 8 и 9 указывается количество операций по зачислению наличной иностранной валюты на счета физических лиц (нерезидентов и резидентов) при участии уполномоченного работника кредитной организации (кассира), в том числе осуществленных с использованием платежных (банковских) карт, эмитированных как уполномоченным банком, так и другими эмитентами, за отчетный период (в единицах). В данный показатель не включаются операции, осуществленные через банкоматы.</w:t>
      </w:r>
    </w:p>
    <w:p>
      <w:pPr>
        <w:pStyle w:val="MainText"/>
        <w:rPr/>
      </w:pPr>
      <w:r>
        <w:rPr/>
        <w:t>IV.2.8. В графе 10 указывается сумма наличной иностранной валюты, проданной физическим лицам (нерезидентам и резидентам) за наличную валюту Российской Федерации (в тысячах единиц с точностью до трех знаков после запятой).</w:t>
      </w:r>
    </w:p>
    <w:p>
      <w:pPr>
        <w:pStyle w:val="MainText"/>
        <w:rPr/>
      </w:pPr>
      <w:r>
        <w:rPr/>
        <w:t>IV.2.9. В графе 11 указывается сумма наличной валюты Российской Федерации, полученная за продажу наличной иностранной валюты (в тысячах рублей, с точностью до трех знаков после запятой).</w:t>
      </w:r>
    </w:p>
    <w:p>
      <w:pPr>
        <w:pStyle w:val="MainText"/>
        <w:rPr/>
      </w:pPr>
      <w:r>
        <w:rPr/>
        <w:t>IV.2.10. В графе 12 указывается количество совершенных сделок по продаже наличной иностранной валюты за наличную валюту Российской Федерации (в единицах). Операции по выдаче иностранной валюты по конверсии в данный показатель не включаются.</w:t>
      </w:r>
    </w:p>
    <w:p>
      <w:pPr>
        <w:pStyle w:val="MainText"/>
        <w:rPr/>
      </w:pPr>
      <w:r>
        <w:rPr/>
        <w:t>IV.2.11. В графе 13 указывается сумма выданной по конверсии физическим лицам (нерезидентам и резидентам) наличной иностранной валюты (в тысячах единиц, с точностью до трех знаков после запятой).</w:t>
      </w:r>
    </w:p>
    <w:p>
      <w:pPr>
        <w:pStyle w:val="MainText"/>
        <w:rPr/>
      </w:pPr>
      <w:r>
        <w:rPr/>
        <w:t>IV.2.12. В графах 14 и 15 указывается количество операций по снятию наличной иностранной валюты со счетов физических лиц (нерезидентов и резидентов) при участии уполномоченного работника кредитной организации (кассира), в том числе осуществленных с использованием платежных (банковских) карт, эмитированных как уполномоченным банком, так и другими эмитентами, за отчетный период (в единицах). В данный показатель не включаются операции, осуществленные через банкоматы.</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ОБ ОТКРЫТЫХ КОРРЕСПОНДЕНТСКИХ СЧЕТАХ И ОСТАТКАХ СРЕДСТВ НА НИХ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0409603</w:t>
        <w:br/>
        <w:t>Месячная</w:t>
        <w:br/>
        <w:t>тыс. руб.</w:t>
      </w:r>
    </w:p>
    <w:tbl>
      <w:tblPr>
        <w:tblW w:w="16251" w:type="dxa"/>
        <w:jc w:val="center"/>
        <w:tblInd w:w="0" w:type="dxa"/>
        <w:tblLayout w:type="fixed"/>
        <w:tblCellMar>
          <w:top w:w="0" w:type="dxa"/>
          <w:start w:w="28" w:type="dxa"/>
          <w:bottom w:w="0" w:type="dxa"/>
          <w:end w:w="28" w:type="dxa"/>
        </w:tblCellMar>
      </w:tblPr>
      <w:tblGrid>
        <w:gridCol w:w="813"/>
        <w:gridCol w:w="1715"/>
        <w:gridCol w:w="1715"/>
        <w:gridCol w:w="1715"/>
        <w:gridCol w:w="1517"/>
        <w:gridCol w:w="1844"/>
        <w:gridCol w:w="1733"/>
        <w:gridCol w:w="1733"/>
        <w:gridCol w:w="1733"/>
        <w:gridCol w:w="1733"/>
      </w:tblGrid>
      <w:tr>
        <w:trPr>
          <w:tblHeader w:val="true"/>
          <w:cantSplit/>
        </w:trPr>
        <w:tc>
          <w:tcPr>
            <w:tcW w:w="813" w:type="dxa"/>
            <w:tcBorders>
              <w:top w:val="single" w:sz="6" w:space="0" w:color="000000"/>
              <w:start w:val="single" w:sz="6" w:space="0" w:color="000000"/>
              <w:end w:val="single" w:sz="6" w:space="0" w:color="000000"/>
            </w:tcBorders>
          </w:tcPr>
          <w:p>
            <w:pPr>
              <w:pStyle w:val="MainText"/>
              <w:keepNext w:val="true"/>
              <w:ind w:hanging="0" w:end="0"/>
              <w:jc w:val="center"/>
              <w:rPr/>
            </w:pPr>
            <w:r>
              <w:rPr/>
              <w:t>Номер</w:t>
            </w:r>
          </w:p>
        </w:tc>
        <w:tc>
          <w:tcPr>
            <w:tcW w:w="1715" w:type="dxa"/>
            <w:tcBorders>
              <w:top w:val="single" w:sz="6" w:space="0" w:color="000000"/>
              <w:start w:val="single" w:sz="6" w:space="0" w:color="000000"/>
              <w:end w:val="single" w:sz="6" w:space="0" w:color="000000"/>
            </w:tcBorders>
          </w:tcPr>
          <w:p>
            <w:pPr>
              <w:pStyle w:val="MainText"/>
              <w:keepNext w:val="true"/>
              <w:ind w:hanging="0" w:end="0"/>
              <w:jc w:val="center"/>
              <w:rPr/>
            </w:pPr>
            <w:r>
              <w:rPr/>
              <w:t>Наименование</w:t>
            </w:r>
          </w:p>
        </w:tc>
        <w:tc>
          <w:tcPr>
            <w:tcW w:w="1715" w:type="dxa"/>
            <w:tcBorders>
              <w:top w:val="single" w:sz="6" w:space="0" w:color="000000"/>
              <w:start w:val="single" w:sz="6" w:space="0" w:color="000000"/>
              <w:end w:val="single" w:sz="6" w:space="0" w:color="000000"/>
            </w:tcBorders>
          </w:tcPr>
          <w:p>
            <w:pPr>
              <w:pStyle w:val="MainText"/>
              <w:keepNext w:val="true"/>
              <w:ind w:hanging="0" w:end="0"/>
              <w:jc w:val="center"/>
              <w:rPr/>
            </w:pPr>
            <w:r>
              <w:rPr/>
              <w:t>Регистрационный</w:t>
            </w:r>
          </w:p>
        </w:tc>
        <w:tc>
          <w:tcPr>
            <w:tcW w:w="1715" w:type="dxa"/>
            <w:tcBorders>
              <w:top w:val="single" w:sz="6" w:space="0" w:color="000000"/>
              <w:start w:val="single" w:sz="6" w:space="0" w:color="000000"/>
              <w:end w:val="single" w:sz="6" w:space="0" w:color="000000"/>
            </w:tcBorders>
          </w:tcPr>
          <w:p>
            <w:pPr>
              <w:pStyle w:val="MainText"/>
              <w:keepNext w:val="true"/>
              <w:ind w:hanging="0" w:end="0"/>
              <w:jc w:val="center"/>
              <w:rPr/>
            </w:pPr>
            <w:r>
              <w:rPr/>
              <w:t>Код страны</w:t>
            </w:r>
          </w:p>
        </w:tc>
        <w:tc>
          <w:tcPr>
            <w:tcW w:w="1517" w:type="dxa"/>
            <w:tcBorders>
              <w:top w:val="single" w:sz="6" w:space="0" w:color="000000"/>
              <w:start w:val="single" w:sz="6" w:space="0" w:color="000000"/>
              <w:end w:val="single" w:sz="6" w:space="0" w:color="000000"/>
            </w:tcBorders>
          </w:tcPr>
          <w:p>
            <w:pPr>
              <w:pStyle w:val="MainText"/>
              <w:keepNext w:val="true"/>
              <w:ind w:hanging="0" w:end="0"/>
              <w:jc w:val="center"/>
              <w:rPr/>
            </w:pPr>
            <w:r>
              <w:rPr/>
              <w:t>Номер</w:t>
            </w:r>
          </w:p>
        </w:tc>
        <w:tc>
          <w:tcPr>
            <w:tcW w:w="1844" w:type="dxa"/>
            <w:tcBorders>
              <w:top w:val="single" w:sz="6" w:space="0" w:color="000000"/>
              <w:start w:val="single" w:sz="6" w:space="0" w:color="000000"/>
              <w:end w:val="single" w:sz="6" w:space="0" w:color="000000"/>
            </w:tcBorders>
          </w:tcPr>
          <w:p>
            <w:pPr>
              <w:pStyle w:val="MainText"/>
              <w:keepNext w:val="true"/>
              <w:ind w:hanging="0" w:end="0"/>
              <w:jc w:val="center"/>
              <w:rPr/>
            </w:pPr>
            <w:r>
              <w:rPr/>
              <w:t>Номер</w:t>
            </w:r>
          </w:p>
        </w:tc>
        <w:tc>
          <w:tcPr>
            <w:tcW w:w="1733" w:type="dxa"/>
            <w:tcBorders>
              <w:top w:val="single" w:sz="6" w:space="0" w:color="000000"/>
              <w:start w:val="single" w:sz="6" w:space="0" w:color="000000"/>
              <w:end w:val="single" w:sz="6" w:space="0" w:color="000000"/>
            </w:tcBorders>
          </w:tcPr>
          <w:p>
            <w:pPr>
              <w:pStyle w:val="MainText"/>
              <w:keepNext w:val="true"/>
              <w:ind w:hanging="0" w:end="0"/>
              <w:jc w:val="center"/>
              <w:rPr/>
            </w:pPr>
            <w:r>
              <w:rPr/>
              <w:t>Остаток</w:t>
            </w:r>
          </w:p>
        </w:tc>
        <w:tc>
          <w:tcPr>
            <w:tcW w:w="3466"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Обороты по счету за отчетный месяц</w:t>
            </w:r>
          </w:p>
        </w:tc>
        <w:tc>
          <w:tcPr>
            <w:tcW w:w="1733" w:type="dxa"/>
            <w:tcBorders>
              <w:top w:val="single" w:sz="6" w:space="0" w:color="000000"/>
              <w:start w:val="single" w:sz="6" w:space="0" w:color="000000"/>
              <w:end w:val="single" w:sz="6" w:space="0" w:color="000000"/>
            </w:tcBorders>
          </w:tcPr>
          <w:p>
            <w:pPr>
              <w:pStyle w:val="MainText"/>
              <w:keepNext w:val="true"/>
              <w:ind w:hanging="0" w:end="0"/>
              <w:jc w:val="center"/>
              <w:rPr/>
            </w:pPr>
            <w:r>
              <w:rPr/>
              <w:t>Остаток</w:t>
            </w:r>
          </w:p>
        </w:tc>
      </w:tr>
      <w:tr>
        <w:trPr>
          <w:tblHeader w:val="true"/>
          <w:cantSplit/>
        </w:trPr>
        <w:tc>
          <w:tcPr>
            <w:tcW w:w="813" w:type="dxa"/>
            <w:tcBorders>
              <w:start w:val="single" w:sz="6" w:space="0" w:color="000000"/>
              <w:bottom w:val="single" w:sz="6" w:space="0" w:color="000000"/>
              <w:end w:val="single" w:sz="6" w:space="0" w:color="000000"/>
            </w:tcBorders>
          </w:tcPr>
          <w:p>
            <w:pPr>
              <w:pStyle w:val="MainText"/>
              <w:keepNext w:val="true"/>
              <w:ind w:hanging="0" w:end="0"/>
              <w:jc w:val="center"/>
              <w:rPr/>
            </w:pPr>
            <w:r>
              <w:rPr/>
              <w:t>строки</w:t>
            </w:r>
          </w:p>
        </w:tc>
        <w:tc>
          <w:tcPr>
            <w:tcW w:w="1715" w:type="dxa"/>
            <w:tcBorders>
              <w:start w:val="single" w:sz="6" w:space="0" w:color="000000"/>
              <w:bottom w:val="single" w:sz="6" w:space="0" w:color="000000"/>
              <w:end w:val="single" w:sz="6" w:space="0" w:color="000000"/>
            </w:tcBorders>
          </w:tcPr>
          <w:p>
            <w:pPr>
              <w:pStyle w:val="MainText"/>
              <w:keepNext w:val="true"/>
              <w:ind w:hanging="0" w:end="0"/>
              <w:jc w:val="center"/>
              <w:rPr/>
            </w:pPr>
            <w:r>
              <w:rPr/>
              <w:t>кредитной организации — корреспондента</w:t>
            </w:r>
          </w:p>
        </w:tc>
        <w:tc>
          <w:tcPr>
            <w:tcW w:w="1715" w:type="dxa"/>
            <w:tcBorders>
              <w:start w:val="single" w:sz="6" w:space="0" w:color="000000"/>
              <w:bottom w:val="single" w:sz="6" w:space="0" w:color="000000"/>
              <w:end w:val="single" w:sz="6" w:space="0" w:color="000000"/>
            </w:tcBorders>
          </w:tcPr>
          <w:p>
            <w:pPr>
              <w:pStyle w:val="MainText"/>
              <w:keepNext w:val="true"/>
              <w:ind w:hanging="0" w:end="0"/>
              <w:jc w:val="center"/>
              <w:rPr/>
            </w:pPr>
            <w:r>
              <w:rPr/>
              <w:t>номер (код СВИФТ)</w:t>
            </w:r>
          </w:p>
        </w:tc>
        <w:tc>
          <w:tcPr>
            <w:tcW w:w="1715" w:type="dxa"/>
            <w:tcBorders>
              <w:start w:val="single" w:sz="6" w:space="0" w:color="000000"/>
              <w:bottom w:val="single" w:sz="6" w:space="0" w:color="000000"/>
              <w:end w:val="single" w:sz="6" w:space="0" w:color="000000"/>
            </w:tcBorders>
          </w:tcPr>
          <w:p>
            <w:pPr>
              <w:pStyle w:val="MainText"/>
              <w:keepNext w:val="true"/>
              <w:ind w:hanging="0" w:end="0"/>
              <w:jc w:val="center"/>
              <w:rPr/>
            </w:pPr>
            <w:r>
              <w:rPr/>
              <w:t>места нахождения кредитной организации</w:t>
            </w:r>
          </w:p>
        </w:tc>
        <w:tc>
          <w:tcPr>
            <w:tcW w:w="1517" w:type="dxa"/>
            <w:tcBorders>
              <w:start w:val="single" w:sz="6" w:space="0" w:color="000000"/>
              <w:bottom w:val="single" w:sz="6" w:space="0" w:color="000000"/>
              <w:end w:val="single" w:sz="6" w:space="0" w:color="000000"/>
            </w:tcBorders>
          </w:tcPr>
          <w:p>
            <w:pPr>
              <w:pStyle w:val="MainText"/>
              <w:keepNext w:val="true"/>
              <w:ind w:hanging="0" w:end="0"/>
              <w:jc w:val="center"/>
              <w:rPr/>
            </w:pPr>
            <w:r>
              <w:rPr/>
              <w:t>балансового счета</w:t>
            </w:r>
          </w:p>
        </w:tc>
        <w:tc>
          <w:tcPr>
            <w:tcW w:w="1844" w:type="dxa"/>
            <w:tcBorders>
              <w:start w:val="single" w:sz="6" w:space="0" w:color="000000"/>
              <w:bottom w:val="single" w:sz="6" w:space="0" w:color="000000"/>
              <w:end w:val="single" w:sz="6" w:space="0" w:color="000000"/>
            </w:tcBorders>
          </w:tcPr>
          <w:p>
            <w:pPr>
              <w:pStyle w:val="MainText"/>
              <w:keepNext w:val="true"/>
              <w:ind w:hanging="0" w:end="0"/>
              <w:jc w:val="center"/>
              <w:rPr/>
            </w:pPr>
            <w:r>
              <w:rPr/>
              <w:t>корреспондентского счета</w:t>
            </w:r>
          </w:p>
        </w:tc>
        <w:tc>
          <w:tcPr>
            <w:tcW w:w="1733" w:type="dxa"/>
            <w:tcBorders>
              <w:start w:val="single" w:sz="6" w:space="0" w:color="000000"/>
              <w:bottom w:val="single" w:sz="6" w:space="0" w:color="000000"/>
              <w:end w:val="single" w:sz="6" w:space="0" w:color="000000"/>
            </w:tcBorders>
          </w:tcPr>
          <w:p>
            <w:pPr>
              <w:pStyle w:val="MainText"/>
              <w:keepNext w:val="true"/>
              <w:ind w:hanging="0" w:end="0"/>
              <w:jc w:val="center"/>
              <w:rPr/>
            </w:pPr>
            <w:r>
              <w:rPr/>
              <w:t>на начало месяца</w:t>
            </w:r>
          </w:p>
        </w:tc>
        <w:tc>
          <w:tcPr>
            <w:tcW w:w="17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дебетовый</w:t>
            </w:r>
          </w:p>
        </w:tc>
        <w:tc>
          <w:tcPr>
            <w:tcW w:w="17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кредитовый</w:t>
            </w:r>
          </w:p>
        </w:tc>
        <w:tc>
          <w:tcPr>
            <w:tcW w:w="1733" w:type="dxa"/>
            <w:tcBorders>
              <w:start w:val="single" w:sz="6" w:space="0" w:color="000000"/>
              <w:bottom w:val="single" w:sz="6" w:space="0" w:color="000000"/>
              <w:end w:val="single" w:sz="6" w:space="0" w:color="000000"/>
            </w:tcBorders>
          </w:tcPr>
          <w:p>
            <w:pPr>
              <w:pStyle w:val="MainText"/>
              <w:keepNext w:val="true"/>
              <w:ind w:hanging="0" w:end="0"/>
              <w:jc w:val="center"/>
              <w:rPr/>
            </w:pPr>
            <w:r>
              <w:rPr/>
              <w:t>на конец месяца</w:t>
            </w:r>
          </w:p>
        </w:tc>
      </w:tr>
      <w:tr>
        <w:trPr>
          <w:tblHeader w:val="true"/>
          <w:cantSplit/>
        </w:trPr>
        <w:tc>
          <w:tcPr>
            <w:tcW w:w="81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171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171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171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c>
          <w:tcPr>
            <w:tcW w:w="15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5</w:t>
            </w:r>
          </w:p>
        </w:tc>
        <w:tc>
          <w:tcPr>
            <w:tcW w:w="18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6</w:t>
            </w:r>
          </w:p>
        </w:tc>
        <w:tc>
          <w:tcPr>
            <w:tcW w:w="17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7</w:t>
            </w:r>
          </w:p>
        </w:tc>
        <w:tc>
          <w:tcPr>
            <w:tcW w:w="17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8</w:t>
            </w:r>
          </w:p>
        </w:tc>
        <w:tc>
          <w:tcPr>
            <w:tcW w:w="17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9</w:t>
            </w:r>
          </w:p>
        </w:tc>
        <w:tc>
          <w:tcPr>
            <w:tcW w:w="173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10</w:t>
            </w:r>
          </w:p>
        </w:tc>
      </w:tr>
      <w:tr>
        <w:trPr>
          <w:cantSplit/>
        </w:trPr>
        <w:tc>
          <w:tcPr>
            <w:tcW w:w="81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17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7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7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5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7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7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7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7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0409603 “Сведения об открытых корреспондентских счетах и остатках средств на них”</w:t>
      </w:r>
    </w:p>
    <w:p>
      <w:pPr>
        <w:pStyle w:val="MainText"/>
        <w:rPr/>
      </w:pPr>
      <w:r>
        <w:rPr/>
        <w:t>1. В отчетности по форме 0409603 “Сведения об открытых корреспондентских счетах и остатках средств на них” (далее — Отчет) отражаются сведения об остатках и оборотах за отчетный месяц по корреспондентским счетам, открытым кредитной организацией, составляющей Отчет, в других кредитных организациях (далее — счета “НОСТРО”), и по корреспондентским счетам, открытым другими кредитными организациями в кредитной организации, составляющей Отчет (далее — счета “ЛОРО”). Информация в Отчет включается исходя из принципа преобладания экономической сущности над формой и других международно признанных принципов, то есть в Отчет не включаются операции, отраженные кредитной организацией на корреспондентских счетах “ЛОРО”, “НОСТРО”, но классифицированные кредитной организацией как межбанковский кредит (депозит) полученный (выданный), в случаях если эти операции нашли отражение в отчетности по форме 0409501 “Сведения о межбанковских кредитах и депозитах”.</w:t>
      </w:r>
    </w:p>
    <w:p>
      <w:pPr>
        <w:pStyle w:val="MainText"/>
        <w:rPr/>
      </w:pPr>
      <w:r>
        <w:rPr/>
        <w:t>Сведения по кредитным организациям, у которых отозвана лицензия на осуществление банковских операций, включаются в Отчет до момента исключения записи об их регистрации из Книги государственной регистрации кредитных организаций. Сведения по кредитным организациям, записи о регистрации которых исключены из Книги государственной регистрации кредитных организаций, должны быть исключены из Отчета в том месяце, когда принято решение об исключении записи о регистрации кредитной организации из Книги государственной регистрации кредитных организаций. Если по каким-либо причинам данные об операциях с такими кредитными организациями не были исключены из Отчета, должны быть представлены соответствующие пояснения.</w:t>
      </w:r>
    </w:p>
    <w:p>
      <w:pPr>
        <w:pStyle w:val="MainText"/>
        <w:rPr/>
      </w:pPr>
      <w:r>
        <w:rPr/>
        <w:t>В Отчет не включается информация о корреспондентских счетах в Банке России.</w:t>
      </w:r>
    </w:p>
    <w:p>
      <w:pPr>
        <w:pStyle w:val="MainText"/>
        <w:rPr/>
      </w:pPr>
      <w:r>
        <w:rPr/>
        <w:t>2. Понятия “резидент” и “нерезидент” используются для составления Отчета в соответствии с валютным законодательством Российской Федерации.</w:t>
      </w:r>
    </w:p>
    <w:p>
      <w:pPr>
        <w:pStyle w:val="MainText"/>
        <w:rPr/>
      </w:pPr>
      <w:r>
        <w:rPr/>
        <w:t>3. В графе 2 указывается наименование кредитной организации:</w:t>
      </w:r>
    </w:p>
    <w:p>
      <w:pPr>
        <w:pStyle w:val="MainText"/>
        <w:rPr/>
      </w:pPr>
      <w:r>
        <w:rPr/>
        <w:t>резидента — в соответствии с Книгой государственной регистрации кредитных организаций;</w:t>
      </w:r>
    </w:p>
    <w:p>
      <w:pPr>
        <w:pStyle w:val="MainText"/>
        <w:rPr/>
      </w:pPr>
      <w:r>
        <w:rPr/>
        <w:t>нерезидента — участника системы СВИФТ — в соответствии со справочником СВИФТ, других кредитных организаций — нерезидентов — в соответствии с наименованием, приведенным в договоре (соглашении) об установлении корреспондентских отношений.</w:t>
      </w:r>
    </w:p>
    <w:p>
      <w:pPr>
        <w:pStyle w:val="MainText"/>
        <w:rPr/>
      </w:pPr>
      <w:r>
        <w:rPr/>
        <w:t>4. В графе 3 указываются:</w:t>
      </w:r>
    </w:p>
    <w:p>
      <w:pPr>
        <w:pStyle w:val="MainText"/>
        <w:rPr/>
      </w:pPr>
      <w:r>
        <w:rPr/>
        <w:t>для кредитных организаций — резидентов — регистрационный номер кредитной организации в соответствии с Книгой государственной регистрации кредитных организаций;</w:t>
      </w:r>
    </w:p>
    <w:p>
      <w:pPr>
        <w:pStyle w:val="MainText"/>
        <w:rPr/>
      </w:pPr>
      <w:r>
        <w:rPr/>
        <w:t>для кредитных организаций — нерезидентов — участников системы СВИФТ — код кредитной организации по справочнику СВИФТ, для других кредитных организаций — нерезидентов — код НР.</w:t>
      </w:r>
    </w:p>
    <w:p>
      <w:pPr>
        <w:pStyle w:val="MainText"/>
        <w:rPr/>
      </w:pPr>
      <w:r>
        <w:rPr/>
        <w:t>5. В графе 4 указывается цифровой код страны, в которой зарегистрирована кредитная организация — корреспондент в соответствии с Общероссийским классификатором стран мира (ОКСМ).</w:t>
      </w:r>
    </w:p>
    <w:p>
      <w:pPr>
        <w:pStyle w:val="MainText"/>
        <w:rPr/>
      </w:pPr>
      <w:r>
        <w:rPr/>
        <w:t>6. В графе 5 указывается номер балансового счета, на котором учитывается открытый корреспондентский счет.</w:t>
      </w:r>
    </w:p>
    <w:p>
      <w:pPr>
        <w:pStyle w:val="MainText"/>
        <w:rPr/>
      </w:pPr>
      <w:r>
        <w:rPr/>
        <w:t>7. В графе 6 кредитной организацией, составляющей Отчет, указываются:</w:t>
      </w:r>
    </w:p>
    <w:p>
      <w:pPr>
        <w:pStyle w:val="MainText"/>
        <w:rPr/>
      </w:pPr>
      <w:r>
        <w:rPr/>
        <w:t>для счетов “НОСТРО” — номера корреспондентских счетов, присвоенные ей кредитной организацией — корреспондентом;</w:t>
      </w:r>
    </w:p>
    <w:p>
      <w:pPr>
        <w:pStyle w:val="MainText"/>
        <w:rPr/>
      </w:pPr>
      <w:r>
        <w:rPr/>
        <w:t>для счетов “ЛОРО” — номера корреспондентских счетов, присвоенные ею кредитной организации — корреспонденту.</w:t>
      </w:r>
    </w:p>
    <w:p>
      <w:pPr>
        <w:pStyle w:val="MainText"/>
        <w:rPr/>
      </w:pPr>
      <w:r>
        <w:rPr/>
        <w:t>8. Информация включается в Отчет при наличии данных хотя бы по одной из граф 7—10.</w:t>
      </w:r>
    </w:p>
    <w:p>
      <w:pPr>
        <w:pStyle w:val="MainText"/>
        <w:rPr/>
      </w:pPr>
      <w:r>
        <w:rPr/>
        <w:t>Остатки и обороты по графам 7—10, сгруппированные по балансовым счетам второго порядка, должны соответствовать остаткам и оборотам этих счетов в отчетности по форме 0409101 “Оборотная ведомость по счетам бухгалтерского учета кредитной организации”, составленной на аналогичную отчетную дату. Остатки и обороты по указанным графам, сгруппированные по корреспондентам-резидентам, должны соответствовать аналогичным показателям, приведенным в Отчете кредитной организации — резидента — корреспондента на аналогичную отчетную дату.</w:t>
      </w:r>
    </w:p>
    <w:p>
      <w:pPr>
        <w:pStyle w:val="MainText"/>
        <w:rPr/>
      </w:pPr>
      <w:r>
        <w:rPr/>
        <w:t>При наличии расхождений между данными Отчета и отчетности по форме 0409101 “Оборотная ведомость по счетам бухгалтерского учета кредитной организации” кредитные организации вместе с Отчетом представляют пояснения о причинах расхождений. Пояснения представляются кредитными организациями также в случае установления расхождений в Отчетах кредитных организаций — контрагентов.</w:t>
      </w:r>
    </w:p>
    <w:p>
      <w:pPr>
        <w:pStyle w:val="MainText"/>
        <w:rPr/>
      </w:pPr>
      <w:r>
        <w:rPr/>
        <w:t>В графах 8 и 9 приводятся обороты без учета исправительных проводок.</w:t>
      </w:r>
    </w:p>
    <w:p>
      <w:pPr>
        <w:pStyle w:val="MainText"/>
        <w:rPr/>
      </w:pPr>
      <w:r>
        <w:rPr/>
        <w:t>9. Отчет составляется в целом по кредитной организации (включая небанковские кредитные организации) по состоянию на 1-е число месяца, следующего за отчетным, и представляется в территориальное учреждение Банка России:</w:t>
      </w:r>
    </w:p>
    <w:p>
      <w:pPr>
        <w:pStyle w:val="MainText"/>
        <w:rPr/>
      </w:pPr>
      <w:r>
        <w:rPr/>
        <w:t>кредитными организациями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w:t>
      </w:r>
    </w:p>
    <w:p>
      <w:pPr>
        <w:pStyle w:val="MainText"/>
        <w:rPr/>
      </w:pPr>
      <w:r>
        <w:rPr/>
        <w:t>крупными кредитными организациями с широкой сетью подразделений — не позднее 17-го рабочего дня месяца, следующего за отчетным.</w:t>
      </w:r>
    </w:p>
    <w:p>
      <w:pPr>
        <w:pStyle w:val="MainText"/>
        <w:rPr/>
      </w:pPr>
      <w:r>
        <w:rPr/>
        <w:t>10. Территориальные учреждения Банка России, определенные Соглашениями о межбанковских расчетах в торговле в приграничных районах и соответствующими Протоколами к ним об обмене информацией между Банком России и Национальным банком страны — участника Соглашения, вправе требовать от расположенных на подведомственной территории филиалов кредитных организаций, установивших корреспондентские отношения с кредитными организациями страны — участника Соглашения, представления Отчета в части информации об указанной кредитной организации — нерезиденте в срок не позднее 8-го рабочего дня месяца, следующего за отчетным.</w:t>
      </w:r>
    </w:p>
    <w:p>
      <w:pPr>
        <w:pStyle w:val="MainText"/>
        <w:rPr/>
      </w:pPr>
      <w:r>
        <w:rPr/>
        <w:t>11. Территориальное учреждение Банка России вправе потребовать от кредитной организации представления Отчета на внутримесячные даты в установленный им срок.</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ПО ОПЕРАЦИЯМ ВВОЗА И ВЫВОЗА ВАЛЮТЫ РОССИЙСКОЙ ФЕДЕРАЦИИ </w:t>
        <w:br/>
        <w:t xml:space="preserve">за </w:t>
      </w:r>
      <w:r>
        <w:rPr/>
        <w:t>___________ (квартал) ______ 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120" w:after="60"/>
        <w:jc w:val="end"/>
        <w:rPr/>
      </w:pPr>
      <w:r>
        <w:rPr/>
        <w:t>Код формы по ОКУД 0409608</w:t>
        <w:br/>
        <w:t>Квартальная</w:t>
        <w:br/>
        <w:t>руб.</w:t>
      </w:r>
    </w:p>
    <w:tbl>
      <w:tblPr>
        <w:tblW w:w="10991" w:type="dxa"/>
        <w:jc w:val="center"/>
        <w:tblInd w:w="0" w:type="dxa"/>
        <w:tblLayout w:type="fixed"/>
        <w:tblCellMar>
          <w:top w:w="0" w:type="dxa"/>
          <w:start w:w="28" w:type="dxa"/>
          <w:bottom w:w="0" w:type="dxa"/>
          <w:end w:w="28" w:type="dxa"/>
        </w:tblCellMar>
      </w:tblPr>
      <w:tblGrid>
        <w:gridCol w:w="5071"/>
        <w:gridCol w:w="2960"/>
        <w:gridCol w:w="2960"/>
      </w:tblGrid>
      <w:tr>
        <w:trPr>
          <w:tblHeader w:val="true"/>
          <w:cantSplit/>
        </w:trPr>
        <w:tc>
          <w:tcPr>
            <w:tcW w:w="50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Цифровой код страны получателя (отправителя)</w:t>
            </w:r>
          </w:p>
        </w:tc>
        <w:tc>
          <w:tcPr>
            <w:tcW w:w="29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Код операции</w:t>
            </w:r>
          </w:p>
        </w:tc>
        <w:tc>
          <w:tcPr>
            <w:tcW w:w="29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w:t>
            </w:r>
          </w:p>
        </w:tc>
      </w:tr>
      <w:tr>
        <w:trPr>
          <w:tblHeader w:val="true"/>
          <w:cantSplit/>
        </w:trPr>
        <w:tc>
          <w:tcPr>
            <w:tcW w:w="50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29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29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r>
      <w:tr>
        <w:trPr>
          <w:cantSplit/>
        </w:trPr>
        <w:tc>
          <w:tcPr>
            <w:tcW w:w="507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9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9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4564" w:leader="none"/>
        </w:tabs>
        <w:spacing w:before="120" w:after="0"/>
        <w:rPr/>
      </w:pPr>
      <w:r>
        <w:rPr/>
        <w:t>Руководитель</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color w:val="000000"/>
        </w:rPr>
        <w:t>Порядок составления и представления отчетности по форме 0409608 “Отчет по операциям ввоза и вывоза валюты Российской Федерации”</w:t>
      </w:r>
    </w:p>
    <w:p>
      <w:pPr>
        <w:pStyle w:val="MGlavaCenter"/>
        <w:keepLines w:val="false"/>
        <w:spacing w:before="0" w:after="120"/>
        <w:rPr>
          <w:b w:val="false"/>
        </w:rPr>
      </w:pPr>
      <w:r>
        <w:rPr>
          <w:b w:val="false"/>
        </w:rPr>
        <w:t>Раздел I. Общие положения</w:t>
      </w:r>
    </w:p>
    <w:p>
      <w:pPr>
        <w:pStyle w:val="MainText"/>
        <w:rPr/>
      </w:pPr>
      <w:r>
        <w:rPr/>
        <w:t>I.1. Собираемая в рамках отчетности по форме 0409608 “Отчет по операциям ввоза и вывоза валюты Российской Федерации” (далее — Отчет) информация используется для составления платежного баланса Российской Федерации.</w:t>
      </w:r>
    </w:p>
    <w:p>
      <w:pPr>
        <w:pStyle w:val="MainText"/>
        <w:rPr/>
      </w:pPr>
      <w:r>
        <w:rPr/>
        <w:t>I.2. Полученные сведения представляются в платежном балансе Российской Федерации в агрегированном виде.</w:t>
      </w:r>
    </w:p>
    <w:p>
      <w:pPr>
        <w:pStyle w:val="MainText"/>
        <w:rPr/>
      </w:pPr>
      <w:r>
        <w:rPr/>
        <w:t>I.3. Используемые в настоящем Порядке понятия “резидент” и “нерезидент” применяются в соответствии с валютным законодательством Российской Федерации.</w:t>
      </w:r>
    </w:p>
    <w:p>
      <w:pPr>
        <w:pStyle w:val="MainText"/>
        <w:rPr/>
      </w:pPr>
      <w:r>
        <w:rPr/>
        <w:t>I.4. В Отчете отражается:</w:t>
      </w:r>
    </w:p>
    <w:p>
      <w:pPr>
        <w:pStyle w:val="MainText"/>
        <w:rPr/>
      </w:pPr>
      <w:r>
        <w:rPr/>
        <w:t>фактическое поступление из-за рубежа наличных денег (валюты Российской Федерации) от иностранных банков, включая центральные банки, в кассу отчитывающегося уполномоченного банка (ввоз);</w:t>
      </w:r>
    </w:p>
    <w:p>
      <w:pPr>
        <w:pStyle w:val="MainText"/>
        <w:rPr/>
      </w:pPr>
      <w:r>
        <w:rPr/>
        <w:t>фактическая выдача наличных денег (валюты Российской Федерации) иностранным банкам, включая центральные банки, из кассы отчитывающегося уполномоченного банка (вывоз).</w:t>
      </w:r>
    </w:p>
    <w:p>
      <w:pPr>
        <w:pStyle w:val="MGlavaCenter"/>
        <w:rPr>
          <w:b w:val="false"/>
        </w:rPr>
      </w:pPr>
      <w:r>
        <w:rPr>
          <w:b w:val="false"/>
        </w:rPr>
        <w:t>Раздел II. Порядок представления Отчета</w:t>
      </w:r>
    </w:p>
    <w:p>
      <w:pPr>
        <w:pStyle w:val="MainText"/>
        <w:rPr/>
      </w:pPr>
      <w:r>
        <w:rPr/>
        <w:t>II.1. Уполномоченный банк представляет Отчет в электронном виде в территориальное учреждение Банка России, осуществляющее надзор за его деятельностью, ежеквартально не позднее 14-го рабочего дня месяца, следующего за отчетным кварталом. Отчет представляется головным офисом уполномоченного банка, включая данные по его филиалам. Филиалы уполномоченных банков не представляют Отчет в территориальные учреждения Банка России.</w:t>
      </w:r>
    </w:p>
    <w:p>
      <w:pPr>
        <w:pStyle w:val="MainText"/>
        <w:rPr/>
      </w:pPr>
      <w:r>
        <w:rPr/>
        <w:t>Отчеты, содержащие только нулевые показатели, не представляются.</w:t>
      </w:r>
    </w:p>
    <w:p>
      <w:pPr>
        <w:pStyle w:val="MainText"/>
        <w:rPr/>
      </w:pPr>
      <w:r>
        <w:rPr/>
        <w:t>II.2. Для получения информации по вопросам заполнения и представления Отчета следует обращаться в Банк России: тел. (495) 771-42-99 (факс (495) 771-44-60), e-mail: knn@cbr.ru.</w:t>
      </w:r>
    </w:p>
    <w:p>
      <w:pPr>
        <w:pStyle w:val="MGlavaCenter"/>
        <w:rPr>
          <w:b w:val="false"/>
        </w:rPr>
      </w:pPr>
      <w:r>
        <w:rPr>
          <w:b w:val="false"/>
        </w:rPr>
        <w:t>Раздел III. Порядок составления Отчета</w:t>
      </w:r>
    </w:p>
    <w:p>
      <w:pPr>
        <w:pStyle w:val="MainText"/>
        <w:rPr/>
      </w:pPr>
      <w:r>
        <w:rPr/>
        <w:t>III.1. В графе 1 указывается цифровой код страны получателя (отправителя) в соответствии с Общероссийским классификатором стран мира (ОКСМ).</w:t>
      </w:r>
    </w:p>
    <w:p>
      <w:pPr>
        <w:pStyle w:val="MainText"/>
        <w:rPr/>
      </w:pPr>
      <w:r>
        <w:rPr/>
        <w:t>III.2. В графе 2 указываются следующие коды операций:</w:t>
      </w:r>
    </w:p>
    <w:p>
      <w:pPr>
        <w:pStyle w:val="MainText"/>
        <w:rPr/>
      </w:pPr>
      <w:r>
        <w:rPr/>
        <w:t>1 — ввоз валюты Российской Федерации в Российскую Федерацию;</w:t>
      </w:r>
    </w:p>
    <w:p>
      <w:pPr>
        <w:pStyle w:val="MainText"/>
        <w:rPr/>
      </w:pPr>
      <w:r>
        <w:rPr/>
        <w:t>2 — вывоз валюты Российской Федерации из Российской Федерации.</w:t>
      </w:r>
    </w:p>
    <w:p>
      <w:pPr>
        <w:pStyle w:val="MainText"/>
        <w:rPr/>
      </w:pPr>
      <w:r>
        <w:rPr/>
        <w:t>III.3. В графе 3 указывается сумма ввезенной (вывезенной) в отчетном периоде валюты Российской Федерации в целых российских рублях.</w:t>
      </w:r>
    </w:p>
    <w:p>
      <w:pPr>
        <w:pStyle w:val="MainText"/>
        <w:rPr/>
      </w:pPr>
      <w:r>
        <w:rPr/>
        <w:t>III.4. Датой осуществления операции при ввозе считается дата поступления средств в кассу отчитывающегося уполномоченного банка, при вывозе — выдачи средств из кассы отчитывающегося уполномоченного банка.</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ОБ ОПЕРАЦИЯХ С ДРАГОЦЕННЫМИ МЕТАЛЛАМИ </w:t>
        <w:br/>
        <w:t xml:space="preserve">за </w:t>
      </w:r>
      <w:r>
        <w:rPr/>
        <w:t>___________ (квартал) ______ 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113" w:after="0"/>
        <w:jc w:val="end"/>
        <w:rPr/>
      </w:pPr>
      <w:r>
        <w:rPr/>
        <w:t>Код формы по ОКУД 0409610</w:t>
        <w:br/>
        <w:t>Квартальная</w:t>
      </w:r>
    </w:p>
    <w:p>
      <w:pPr>
        <w:pStyle w:val="MGlavaCenter"/>
        <w:keepNext w:val="false"/>
        <w:spacing w:before="0" w:after="120"/>
        <w:rPr>
          <w:b w:val="false"/>
        </w:rPr>
      </w:pPr>
      <w:r>
        <w:rPr/>
        <w:t>Раздел 1. Движение драгоценных металлов в физической форме</w:t>
      </w:r>
    </w:p>
    <w:tbl>
      <w:tblPr>
        <w:tblW w:w="16256" w:type="dxa"/>
        <w:jc w:val="center"/>
        <w:tblInd w:w="0" w:type="dxa"/>
        <w:tblLayout w:type="fixed"/>
        <w:tblCellMar>
          <w:top w:w="0" w:type="dxa"/>
          <w:start w:w="28" w:type="dxa"/>
          <w:bottom w:w="0" w:type="dxa"/>
          <w:end w:w="28" w:type="dxa"/>
        </w:tblCellMar>
      </w:tblPr>
      <w:tblGrid>
        <w:gridCol w:w="672"/>
        <w:gridCol w:w="7800"/>
        <w:gridCol w:w="973"/>
        <w:gridCol w:w="973"/>
        <w:gridCol w:w="973"/>
        <w:gridCol w:w="973"/>
        <w:gridCol w:w="973"/>
        <w:gridCol w:w="973"/>
        <w:gridCol w:w="973"/>
        <w:gridCol w:w="973"/>
      </w:tblGrid>
      <w:tr>
        <w:trPr>
          <w:tblHeader w:val="true"/>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800"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Золото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Серебро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Платина</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Палладий</w:t>
            </w:r>
          </w:p>
        </w:tc>
      </w:tr>
      <w:tr>
        <w:trPr>
          <w:tblHeader w:val="true"/>
          <w:cantSplit/>
        </w:trPr>
        <w:tc>
          <w:tcPr>
            <w:tcW w:w="672"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80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чистый вес,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драгоценных металлов в физической форме на начало отчетного периода на территории Российской Федерации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драгоценных металлов в физической форме на начало отчетного периода вне территории Российской Федерации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Дебетовый оборот по счетам в драгоценных металлах в физической форме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субъектов добычи драгоценных металлов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физических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промышленных потребителей</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кредитных организаций</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иных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от 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Кредитовый оборот по счетам в драгоценных металлах в физической форме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физическим лицам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промышленным потребителям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кредитным организациям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иным лицам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нерезидентам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драгоценных металлов в физической форме на конец отчетного периода на территории Российской Федерации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драгоценных металлов в физической форме на конец отчетного периода вне территории Российской Федерации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keepNext w:val="false"/>
        <w:keepLines w:val="false"/>
        <w:spacing w:before="240" w:after="120"/>
        <w:rPr>
          <w:b w:val="false"/>
        </w:rPr>
      </w:pPr>
      <w:r>
        <w:br w:type="page"/>
      </w:r>
      <w:r>
        <w:rPr/>
        <w:t>Раздел 1.1. Экспортно-импортные операции кредитных организаций с драгоценными металлами</w:t>
      </w:r>
    </w:p>
    <w:tbl>
      <w:tblPr>
        <w:tblW w:w="16256" w:type="dxa"/>
        <w:jc w:val="center"/>
        <w:tblInd w:w="0" w:type="dxa"/>
        <w:tblLayout w:type="fixed"/>
        <w:tblCellMar>
          <w:top w:w="0" w:type="dxa"/>
          <w:start w:w="28" w:type="dxa"/>
          <w:bottom w:w="0" w:type="dxa"/>
          <w:end w:w="28" w:type="dxa"/>
        </w:tblCellMar>
      </w:tblPr>
      <w:tblGrid>
        <w:gridCol w:w="672"/>
        <w:gridCol w:w="7800"/>
        <w:gridCol w:w="973"/>
        <w:gridCol w:w="973"/>
        <w:gridCol w:w="973"/>
        <w:gridCol w:w="973"/>
        <w:gridCol w:w="973"/>
        <w:gridCol w:w="973"/>
        <w:gridCol w:w="973"/>
        <w:gridCol w:w="973"/>
      </w:tblGrid>
      <w:tr>
        <w:trPr>
          <w:tblHeader w:val="true"/>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800"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Золото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Серебро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Платина</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Палладий</w:t>
            </w:r>
          </w:p>
        </w:tc>
      </w:tr>
      <w:tr>
        <w:trPr>
          <w:tblHeader w:val="true"/>
          <w:cantSplit/>
        </w:trPr>
        <w:tc>
          <w:tcPr>
            <w:tcW w:w="672"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80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чистый вес,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Ввезено на территорию Российской Федерации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Вывезено с территории Российской Федерации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 том числе по договорам комиссии: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субъектами добычи драгоценных металлов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физическими лицами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кредитными организациями — резидентами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иными лицами</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keepNext w:val="false"/>
        <w:keepLines w:val="false"/>
        <w:spacing w:before="240" w:after="120"/>
        <w:rPr>
          <w:b w:val="false"/>
        </w:rPr>
      </w:pPr>
      <w:r>
        <w:rPr/>
        <w:t>Раздел 2. Движение драгоценных металлов по обезличенным металлическим счетам кредитной организации</w:t>
      </w:r>
    </w:p>
    <w:tbl>
      <w:tblPr>
        <w:tblW w:w="16256" w:type="dxa"/>
        <w:jc w:val="center"/>
        <w:tblInd w:w="0" w:type="dxa"/>
        <w:tblLayout w:type="fixed"/>
        <w:tblCellMar>
          <w:top w:w="0" w:type="dxa"/>
          <w:start w:w="28" w:type="dxa"/>
          <w:bottom w:w="0" w:type="dxa"/>
          <w:end w:w="28" w:type="dxa"/>
        </w:tblCellMar>
      </w:tblPr>
      <w:tblGrid>
        <w:gridCol w:w="672"/>
        <w:gridCol w:w="7800"/>
        <w:gridCol w:w="973"/>
        <w:gridCol w:w="973"/>
        <w:gridCol w:w="973"/>
        <w:gridCol w:w="973"/>
        <w:gridCol w:w="973"/>
        <w:gridCol w:w="973"/>
        <w:gridCol w:w="973"/>
        <w:gridCol w:w="973"/>
      </w:tblGrid>
      <w:tr>
        <w:trPr>
          <w:tblHeader w:val="true"/>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800"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Золото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Серебро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Платина</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Палладий</w:t>
            </w:r>
          </w:p>
        </w:tc>
      </w:tr>
      <w:tr>
        <w:trPr>
          <w:tblHeader w:val="true"/>
          <w:cantSplit/>
        </w:trPr>
        <w:tc>
          <w:tcPr>
            <w:tcW w:w="672"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80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чистый вес,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обезличенных металлических счетах (корреспондентских и депозитных), открытых в кредитных организациях — резидентах, на начало отчетного периода</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корреспондентские счета в драгоценных металлах, открытые в кредитных организациях — 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Приобретено у кредитных организаций —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Приобретено у 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Приобретено у иных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займов от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в счет погашения резидентами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займов от 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в счет погашения нерезидентами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депозитные счета в драгоценных металлах, открытые в кредитных организациях — 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корреспондентских счетов в драгоценных металлах, открытых в кредитных организациях — 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Реализовано кредитным организациям — 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Реализовано нерезидентам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Реализовано иным лицам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займов 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резидентам в счет погашения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займов нерезидентам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4.7</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нерезидентам в счет погашения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4.8</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депозитных счетов в драгоценных металлах, открытых в кредитных организациях — 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обезличенных металлических счетах (корреспондентских и депозитных), открытых в кредитных организациях — резидентах, на конец отчетного периода</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обезличенных металлических счетах (корреспондентских и депозитных), открытых в банках-нерезидентах, на начало отчетного периода</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корреспондентские счета в драгоценных металлах, открытые в банках-нерезидентах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Приобретено у кредитных организаций —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Приобретено у 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Приобретено у иных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займов от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в счет погашения резидентами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займов от 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8.7</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Получено в счет погашения нерезидентами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8.8</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депозитные счета в драгоценных металлах, открытые в банках-нерезидентах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корреспондентских счетов в драгоценных металлах, открытых в банках-нерезидентах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Реализовано кредитным организациям — 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Реализовано нерезидентам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Реализовано иным лицам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займов 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резидентам в счет погашения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займов нерезидентам</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10.7</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Выдано нерезидентам в счет погашения займов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10.8</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депозитных счетов в драгоценных металлах, открытых в банках-нерезидентах</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обезличенных металлических счетах (корреспондентских и депозитных), открытых в банках-нерезидентах, на конец отчетного периода</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keepNext w:val="false"/>
        <w:keepLines w:val="false"/>
        <w:spacing w:before="240" w:after="120"/>
        <w:rPr>
          <w:b w:val="false"/>
        </w:rPr>
      </w:pPr>
      <w:r>
        <w:br w:type="page"/>
      </w:r>
      <w:r>
        <w:rPr/>
        <w:t>Раздел 3. Движение драгоценных металлов по обезличенным металлическим счетам, открытым в кредитной организации</w:t>
      </w:r>
    </w:p>
    <w:tbl>
      <w:tblPr>
        <w:tblW w:w="16256" w:type="dxa"/>
        <w:jc w:val="center"/>
        <w:tblInd w:w="0" w:type="dxa"/>
        <w:tblLayout w:type="fixed"/>
        <w:tblCellMar>
          <w:top w:w="0" w:type="dxa"/>
          <w:start w:w="28" w:type="dxa"/>
          <w:bottom w:w="0" w:type="dxa"/>
          <w:end w:w="28" w:type="dxa"/>
        </w:tblCellMar>
      </w:tblPr>
      <w:tblGrid>
        <w:gridCol w:w="672"/>
        <w:gridCol w:w="7800"/>
        <w:gridCol w:w="973"/>
        <w:gridCol w:w="973"/>
        <w:gridCol w:w="973"/>
        <w:gridCol w:w="973"/>
        <w:gridCol w:w="973"/>
        <w:gridCol w:w="973"/>
        <w:gridCol w:w="973"/>
        <w:gridCol w:w="973"/>
      </w:tblGrid>
      <w:tr>
        <w:trPr>
          <w:tblHeader w:val="true"/>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800"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Золото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Серебро</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Платина</w:t>
            </w:r>
          </w:p>
        </w:tc>
        <w:tc>
          <w:tcPr>
            <w:tcW w:w="194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Палладий</w:t>
            </w:r>
          </w:p>
        </w:tc>
      </w:tr>
      <w:tr>
        <w:trPr>
          <w:tblHeader w:val="true"/>
          <w:cantSplit/>
        </w:trPr>
        <w:tc>
          <w:tcPr>
            <w:tcW w:w="672"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800"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чистый вес,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лигатурная масса, г</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руб.</w:t>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9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обезличенных металлических счетах на начало отчетного периода</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обезличенные металлические счета</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корреспондентские счета в драгоценных металлах кредитных организаций —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корреспондентские счета в драгоценных металлах банков-нерезидентов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депозитные счета в драгоценных металлах кредитных организаций —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депозитные счета в драгоценных металлах банков-нерезидентов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обезличенные металлические счета клиентов — физических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обезличенные металлические счета клиентов — юридических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обезличенных металлических счетов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корреспондентских счетов в драгоценных металлах кредитных организаций —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корреспондентских счетов в драгоценных металлах банков-нерезидентов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депозитных счетов в драгоценных металлах кредитных организаций — 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депозитных счетов в драгоценных металлах банков-нерезидентов</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3.5</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обезличенных металлических счетов клиентов — физических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3.6</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Списано с обезличенных металлических счетов клиентов — юридических лиц</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3.7</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Прочее</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80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обезличенных металлических счетах на конец отчетного периода</w:t>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0409610 “Отчет об операциях с драгоценными металлами”</w:t>
      </w:r>
    </w:p>
    <w:p>
      <w:pPr>
        <w:pStyle w:val="MainText"/>
        <w:rPr/>
      </w:pPr>
      <w:r>
        <w:rPr/>
        <w:t>1. Отчетность по форме 0409610 “Отчет об операциях с драгоценными металлами” (далее — Отчет) формируется с целью сбора и анализа информации об объемах и структуре операций кредитных организаций со слитками аффинированного золота, серебра, платины и палладия (далее — драгоценные металлы).</w:t>
      </w:r>
    </w:p>
    <w:p>
      <w:pPr>
        <w:pStyle w:val="MainText"/>
        <w:rPr/>
      </w:pPr>
      <w:r>
        <w:rPr/>
        <w:t>2. Отчет представляют кредитные организации, имеющие на балансе драгоценные металлы или совершавшие в отчетном периоде операции с драгоценными металлами (далее — кредитные организации).</w:t>
      </w:r>
    </w:p>
    <w:p>
      <w:pPr>
        <w:pStyle w:val="MainText"/>
        <w:rPr/>
      </w:pPr>
      <w:r>
        <w:rPr/>
        <w:t>3. Кредитные организации (за исключением крупных кредитных организаций с широкой сетью подразделений) представляют сводный Отчет с учетом всех своих филиалов в территориальные учреждения Банка России по месту нахождения головного офиса кредитной организации ежеквартально, не позднее 11-го рабочего дня месяца, следующего за отчетным кварталом, только в электронном виде.</w:t>
      </w:r>
    </w:p>
    <w:p>
      <w:pPr>
        <w:pStyle w:val="MainText"/>
        <w:rPr/>
      </w:pPr>
      <w:r>
        <w:rPr/>
        <w:t>Крупные кредитные организации с широкой сетью подразделений представляют Отчет в Московское Главное территориальное управление Центрального банка Российской Федерации не позднее 15-го рабочего дня месяца, следующего за отчетным кварталом, только в электронном виде.</w:t>
      </w:r>
    </w:p>
    <w:p>
      <w:pPr>
        <w:pStyle w:val="MainText"/>
        <w:rPr/>
      </w:pPr>
      <w:r>
        <w:rPr/>
        <w:t>4. Отчет составляется на основании данных бухгалтерского учета. В разделе 1 Отчета сумма остатков и оборотов по счетам в драгоценных металлах в физической форме должна соответствовать остаткам и оборотам по счетам учета драгоценных металлов в хранилищах и в пути в балансовом отчете кредитной организации.</w:t>
      </w:r>
    </w:p>
    <w:p>
      <w:pPr>
        <w:pStyle w:val="MainText"/>
        <w:rPr/>
      </w:pPr>
      <w:r>
        <w:rPr/>
        <w:t>В разделе 2 Отчета сумма остатков и оборотов по обезличенным металлическим счетам (корреспондентским и депозитным) должна соответствовать остаткам и оборотам по активным обезличенным металлическим счетам (корреспондентским и депозитным счетам кредитных организаций) в балансовом отчете кредитной организации.</w:t>
      </w:r>
    </w:p>
    <w:p>
      <w:pPr>
        <w:pStyle w:val="MainText"/>
        <w:rPr/>
      </w:pPr>
      <w:r>
        <w:rPr/>
        <w:t>В разделе 3 Отчета сумма остатков и оборотов по металлическим счетам, открытым в кредитной организации, должна соответствовать остаткам и оборотам по пассивным обезличенным металлическим счетам (корреспондентским, депозитным, а также счетам клиентов, не являющихся кредитными организациями) в балансовом отчете кредитной организации.</w:t>
      </w:r>
    </w:p>
    <w:p>
      <w:pPr>
        <w:pStyle w:val="MainText"/>
        <w:rPr/>
      </w:pPr>
      <w:r>
        <w:rPr/>
        <w:t>5. Внебалансовые требования и обязательства в Отчет не включаются.</w:t>
      </w:r>
    </w:p>
    <w:p>
      <w:pPr>
        <w:pStyle w:val="MainText"/>
        <w:rPr/>
      </w:pPr>
      <w:r>
        <w:rPr/>
        <w:t>Драгоценные металлы, принятые на хранение и находящиеся в хранилищах кредитной организации, также не включаются в Отчет.</w:t>
      </w:r>
    </w:p>
    <w:p>
      <w:pPr>
        <w:pStyle w:val="MainText"/>
        <w:rPr/>
      </w:pPr>
      <w:r>
        <w:rPr/>
        <w:t>6. Во всех разделах Отчета при переносе остатков из строк на конец отчетного периода в строки на начало следующего периода должно соблюдаться равенство весовых значений драгоценного металла.</w:t>
      </w:r>
    </w:p>
    <w:p>
      <w:pPr>
        <w:pStyle w:val="MainText"/>
        <w:rPr/>
      </w:pPr>
      <w:r>
        <w:rPr/>
        <w:t>7. Стоимостная оценка драгоценных металлов производится в соответствии с учетными ценами на драгоценные металлы, установленными Банком России, действующими на дату отражения операций в бухгалтерском учете.</w:t>
      </w:r>
    </w:p>
    <w:p>
      <w:pPr>
        <w:pStyle w:val="MainText"/>
        <w:rPr/>
      </w:pPr>
      <w:r>
        <w:rPr/>
        <w:t>Стоимостная оценка ввозимых (вывозимых) драгоценных металлов (подраздел 1.1.) производится в соответствии с фактурной стоимостью, указанной в графе 22 грузовой таможенной декларации, оформленной при ввозе (вывозе) этих металлов. В случае если раздел “фактурная стоимость” графы 22 грузовой таможенной декларации не заполнялся, стоимостную оценку ввозимых (вывозимых) драгоценных металлов необходимо производить в соответствии с графой 42 грузовой таможенной декларации.</w:t>
      </w:r>
    </w:p>
    <w:p>
      <w:pPr>
        <w:pStyle w:val="MainText"/>
        <w:rPr/>
      </w:pPr>
      <w:r>
        <w:rPr/>
        <w:t>8. Все числовые значения должны быть представлены в целых числах. При применении округления используется математический метод округления.</w:t>
      </w:r>
    </w:p>
    <w:p>
      <w:pPr>
        <w:pStyle w:val="MainText"/>
        <w:rPr/>
      </w:pPr>
      <w:r>
        <w:rPr/>
        <w:t>9. В Отчете по строке 3.1.3 раздела 1 в качестве промышленных потребителей отражаются предприятия, а также индивидуальные предприниматели, использующие драгоценные металлы в своей деятельности (заготовители, переработчики, ювелирные предприятия, аффинажные заводы и так далее).</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ОБ ОТКРЫТЫХ ВАЛЮТНЫХ ПОЗИЦИЯХ </w:t>
        <w:br/>
        <w:t>по состоянию на “</w:t>
      </w:r>
      <w:r>
        <w:rPr/>
        <w:t>___” __________ _____</w:t>
      </w:r>
      <w:r>
        <w:rPr>
          <w:b w:val="false"/>
        </w:rPr>
        <w:t xml:space="preserve"> </w:t>
      </w:r>
      <w:r>
        <w:rPr/>
        <w:t>г.</w:t>
      </w:r>
    </w:p>
    <w:p>
      <w:pPr>
        <w:pStyle w:val="MainTextLine155"/>
        <w:tabs>
          <w:tab w:val="clear" w:pos="8787"/>
          <w:tab w:val="right" w:pos="15024" w:leader="underscore"/>
        </w:tabs>
        <w:rPr/>
      </w:pPr>
      <w:r>
        <w:rPr/>
        <w:t>Сокращенное фирменное наименование кредитной организации (головной кредитной организации банковской (консолидированной) группы)</w:t>
        <w:tab/>
      </w:r>
    </w:p>
    <w:p>
      <w:pPr>
        <w:pStyle w:val="MainTextLine155"/>
        <w:tabs>
          <w:tab w:val="clear" w:pos="8787"/>
          <w:tab w:val="right" w:pos="15024" w:leader="underscore"/>
        </w:tabs>
        <w:rPr/>
      </w:pPr>
      <w:r>
        <w:rPr/>
        <w:t>Почтовый адрес</w:t>
        <w:tab/>
      </w:r>
    </w:p>
    <w:p>
      <w:pPr>
        <w:pStyle w:val="MainTextBezOtstupa"/>
        <w:spacing w:before="120" w:after="60"/>
        <w:jc w:val="end"/>
        <w:rPr/>
      </w:pPr>
      <w:r>
        <w:rPr/>
        <w:t>Код формы по ОКУД 0409634</w:t>
        <w:br/>
        <w:t>Декадная (Месячная) (Квартальная) (Годовая)</w:t>
      </w:r>
    </w:p>
    <w:tbl>
      <w:tblPr>
        <w:tblW w:w="16271" w:type="dxa"/>
        <w:jc w:val="center"/>
        <w:tblInd w:w="0" w:type="dxa"/>
        <w:tblLayout w:type="fixed"/>
        <w:tblCellMar>
          <w:top w:w="0" w:type="dxa"/>
          <w:start w:w="28" w:type="dxa"/>
          <w:bottom w:w="0" w:type="dxa"/>
          <w:end w:w="28" w:type="dxa"/>
        </w:tblCellMar>
      </w:tblPr>
      <w:tblGrid>
        <w:gridCol w:w="533"/>
        <w:gridCol w:w="2273"/>
        <w:gridCol w:w="841"/>
        <w:gridCol w:w="575"/>
        <w:gridCol w:w="570"/>
        <w:gridCol w:w="711"/>
        <w:gridCol w:w="1132"/>
        <w:gridCol w:w="876"/>
        <w:gridCol w:w="876"/>
        <w:gridCol w:w="876"/>
        <w:gridCol w:w="876"/>
        <w:gridCol w:w="876"/>
        <w:gridCol w:w="876"/>
        <w:gridCol w:w="876"/>
        <w:gridCol w:w="876"/>
        <w:gridCol w:w="876"/>
        <w:gridCol w:w="876"/>
        <w:gridCol w:w="876"/>
      </w:tblGrid>
      <w:tr>
        <w:trPr>
          <w:cantSplit/>
        </w:trPr>
        <w:tc>
          <w:tcPr>
            <w:tcW w:w="533"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Номер строки</w:t>
            </w:r>
          </w:p>
        </w:tc>
        <w:tc>
          <w:tcPr>
            <w:tcW w:w="2273"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Наименование иностранной валюты (наименование драгоценного металла)</w:t>
            </w:r>
          </w:p>
        </w:tc>
        <w:tc>
          <w:tcPr>
            <w:tcW w:w="3829" w:type="dxa"/>
            <w:gridSpan w:val="5"/>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Чистые позиции в иностранных валютах и драгоценных металлах, тыс. ед. иностранной валюты или граммов драгоценного металла</w:t>
            </w:r>
          </w:p>
        </w:tc>
        <w:tc>
          <w:tcPr>
            <w:tcW w:w="876"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Совокупная балансовая позиция, тыс. ед. иностранной</w:t>
            </w:r>
          </w:p>
        </w:tc>
        <w:tc>
          <w:tcPr>
            <w:tcW w:w="175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Совокупная внебалансовая позиция, тыс. ед. иностранной валюты или граммов драгоценного металла</w:t>
            </w:r>
          </w:p>
        </w:tc>
        <w:tc>
          <w:tcPr>
            <w:tcW w:w="876"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Открытые валютные позиции, тыс. ед. иностранной</w:t>
            </w:r>
          </w:p>
        </w:tc>
        <w:tc>
          <w:tcPr>
            <w:tcW w:w="876"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Курсы (учетные цены) Банка России, руб. за ед.</w:t>
            </w:r>
          </w:p>
        </w:tc>
        <w:tc>
          <w:tcPr>
            <w:tcW w:w="175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Рублевый эквивалент открытых валютных позиций, тыс. руб.</w:t>
            </w:r>
          </w:p>
        </w:tc>
        <w:tc>
          <w:tcPr>
            <w:tcW w:w="876"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Открытые валютные позиции, в процентах от собственных</w:t>
            </w:r>
          </w:p>
        </w:tc>
        <w:tc>
          <w:tcPr>
            <w:tcW w:w="876"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Лимиты открытых валютных позиций, в процентах от)</w:t>
            </w:r>
          </w:p>
        </w:tc>
        <w:tc>
          <w:tcPr>
            <w:tcW w:w="876"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Превышение лимитов открытых валютных позиций, в)</w:t>
            </w:r>
          </w:p>
        </w:tc>
        <w:tc>
          <w:tcPr>
            <w:tcW w:w="876" w:type="dxa"/>
            <w:tcBorders>
              <w:top w:val="single" w:sz="6" w:space="0" w:color="000000"/>
              <w:start w:val="single" w:sz="6" w:space="0" w:color="000000"/>
              <w:end w:val="single" w:sz="6" w:space="0" w:color="000000"/>
            </w:tcBorders>
          </w:tcPr>
          <w:p>
            <w:pPr>
              <w:pStyle w:val="MainText"/>
              <w:ind w:hanging="0" w:end="0"/>
              <w:jc w:val="center"/>
              <w:rPr>
                <w:sz w:val="12"/>
              </w:rPr>
            </w:pPr>
            <w:r>
              <w:rPr>
                <w:sz w:val="12"/>
              </w:rPr>
              <w:t>Контрольные значения лимитов открытых валютных)</w:t>
            </w:r>
          </w:p>
        </w:tc>
      </w:tr>
      <w:tr>
        <w:trPr>
          <w:cantSplit/>
        </w:trPr>
        <w:tc>
          <w:tcPr>
            <w:tcW w:w="533"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rFonts w:cs="Arial"/>
                <w:sz w:val="12"/>
              </w:rPr>
            </w:r>
          </w:p>
        </w:tc>
        <w:tc>
          <w:tcPr>
            <w:tcW w:w="2273" w:type="dxa"/>
            <w:tcBorders>
              <w:start w:val="single" w:sz="6" w:space="0" w:color="000000"/>
              <w:bottom w:val="single" w:sz="6" w:space="0" w:color="000000"/>
              <w:end w:val="single" w:sz="6" w:space="0" w:color="000000"/>
            </w:tcBorders>
          </w:tcPr>
          <w:p>
            <w:pPr>
              <w:pStyle w:val="MainText"/>
              <w:snapToGrid w:val="false"/>
              <w:ind w:hanging="0" w:end="0"/>
              <w:jc w:val="center"/>
              <w:rPr>
                <w:sz w:val="12"/>
              </w:rPr>
            </w:pPr>
            <w:r>
              <w:rPr>
                <w:sz w:val="12"/>
              </w:rPr>
            </w:r>
          </w:p>
        </w:tc>
        <w:tc>
          <w:tcPr>
            <w:tcW w:w="84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балансовая</w:t>
            </w:r>
          </w:p>
        </w:tc>
        <w:tc>
          <w:tcPr>
            <w:tcW w:w="5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w:t>
            </w:r>
            <w:r>
              <w:rPr>
                <w:sz w:val="12"/>
              </w:rPr>
              <w:t>спот”</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срочная</w:t>
            </w:r>
          </w:p>
        </w:tc>
        <w:tc>
          <w:tcPr>
            <w:tcW w:w="7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опционная</w:t>
            </w:r>
          </w:p>
        </w:tc>
        <w:tc>
          <w:tcPr>
            <w:tcW w:w="11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по гарантиям (банковским гарантиям), поручительствам и аккредитивам, в том числе залогам</w:t>
            </w:r>
          </w:p>
        </w:tc>
        <w:tc>
          <w:tcPr>
            <w:tcW w:w="876" w:type="dxa"/>
            <w:tcBorders>
              <w:start w:val="single" w:sz="6" w:space="0" w:color="000000"/>
              <w:bottom w:val="single" w:sz="6" w:space="0" w:color="000000"/>
              <w:end w:val="single" w:sz="6" w:space="0" w:color="000000"/>
            </w:tcBorders>
          </w:tcPr>
          <w:p>
            <w:pPr>
              <w:pStyle w:val="MainText"/>
              <w:ind w:hanging="0" w:end="0"/>
              <w:jc w:val="center"/>
              <w:rPr>
                <w:sz w:val="12"/>
              </w:rPr>
            </w:pPr>
            <w:r>
              <w:rPr>
                <w:sz w:val="12"/>
              </w:rPr>
              <w:t>валюты или граммов драгоценного металла</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всего</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 том числе по процентам</w:t>
            </w:r>
          </w:p>
        </w:tc>
        <w:tc>
          <w:tcPr>
            <w:tcW w:w="876" w:type="dxa"/>
            <w:tcBorders>
              <w:start w:val="single" w:sz="6" w:space="0" w:color="000000"/>
              <w:bottom w:val="single" w:sz="6" w:space="0" w:color="000000"/>
              <w:end w:val="single" w:sz="6" w:space="0" w:color="000000"/>
            </w:tcBorders>
          </w:tcPr>
          <w:p>
            <w:pPr>
              <w:pStyle w:val="MainText"/>
              <w:ind w:hanging="0" w:end="0"/>
              <w:jc w:val="center"/>
              <w:rPr>
                <w:sz w:val="12"/>
              </w:rPr>
            </w:pPr>
            <w:r>
              <w:rPr>
                <w:sz w:val="12"/>
              </w:rPr>
              <w:t>валюты или граммов драгоценного металла</w:t>
            </w:r>
          </w:p>
        </w:tc>
        <w:tc>
          <w:tcPr>
            <w:tcW w:w="876" w:type="dxa"/>
            <w:tcBorders>
              <w:start w:val="single" w:sz="6" w:space="0" w:color="000000"/>
              <w:bottom w:val="single" w:sz="6" w:space="0" w:color="000000"/>
              <w:end w:val="single" w:sz="6" w:space="0" w:color="000000"/>
            </w:tcBorders>
          </w:tcPr>
          <w:p>
            <w:pPr>
              <w:pStyle w:val="MainText"/>
              <w:ind w:hanging="0" w:end="0"/>
              <w:jc w:val="center"/>
              <w:rPr>
                <w:sz w:val="12"/>
              </w:rPr>
            </w:pPr>
            <w:r>
              <w:rPr>
                <w:sz w:val="12"/>
              </w:rPr>
              <w:t>иностранной валюты или граммов драгоценного металла</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длинные (со знаком +)</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короткие (со знаком —)</w:t>
            </w:r>
          </w:p>
        </w:tc>
        <w:tc>
          <w:tcPr>
            <w:tcW w:w="876" w:type="dxa"/>
            <w:tcBorders>
              <w:start w:val="single" w:sz="6" w:space="0" w:color="000000"/>
              <w:bottom w:val="single" w:sz="6" w:space="0" w:color="000000"/>
              <w:end w:val="single" w:sz="6" w:space="0" w:color="000000"/>
            </w:tcBorders>
          </w:tcPr>
          <w:p>
            <w:pPr>
              <w:pStyle w:val="MainText"/>
              <w:ind w:hanging="0" w:end="0"/>
              <w:jc w:val="center"/>
              <w:rPr>
                <w:sz w:val="12"/>
              </w:rPr>
            </w:pPr>
            <w:r>
              <w:rPr>
                <w:sz w:val="12"/>
              </w:rPr>
              <w:t>средств (капитала)</w:t>
            </w:r>
          </w:p>
        </w:tc>
        <w:tc>
          <w:tcPr>
            <w:tcW w:w="876" w:type="dxa"/>
            <w:tcBorders>
              <w:start w:val="single" w:sz="6" w:space="0" w:color="000000"/>
              <w:bottom w:val="single" w:sz="6" w:space="0" w:color="000000"/>
              <w:end w:val="single" w:sz="6" w:space="0" w:color="000000"/>
            </w:tcBorders>
          </w:tcPr>
          <w:p>
            <w:pPr>
              <w:pStyle w:val="MainText"/>
              <w:ind w:hanging="0" w:end="0"/>
              <w:jc w:val="center"/>
              <w:rPr>
                <w:sz w:val="12"/>
              </w:rPr>
            </w:pPr>
            <w:r>
              <w:rPr>
                <w:sz w:val="12"/>
              </w:rPr>
              <w:t>собственных средств (капитала</w:t>
            </w:r>
          </w:p>
        </w:tc>
        <w:tc>
          <w:tcPr>
            <w:tcW w:w="876" w:type="dxa"/>
            <w:tcBorders>
              <w:start w:val="single" w:sz="6" w:space="0" w:color="000000"/>
              <w:bottom w:val="single" w:sz="6" w:space="0" w:color="000000"/>
              <w:end w:val="single" w:sz="6" w:space="0" w:color="000000"/>
            </w:tcBorders>
          </w:tcPr>
          <w:p>
            <w:pPr>
              <w:pStyle w:val="MainText"/>
              <w:ind w:hanging="0" w:end="0"/>
              <w:jc w:val="center"/>
              <w:rPr>
                <w:sz w:val="12"/>
              </w:rPr>
            </w:pPr>
            <w:r>
              <w:rPr>
                <w:sz w:val="12"/>
              </w:rPr>
              <w:t>процентах от собственных средств (капитала</w:t>
            </w:r>
          </w:p>
        </w:tc>
        <w:tc>
          <w:tcPr>
            <w:tcW w:w="876" w:type="dxa"/>
            <w:tcBorders>
              <w:start w:val="single" w:sz="6" w:space="0" w:color="000000"/>
              <w:bottom w:val="single" w:sz="6" w:space="0" w:color="000000"/>
              <w:end w:val="single" w:sz="6" w:space="0" w:color="000000"/>
            </w:tcBorders>
          </w:tcPr>
          <w:p>
            <w:pPr>
              <w:pStyle w:val="MainText"/>
              <w:ind w:hanging="0" w:end="0"/>
              <w:jc w:val="center"/>
              <w:rPr>
                <w:sz w:val="12"/>
              </w:rPr>
            </w:pPr>
            <w:r>
              <w:rPr>
                <w:sz w:val="12"/>
              </w:rPr>
              <w:t>позиций, в процентах от собственных средств (капитала</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84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5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1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Евро</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руб./евро</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Доллар США</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руб./долл. США</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Иена</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руб./иена</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22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Золото</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руб./золото</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Серебро</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руб./серебро</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Платина</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7.1</w:t>
            </w:r>
          </w:p>
        </w:tc>
        <w:tc>
          <w:tcPr>
            <w:tcW w:w="227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руб./платина</w:t>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22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c>
          <w:tcPr>
            <w:tcW w:w="84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57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10482" w:type="dxa"/>
            <w:gridSpan w:val="11"/>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во всех иностранных валютах и драгоценных металлах</w:t>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5503" w:type="dxa"/>
            <w:gridSpan w:val="6"/>
            <w:tcBorders>
              <w:top w:val="single" w:sz="6" w:space="0" w:color="000000"/>
              <w:start w:val="single" w:sz="6" w:space="0" w:color="000000"/>
              <w:end w:val="single" w:sz="6" w:space="0" w:color="000000"/>
            </w:tcBorders>
          </w:tcPr>
          <w:p>
            <w:pPr>
              <w:pStyle w:val="MainText"/>
              <w:ind w:hanging="0" w:end="0"/>
              <w:jc w:val="start"/>
              <w:rPr>
                <w:sz w:val="16"/>
              </w:rPr>
            </w:pPr>
            <w:r>
              <w:rPr>
                <w:sz w:val="16"/>
              </w:rPr>
              <w:t>Собственные средства (капитал) на “___”__________ 200__ г.</w:t>
            </w:r>
          </w:p>
        </w:tc>
        <w:tc>
          <w:tcPr>
            <w:tcW w:w="5512"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Балансирующая позиция в рублях, тыс. руб.</w:t>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503" w:type="dxa"/>
            <w:gridSpan w:val="6"/>
            <w:tcBorders>
              <w:start w:val="single" w:sz="6" w:space="0" w:color="000000"/>
              <w:bottom w:val="single" w:sz="6" w:space="0" w:color="000000"/>
              <w:end w:val="single" w:sz="6" w:space="0" w:color="000000"/>
            </w:tcBorders>
          </w:tcPr>
          <w:p>
            <w:pPr>
              <w:pStyle w:val="MainText"/>
              <w:ind w:hanging="0" w:end="0"/>
              <w:jc w:val="start"/>
              <w:rPr>
                <w:sz w:val="16"/>
              </w:rPr>
            </w:pPr>
            <w:r>
              <w:rPr>
                <w:sz w:val="16"/>
              </w:rPr>
              <w:t>составляют ________ тыс. руб.</w:t>
            </w:r>
          </w:p>
        </w:tc>
        <w:tc>
          <w:tcPr>
            <w:tcW w:w="5512" w:type="dxa"/>
            <w:gridSpan w:val="6"/>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открытых валютных позиций, тыс. руб.</w:t>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p>
        </w:tc>
      </w:tr>
    </w:tbl>
    <w:p>
      <w:pPr>
        <w:pStyle w:val="MainTextBezOtstupa"/>
        <w:spacing w:before="120" w:after="120"/>
        <w:rPr/>
      </w:pPr>
      <w:r>
        <w:rPr/>
        <w:t>Справочно:</w:t>
      </w:r>
    </w:p>
    <w:tbl>
      <w:tblPr>
        <w:tblW w:w="7938" w:type="dxa"/>
        <w:jc w:val="start"/>
        <w:tblInd w:w="0" w:type="dxa"/>
        <w:tblLayout w:type="fixed"/>
        <w:tblCellMar>
          <w:top w:w="0" w:type="dxa"/>
          <w:start w:w="28" w:type="dxa"/>
          <w:bottom w:w="0" w:type="dxa"/>
          <w:end w:w="28" w:type="dxa"/>
        </w:tblCellMar>
      </w:tblPr>
      <w:tblGrid>
        <w:gridCol w:w="3969"/>
        <w:gridCol w:w="3969"/>
      </w:tblGrid>
      <w:tr>
        <w:trPr>
          <w:cantSplit/>
        </w:trPr>
        <w:tc>
          <w:tcPr>
            <w:tcW w:w="39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финансового инструмента</w:t>
            </w:r>
          </w:p>
        </w:tc>
        <w:tc>
          <w:tcPr>
            <w:tcW w:w="39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Стоимость сделки, тыс. руб.</w:t>
            </w:r>
          </w:p>
        </w:tc>
      </w:tr>
      <w:tr>
        <w:trPr>
          <w:cantSplit/>
        </w:trPr>
        <w:tc>
          <w:tcPr>
            <w:tcW w:w="396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396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40" w:after="0"/>
        <w:rPr/>
      </w:pPr>
      <w:r>
        <w:rPr/>
        <w:t>Главный бухгалтер</w:t>
        <w:tab/>
        <w:t>(Ф.И.О.)</w:t>
      </w:r>
    </w:p>
    <w:p>
      <w:pPr>
        <w:pStyle w:val="MainTextBezOtstupa"/>
        <w:spacing w:before="40" w:after="0"/>
        <w:rPr/>
      </w:pPr>
      <w:r>
        <w:rPr/>
        <w:t>М.П.</w:t>
      </w:r>
    </w:p>
    <w:p>
      <w:pPr>
        <w:pStyle w:val="MainTextLine155"/>
        <w:tabs>
          <w:tab w:val="clear" w:pos="8787"/>
          <w:tab w:val="left" w:pos="4564" w:leader="none"/>
        </w:tabs>
        <w:spacing w:before="40" w:after="0"/>
        <w:rPr/>
      </w:pPr>
      <w:r>
        <w:rPr/>
        <w:t>Исполнитель</w:t>
        <w:tab/>
        <w:t>(Ф.И.О.)</w:t>
      </w:r>
    </w:p>
    <w:p>
      <w:pPr>
        <w:pStyle w:val="MainTextBezOtstupa"/>
        <w:spacing w:before="40" w:after="0"/>
        <w:rPr/>
      </w:pPr>
      <w:r>
        <w:rPr/>
        <w:t>Телефон:</w:t>
      </w:r>
    </w:p>
    <w:p>
      <w:pPr>
        <w:pStyle w:val="MainTextBezOtstupa"/>
        <w:spacing w:before="40"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0409634 “Отчет об открытых валютных позициях”</w:t>
      </w:r>
    </w:p>
    <w:p>
      <w:pPr>
        <w:pStyle w:val="MainText"/>
        <w:rPr/>
      </w:pPr>
      <w:r>
        <w:rPr/>
        <w:t>1. Отчетность по форме 0409634 “Отчет об открытых валютных позициях” (далее — Отчет) составляют кредитные организации (банковские (консолидированные) группы), имеющие позиции в иностранных валютах (включая ценные бумаги в иностранных валютах) и (или) драгоценных металлах, а также кредитные организации (банковские (консолидированные) группы), имеющие позиции в рублях, величина которых зависит от изменения официального курса иностранных валют по отношению к рублю (далее — курс иностранных валют) и (или) учетных цен на драгоценные металлы, устанавливаемых Банком России.</w:t>
      </w:r>
    </w:p>
    <w:p>
      <w:pPr>
        <w:pStyle w:val="MainText"/>
        <w:rPr/>
      </w:pPr>
      <w:r>
        <w:rPr/>
        <w:t>2. Отчет составляется кредитными организациями согласно Инструкции Банка России от 15 июля 2005 года № 124-И “Об установлении размеров (лимитов) открытых валютных позиций, методике их расчета и особенностях осуществления надзора за их соблюдением кредитными организациями”, зарегистрированной Министерством юстиции Российской Федерации 5 августа 2005 года № 6889, 26 июня 2007 года № 9703, 6 декабря 2007 года № 10636 (“Вестник Банка России” от 19 августа 2005 года № 44, от 4 июля 2007 года № 38, от 17 декабря 2007 года № 69) (далее — Инструкция Банка России № 124-И). Банковские (консолидированные) группы составляют Отчет с учетом особенностей, изложенных в Положении Банка России от 30 июля 2002 года № 191-П “О консолидированной отчетности”, зарегистрированном Министерством юстиции Российской Федерации 11 октября 2002 года № 3857, 14 марта 2005 года № 6393, 23 июля 2007 года № 9876 (“Вестник Банка России” от 31 октября 2002 года № 58, от 13 апреля 2005 года № 19, от 2 августа 2007 года № 44), и в Положении Банка России от 5 января 2004 года № 246-П “О порядке составления головной кредитной организацией банковской (консолидированной) группы консолидированной отчетности”, зарегистрированном Министерством юстиции Российской Федерации 29 января 2004 года № 5494, 17 марта 2005 года № 6408, 26 июля 2007 года № 9911 (“Вестник Банка России” от 6 февраля 2004 года № 10, от 13 апреля 2005 года № 19, от 2 августа 2007 года № 44).</w:t>
      </w:r>
    </w:p>
    <w:p>
      <w:pPr>
        <w:pStyle w:val="MainText"/>
        <w:rPr/>
      </w:pPr>
      <w:r>
        <w:rPr/>
        <w:t>3. Кредитные организации, имеющие лицензию Банка России на осуществление банковских операций со средствами в рублях и иностранной валюте и (или) лицензию Банка России на привлечение во вклады и размещение драгоценных металлов, представляют Отчеты начиная с отчетной даты, следующей за датой проведения первой операции (сделки) с финансовыми инструментами в иностранной валюте и (или) драгоценных металлах, а также в рублях, величина которых зависит от изменения установленных Банком России официальных курсов иностранных валют и (или) учетных цен на драгоценные металлы, а также от поступления иностранной валюты в оплату уставного капитала.</w:t>
      </w:r>
    </w:p>
    <w:p>
      <w:pPr>
        <w:pStyle w:val="MainText"/>
        <w:rPr/>
      </w:pPr>
      <w:r>
        <w:rPr/>
        <w:t>Кредитные организации, не имеющие лицензии Банка России на осуществление банковских операций со средствами в рублях и иностранной валюте и (или) лицензии Банка России на привлечение во вклады и размещение драгоценных металлов, представляют Отчеты начиная с отчетной даты, следующей за датой поступления иностранной валюты в оплату уставного капитала, и (или) совершения операций с облигациями внутреннего государственного валютного облигационного займа, и (или) операций с финансовыми инструментами в рублях, величина которых зависит от изменения устанавливаемых Банком России официальных курсов иностранных валют по отношению к рублю и (или) учетных цен на драгоценные металлы.</w:t>
      </w:r>
    </w:p>
    <w:p>
      <w:pPr>
        <w:pStyle w:val="MainText"/>
        <w:rPr/>
      </w:pPr>
      <w:r>
        <w:rPr/>
        <w:t>4. В Отчет кредитной организации включается показатель ее собственных средств (капитала), рассчитанный по состоянию на 1-е число месяца (месяца квартала), следующего за отчетным. В Отчетах, составляемых и представляемых на внутримесячные даты, кредитная организация для оценки величины открытых валютных позиций может использовать как показатель собственных средств (капитала) кредитной организации, рассчитанный по состоянию на 1-е число отчетного месяца, так и показатель собственных средств (капитала) кредитной организации, рассчитанный по состоянию на дату, на которую составляется Отчет. При этом, если Отчет на внутримесячную дату (даты) представляется по требованию Банка России (территориального учреждения Банка России), в него включается показатель собственных средств (капитала) кредитной организации, рассчитанный на дату составления Отчета.</w:t>
      </w:r>
    </w:p>
    <w:p>
      <w:pPr>
        <w:pStyle w:val="MainText"/>
        <w:rPr/>
      </w:pPr>
      <w:r>
        <w:rPr/>
        <w:t>В Отчет банковской (консолидированной) группы включается показатель ее собственных средств, рассчитанный по состоянию на 1-е число месяца квартала, следующего за отчетным, указанный в строке 18 “Всего собственных средств” раздела I “Собственные средства” отчетности по форме 0409805 “Отчет об обязательных нормативах банковской (консолидированной) группы”.</w:t>
      </w:r>
    </w:p>
    <w:p>
      <w:pPr>
        <w:pStyle w:val="MainText"/>
        <w:rPr/>
      </w:pPr>
      <w:r>
        <w:rPr/>
        <w:t>5. Для целей расчета открытых валютных позиций курсы иностранных валют, а также учетные цены на драгоценные металлы, устанавливаемые Банком России, берутся без округления. Открытые валютные позиции, лимиты открытых валютных позиций, превышение лимитов открытых валютных позиций, контрольные значения лимитов открытых валютных позиций указываются с 4 знаками после запятой.</w:t>
      </w:r>
    </w:p>
    <w:p>
      <w:pPr>
        <w:pStyle w:val="MainText"/>
        <w:rPr/>
      </w:pPr>
      <w:r>
        <w:rPr/>
        <w:t>6. По строкам 1.1, 2.1 и аналогичным строкам Отчета отражаются чистые позиции кредитных организаций (банковских (консолидированных) групп) по активам и пассивам, внебалансовым требованиям и обязательствам в рублях, величина которых зависит от изменения устанавливаемых Банком России официальных курсов иностранных валют по отношению к рублю или учетных цен на драгоценные металлы.</w:t>
      </w:r>
    </w:p>
    <w:p>
      <w:pPr>
        <w:pStyle w:val="MainText"/>
        <w:rPr/>
      </w:pPr>
      <w:r>
        <w:rPr/>
        <w:t>7. В расчет чистой балансовой позиции не включаются активы кредитной организации (банковской (консолидированной) группы), в отношении которых переоценка, обусловленная изменением устанавливаемых Банком России официальных курсов иностранных валют по отношению к рублю, прекращена либо приостановлена в соответствии с требованиями законодательства Российской Федерации.</w:t>
      </w:r>
    </w:p>
    <w:p>
      <w:pPr>
        <w:pStyle w:val="MainText"/>
        <w:rPr/>
      </w:pPr>
      <w:r>
        <w:rPr/>
        <w:t>8. В разделе “Справочно” Отчета кредитные организации (банковские (консолидированные) группы) указывают информацию по каждой сделке по покупке-продаже финансовых инструментов, удовлетворяющей условиям подпункта 1.7.3 пункта 1.7 Инструкции Банка России № 124-И.</w:t>
      </w:r>
    </w:p>
    <w:p>
      <w:pPr>
        <w:pStyle w:val="MainText"/>
        <w:rPr/>
      </w:pPr>
      <w:r>
        <w:rPr/>
        <w:t>9. Отчет составляется в целом по кредитной организации (банковской (консолидированной) группе) и представляется в территориальное учреждение Банка России, осуществляющее надзор за ее деятельностью:</w:t>
      </w:r>
    </w:p>
    <w:p>
      <w:pPr>
        <w:pStyle w:val="MainText"/>
        <w:rPr/>
      </w:pPr>
      <w:r>
        <w:rPr/>
        <w:t>9.1. ежедекадно (с разбивкой за каждый рабочий день декады):</w:t>
      </w:r>
    </w:p>
    <w:p>
      <w:pPr>
        <w:pStyle w:val="MainText"/>
        <w:rPr/>
      </w:pPr>
      <w:r>
        <w:rPr/>
        <w:t>кредитными организациями (за исключением крупных кредитных организаций с широкой сетью подразделений), составляющими и представляющими отчетность по форме 0409701 “Отчет об операциях на валютных и денежных рынках”, а также кредитными организациями, подписавшими с Банком России в соответствии с Положением Банка России от 16 октября 2008 года № 323-П “О предоставлении Банком России российским кредитным организациям кредитов без обеспечения”, зарегистрированным Министерством юстиции Российской Федерации 17 октября 2008 года № 12478, 18 ноября 2008 года № 12679, 16 апреля 2009 года № 13774 (“Вестник Банка России” от 17 октября 2008 года № 58, от 19 ноября 2008 года № 67, от 22 апреля 2009 года № 24), генеральное соглашение о предоставлении Банком России кредитной организации кредитов без обеспечения, — не позднее 4-го рабочего дня, следующего за отчетной декадой;</w:t>
      </w:r>
    </w:p>
    <w:p>
      <w:pPr>
        <w:pStyle w:val="MainText"/>
        <w:rPr/>
      </w:pPr>
      <w:r>
        <w:rPr/>
        <w:t>крупными кредитными организациями с широкой сетью подразделений — не позднее 8-го рабочего дня, следующего за отчетной декадой;</w:t>
      </w:r>
    </w:p>
    <w:p>
      <w:pPr>
        <w:pStyle w:val="MainText"/>
        <w:rPr/>
      </w:pPr>
      <w:r>
        <w:rPr/>
        <w:t>9.2. ежемесячно (по состоянию на 1-е число месяца, следующего за отчетным):</w:t>
      </w:r>
    </w:p>
    <w:p>
      <w:pPr>
        <w:pStyle w:val="MainText"/>
        <w:rPr/>
      </w:pPr>
      <w:r>
        <w:rPr/>
        <w:t>кредитными организациями (включая небанковские кредитные организации), не составляющими и не представляющими отчетность по форме 0409701 “Отчет об операциях на валютных и денежных рынках”, — не позднее 6-го рабочего дня месяца, следующего за отчетным;</w:t>
      </w:r>
    </w:p>
    <w:p>
      <w:pPr>
        <w:pStyle w:val="MainText"/>
        <w:rPr/>
      </w:pPr>
      <w:r>
        <w:rPr/>
        <w:t>9.3. ежеквартально (по состоянию на 1-е число первого месяца квартала, следующего за отчетным):</w:t>
      </w:r>
    </w:p>
    <w:p>
      <w:pPr>
        <w:pStyle w:val="MainText"/>
        <w:rPr/>
      </w:pPr>
      <w:r>
        <w:rPr/>
        <w:t>головными кредитными организациями банковских (консолидированных) групп (за исключением головных кредитных организаций банковских (консолидированных) групп, являющихся крупными кредитными организациями с широкой сетью подразделений) — не позднее 1 месяца квартала, следующего за отчетным;</w:t>
      </w:r>
    </w:p>
    <w:p>
      <w:pPr>
        <w:pStyle w:val="MainText"/>
        <w:rPr/>
      </w:pPr>
      <w:r>
        <w:rPr/>
        <w:t>головными кредитными организациями банковских (консолидированных) групп, являющимися крупными кредитными организациями с широкой сетью подразделений, — не позднее 8-го рабочего дня второго месяца квартала, следующего за отчетным;</w:t>
      </w:r>
    </w:p>
    <w:p>
      <w:pPr>
        <w:pStyle w:val="MainText"/>
        <w:rPr/>
      </w:pPr>
      <w:r>
        <w:rPr/>
        <w:t>9.4. ежегодно (по состоянию на 1 января):</w:t>
      </w:r>
    </w:p>
    <w:p>
      <w:pPr>
        <w:pStyle w:val="MainText"/>
        <w:rPr/>
      </w:pPr>
      <w:r>
        <w:rPr/>
        <w:t>головными кредитными организациями банковских (консолидированных) групп — не позднее 2 месяцев года, следующего за отчетным.</w:t>
      </w:r>
    </w:p>
    <w:p>
      <w:pPr>
        <w:pStyle w:val="MainText"/>
        <w:rPr/>
      </w:pPr>
      <w:r>
        <w:rPr/>
        <w:t>10. Если кредитной организацией превышены лимиты открытых валютных позиций на внутримесячную дату (внутримесячные даты), одновременно с Отчетом, представляемым по состоянию на 1-е число месяца, следующего за отчетным, кредитная организация представляет Отчет, составленный на дату превышения лимитов открытых валютных позиций.</w:t>
      </w:r>
    </w:p>
    <w:p>
      <w:pPr>
        <w:pStyle w:val="MainText"/>
        <w:rPr/>
      </w:pPr>
      <w:r>
        <w:rPr/>
        <w:t>11. Кредитная организация по требованию территориального учреждения Банка России обязана представлять Отчет на внутримесячную дату (даты) в установленный им срок.</w:t>
      </w:r>
    </w:p>
    <w:p>
      <w:pPr>
        <w:pStyle w:val="MainText"/>
        <w:rPr/>
      </w:pPr>
      <w:r>
        <w:rPr/>
        <w:t>Головные кредитные организации банковских (консолидированных) групп представляют по требованию Банка России в течение 10 рабочих дней со дня получения письменного требования Банка России заверенные в установленном порядке копии документов и иную информацию участников банковской (консолидированной) группы, не являющихся кредитными организациями (резидентов и нерезидентов), которые использовались для составления Отчета.</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СПРАВКА О ВНУТРЕННЕМ КОНТРОЛЕ В КРЕДИТНОЙ ОРГАНИЗАЦИИ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120" w:after="0"/>
        <w:jc w:val="end"/>
        <w:rPr/>
      </w:pPr>
      <w:r>
        <w:rPr/>
        <w:t>Код формы по ОКУД 0409639</w:t>
        <w:br/>
        <w:t>Годовая</w:t>
      </w:r>
    </w:p>
    <w:p>
      <w:pPr>
        <w:pStyle w:val="MGlavaCenter"/>
        <w:keepNext w:val="false"/>
        <w:spacing w:before="240" w:after="120"/>
        <w:rPr>
          <w:b w:val="false"/>
        </w:rPr>
      </w:pPr>
      <w:r>
        <w:rPr/>
        <w:t>Раздел 1. Сведения о внутренних документах, регулирующих функции системы внутреннего контроля кредитной организации</w:t>
      </w:r>
    </w:p>
    <w:tbl>
      <w:tblPr>
        <w:tblW w:w="10988" w:type="dxa"/>
        <w:jc w:val="center"/>
        <w:tblInd w:w="0" w:type="dxa"/>
        <w:tblLayout w:type="fixed"/>
        <w:tblCellMar>
          <w:top w:w="0" w:type="dxa"/>
          <w:start w:w="28" w:type="dxa"/>
          <w:bottom w:w="0" w:type="dxa"/>
          <w:end w:w="28" w:type="dxa"/>
        </w:tblCellMar>
      </w:tblPr>
      <w:tblGrid>
        <w:gridCol w:w="7904"/>
        <w:gridCol w:w="1028"/>
        <w:gridCol w:w="1028"/>
        <w:gridCol w:w="1028"/>
      </w:tblGrid>
      <w:tr>
        <w:trPr>
          <w:tblHeader w:val="true"/>
          <w:cantSplit/>
        </w:trPr>
        <w:tc>
          <w:tcPr>
            <w:tcW w:w="79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Предмет регулирования документа</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Наличие, отсутствие</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Кем и когда принят (утвержден)</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Примечание</w:t>
            </w:r>
          </w:p>
        </w:tc>
      </w:tr>
      <w:tr>
        <w:trPr>
          <w:tblHeader w:val="true"/>
          <w:cantSplit/>
        </w:trPr>
        <w:tc>
          <w:tcPr>
            <w:tcW w:w="790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1</w:t>
            </w:r>
          </w:p>
        </w:tc>
        <w:tc>
          <w:tcPr>
            <w:tcW w:w="10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2</w:t>
            </w:r>
          </w:p>
        </w:tc>
        <w:tc>
          <w:tcPr>
            <w:tcW w:w="10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3</w:t>
            </w:r>
          </w:p>
        </w:tc>
        <w:tc>
          <w:tcPr>
            <w:tcW w:w="1028"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4</w:t>
            </w:r>
          </w:p>
        </w:tc>
      </w:tr>
      <w:tr>
        <w:trPr>
          <w:cantSplit/>
        </w:trPr>
        <w:tc>
          <w:tcPr>
            <w:tcW w:w="7904" w:type="dxa"/>
            <w:tcBorders>
              <w:top w:val="single" w:sz="6" w:space="0" w:color="000000"/>
              <w:start w:val="single" w:sz="6" w:space="0" w:color="000000"/>
            </w:tcBorders>
          </w:tcPr>
          <w:p>
            <w:pPr>
              <w:pStyle w:val="MainText"/>
              <w:ind w:hanging="0" w:end="0"/>
              <w:jc w:val="start"/>
              <w:rPr>
                <w:sz w:val="16"/>
              </w:rPr>
            </w:pPr>
            <w:r>
              <w:rPr>
                <w:sz w:val="16"/>
              </w:rPr>
              <w:t>1. Порядок организации системы внутреннего контроля в кредитной организации, включая содержание и структуру системы внутреннего контроля, порядок и процедуры осуществления внутреннего контроля, порядок мониторинга системы внутреннего контроля советом директоров, единоличным исполнительным органом (его заместителями) и коллегиальным исполнительным органом кредитной организации</w:t>
            </w:r>
          </w:p>
        </w:tc>
        <w:tc>
          <w:tcPr>
            <w:tcW w:w="102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op w:val="single" w:sz="6" w:space="0" w:color="000000"/>
            </w:tcBorders>
          </w:tcPr>
          <w:p>
            <w:pPr>
              <w:pStyle w:val="MainText"/>
              <w:snapToGrid w:val="false"/>
              <w:ind w:hanging="0" w:end="0"/>
              <w:jc w:val="center"/>
              <w:rPr>
                <w:sz w:val="16"/>
              </w:rPr>
            </w:pPr>
            <w:r>
              <w:rPr>
                <w:sz w:val="16"/>
              </w:rPr>
            </w:r>
          </w:p>
        </w:tc>
        <w:tc>
          <w:tcPr>
            <w:tcW w:w="102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2. Порядок деятельности службы внутреннего контроля (положение о службе внутреннего контроля), в том числе:</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2.1. цель и сфера деятельности службы внутреннего контроля;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2.2. принципы (стандарты) и методы деятельности службы внутреннего контроля;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2.3. статус службы внутреннего контроля в организационной структуре кредитной организации, ее задачи, полномочия, права и обязанности, а также взаимоотношения с другими подразделениями кредитной организации, в том числе осуществляющими контрольные функции;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2.4. подчиненность, подотчетность, обязанности и ответственность руководителя службы внутреннего контроля;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2.5. порядок участия службы внутреннего контроля в разработке внутренних документов кредитной организации;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2.6. порядок представления службой внутреннего контроля: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start="57" w:end="0"/>
              <w:jc w:val="start"/>
              <w:rPr>
                <w:sz w:val="16"/>
              </w:rPr>
            </w:pPr>
            <w:r>
              <w:rPr>
                <w:sz w:val="16"/>
              </w:rPr>
              <w:t>информации о выявленных нарушениях и мерах, принятых по их устранению;</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start="57" w:end="0"/>
              <w:jc w:val="start"/>
              <w:rPr>
                <w:sz w:val="16"/>
              </w:rPr>
            </w:pPr>
            <w:r>
              <w:rPr>
                <w:sz w:val="16"/>
              </w:rPr>
              <w:t>сводных отчетов о всех недостатках, выявленных системой внутреннего контроля (не реже 1 раза в полгода);</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start="57" w:end="0"/>
              <w:jc w:val="start"/>
              <w:rPr>
                <w:sz w:val="16"/>
              </w:rPr>
            </w:pPr>
            <w:r>
              <w:rPr>
                <w:sz w:val="16"/>
              </w:rPr>
              <w:t>оценки состояния системы внутреннего контроля (ежегодно);</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start="57" w:end="0"/>
              <w:jc w:val="start"/>
              <w:rPr>
                <w:sz w:val="16"/>
              </w:rPr>
            </w:pPr>
            <w:r>
              <w:rPr>
                <w:sz w:val="16"/>
              </w:rPr>
              <w:t>отчетов о выполнении планов проверок службы внутреннего контроля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3. Организационная структура кредитной организации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4. Порядок распределения прав и обязанностей, согласования решений, делегирования полномочий при совершении банковских операций и других сделок</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5. Порядок представления отчетов и информации (указать виды отчетов и информации, в том числе связанных с функционированием системы внутреннего контроля, предназначенных как для внутрибанковского использования, так и для внешних пользователей (Банк России, налоговые органы, Пенсионный фонд Российской Федерации и другие)</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6. Порядок управления информационными потоками (получением и передачей информации) и обеспечения информационной безопасности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7. Порядок обеспечения защиты и безопасности банковской информации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 Порядок управления банковскими рисками, в том числе:</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8.1. кредитным риском;</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8.2. операционным риском;</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8.3. рыночным риском;</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8.4. процентным риском;</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8.5. риском потери ликвидности;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8.6. правовым риском;</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8.7. риском потери деловой репутации;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8.8. иными рисками (указать виды рисков и соответствующие документы);</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8.9. формализованными процедурами оценки потенциального воздействия на финансовое состояние банка ряда заданных изменений в факторах риска, которые соответствуют исключительным, но вероятным событиям (стресс-тест)</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9. Порядок обеспечения непрерывности деятельности и (или) восстановления деятельности кредитной организации, нарушенной в результате непредвиденных обстоятельств</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 Другие документы, в которых определены:</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10.1. учет (учетная политика);</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10.2. кредитная и депозитная политика;</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10.3. порядок осуществления кредитования связанных лиц;</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10.4. открытие (закрытие) и ведение счетов и вкладов;</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10.5. процентная политика;</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10.6. осуществление расчетов (наличных, безналичных);</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10.7. совершение операций с валютными ценностями;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10.8. осуществление валютного контроля;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10.9. совершение операций с ценными бумагами;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10.10. выдача банковских гарантий;</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10.11. совершение кассовых операций, инкассация денежных средств и других ценностей;</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10.12. правила внутреннего контроля в целях противодействия легализации (отмыванию) доходов, полученных преступным путем, и финансированию терроризма;</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tcBorders>
          </w:tcPr>
          <w:p>
            <w:pPr>
              <w:pStyle w:val="MainText"/>
              <w:ind w:hanging="0" w:end="0"/>
              <w:jc w:val="start"/>
              <w:rPr>
                <w:sz w:val="16"/>
              </w:rPr>
            </w:pPr>
            <w:r>
              <w:rPr>
                <w:sz w:val="16"/>
              </w:rPr>
              <w:t>10.13. политика информационной безопасности;</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4" w:type="dxa"/>
            <w:tcBorders>
              <w:start w:val="single" w:sz="6" w:space="0" w:color="000000"/>
              <w:bottom w:val="single" w:sz="6" w:space="0" w:color="000000"/>
            </w:tcBorders>
          </w:tcPr>
          <w:p>
            <w:pPr>
              <w:pStyle w:val="MainText"/>
              <w:ind w:hanging="0" w:end="0"/>
              <w:jc w:val="start"/>
              <w:rPr>
                <w:sz w:val="16"/>
              </w:rPr>
            </w:pPr>
            <w:r>
              <w:rPr>
                <w:sz w:val="16"/>
              </w:rPr>
              <w:t>10.14. обеспечение непрерывности деятельности и (или) восстановления деятельности кредитной организации на случай непредвиденных обстоятельств</w:t>
            </w:r>
          </w:p>
        </w:tc>
        <w:tc>
          <w:tcPr>
            <w:tcW w:w="10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bottom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spacing w:before="120" w:after="0"/>
        <w:ind w:hanging="0" w:end="0"/>
        <w:rPr>
          <w:sz w:val="16"/>
        </w:rPr>
      </w:pPr>
      <w:r>
        <w:rPr>
          <w:sz w:val="16"/>
        </w:rPr>
        <w:t>Комментарии:</w:t>
      </w:r>
    </w:p>
    <w:p>
      <w:pPr>
        <w:pStyle w:val="MGlavaCenter"/>
        <w:keepNext w:val="false"/>
        <w:keepLines w:val="false"/>
        <w:spacing w:before="240" w:after="120"/>
        <w:rPr>
          <w:b w:val="false"/>
        </w:rPr>
      </w:pPr>
      <w:r>
        <w:rPr/>
        <w:t>Раздел 2. Сведения о службе внутреннего контроля</w:t>
      </w:r>
    </w:p>
    <w:tbl>
      <w:tblPr>
        <w:tblW w:w="10989" w:type="dxa"/>
        <w:jc w:val="center"/>
        <w:tblInd w:w="0" w:type="dxa"/>
        <w:tblLayout w:type="fixed"/>
        <w:tblCellMar>
          <w:top w:w="0" w:type="dxa"/>
          <w:start w:w="28" w:type="dxa"/>
          <w:bottom w:w="0" w:type="dxa"/>
          <w:end w:w="28" w:type="dxa"/>
        </w:tblCellMar>
      </w:tblPr>
      <w:tblGrid>
        <w:gridCol w:w="7905"/>
        <w:gridCol w:w="1028"/>
        <w:gridCol w:w="1028"/>
        <w:gridCol w:w="1028"/>
      </w:tblGrid>
      <w:tr>
        <w:trPr>
          <w:tblHeader w:val="true"/>
          <w:cantSplit/>
        </w:trPr>
        <w:tc>
          <w:tcPr>
            <w:tcW w:w="790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Численность</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начало года</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конец года</w:t>
            </w:r>
          </w:p>
        </w:tc>
        <w:tc>
          <w:tcPr>
            <w:tcW w:w="102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Примечание</w:t>
            </w:r>
          </w:p>
        </w:tc>
      </w:tr>
      <w:tr>
        <w:trPr>
          <w:tblHeader w:val="true"/>
          <w:cantSplit/>
        </w:trPr>
        <w:tc>
          <w:tcPr>
            <w:tcW w:w="790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1028"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w:t>
            </w:r>
          </w:p>
        </w:tc>
        <w:tc>
          <w:tcPr>
            <w:tcW w:w="1028"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w:t>
            </w:r>
          </w:p>
        </w:tc>
        <w:tc>
          <w:tcPr>
            <w:tcW w:w="1028"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4</w:t>
            </w:r>
          </w:p>
        </w:tc>
      </w:tr>
      <w:tr>
        <w:trPr>
          <w:cantSplit/>
        </w:trPr>
        <w:tc>
          <w:tcPr>
            <w:tcW w:w="7905"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 Служащих службы внутреннего контроля кредитной организации, чел.:</w:t>
            </w:r>
          </w:p>
        </w:tc>
        <w:tc>
          <w:tcPr>
            <w:tcW w:w="102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5" w:type="dxa"/>
            <w:tcBorders>
              <w:start w:val="single" w:sz="6" w:space="0" w:color="000000"/>
              <w:end w:val="single" w:sz="6" w:space="0" w:color="000000"/>
            </w:tcBorders>
          </w:tcPr>
          <w:p>
            <w:pPr>
              <w:pStyle w:val="MainText"/>
              <w:ind w:hanging="0" w:end="0"/>
              <w:jc w:val="start"/>
              <w:rPr>
                <w:sz w:val="16"/>
              </w:rPr>
            </w:pPr>
            <w:r>
              <w:rPr>
                <w:sz w:val="16"/>
              </w:rPr>
              <w:t>1.1. Штатная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5" w:type="dxa"/>
            <w:tcBorders>
              <w:start w:val="single" w:sz="6" w:space="0" w:color="000000"/>
              <w:end w:val="single" w:sz="6" w:space="0" w:color="000000"/>
            </w:tcBorders>
          </w:tcPr>
          <w:p>
            <w:pPr>
              <w:pStyle w:val="MainText"/>
              <w:ind w:hanging="0" w:end="0"/>
              <w:jc w:val="start"/>
              <w:rPr>
                <w:sz w:val="16"/>
              </w:rPr>
            </w:pPr>
            <w:r>
              <w:rPr>
                <w:sz w:val="16"/>
              </w:rPr>
              <w:t>1.2. Фактическая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5" w:type="dxa"/>
            <w:tcBorders>
              <w:start w:val="single" w:sz="6" w:space="0" w:color="000000"/>
              <w:end w:val="single" w:sz="6" w:space="0" w:color="000000"/>
            </w:tcBorders>
          </w:tcPr>
          <w:p>
            <w:pPr>
              <w:pStyle w:val="MainText"/>
              <w:ind w:hanging="0" w:end="0"/>
              <w:jc w:val="start"/>
              <w:rPr>
                <w:sz w:val="16"/>
              </w:rPr>
            </w:pPr>
            <w:r>
              <w:rPr>
                <w:sz w:val="16"/>
              </w:rPr>
              <w:t>2. Служащих кредитной организации, чел.:</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5" w:type="dxa"/>
            <w:tcBorders>
              <w:start w:val="single" w:sz="6" w:space="0" w:color="000000"/>
              <w:end w:val="single" w:sz="6" w:space="0" w:color="000000"/>
            </w:tcBorders>
          </w:tcPr>
          <w:p>
            <w:pPr>
              <w:pStyle w:val="MainText"/>
              <w:ind w:hanging="0" w:end="0"/>
              <w:jc w:val="start"/>
              <w:rPr>
                <w:sz w:val="16"/>
              </w:rPr>
            </w:pPr>
            <w:r>
              <w:rPr>
                <w:sz w:val="16"/>
              </w:rPr>
              <w:t>2.1. Штатная</w:t>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7905"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2.2. Фактическая</w:t>
            </w:r>
          </w:p>
        </w:tc>
        <w:tc>
          <w:tcPr>
            <w:tcW w:w="10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spacing w:before="120" w:after="0"/>
        <w:ind w:hanging="0" w:end="0"/>
        <w:rPr>
          <w:sz w:val="16"/>
        </w:rPr>
      </w:pPr>
      <w:r>
        <w:rPr>
          <w:sz w:val="16"/>
        </w:rPr>
        <w:t>Комментарии:</w:t>
      </w:r>
    </w:p>
    <w:p>
      <w:pPr>
        <w:pStyle w:val="MGlavaCenter"/>
        <w:keepNext w:val="false"/>
        <w:keepLines w:val="false"/>
        <w:spacing w:before="240" w:after="120"/>
        <w:rPr>
          <w:b w:val="false"/>
        </w:rPr>
      </w:pPr>
      <w:r>
        <w:rPr/>
        <w:t>Раздел 3. Сведения о проверках, проведенных службой внутреннего контроля</w:t>
      </w:r>
    </w:p>
    <w:tbl>
      <w:tblPr>
        <w:tblW w:w="10989" w:type="dxa"/>
        <w:jc w:val="center"/>
        <w:tblInd w:w="0" w:type="dxa"/>
        <w:tblLayout w:type="fixed"/>
        <w:tblCellMar>
          <w:top w:w="0" w:type="dxa"/>
          <w:start w:w="28" w:type="dxa"/>
          <w:bottom w:w="0" w:type="dxa"/>
          <w:end w:w="28" w:type="dxa"/>
        </w:tblCellMar>
      </w:tblPr>
      <w:tblGrid>
        <w:gridCol w:w="8897"/>
        <w:gridCol w:w="1046"/>
        <w:gridCol w:w="1046"/>
      </w:tblGrid>
      <w:tr>
        <w:trPr>
          <w:tblHeader w:val="true"/>
          <w:cantSplit/>
        </w:trPr>
        <w:tc>
          <w:tcPr>
            <w:tcW w:w="889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w:t>
            </w:r>
          </w:p>
        </w:tc>
        <w:tc>
          <w:tcPr>
            <w:tcW w:w="104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Показатели</w:t>
            </w:r>
          </w:p>
        </w:tc>
        <w:tc>
          <w:tcPr>
            <w:tcW w:w="104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Примечание</w:t>
            </w:r>
          </w:p>
        </w:tc>
      </w:tr>
      <w:tr>
        <w:trPr>
          <w:tblHeader w:val="true"/>
          <w:cantSplit/>
        </w:trPr>
        <w:tc>
          <w:tcPr>
            <w:tcW w:w="8897"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1</w:t>
            </w:r>
          </w:p>
        </w:tc>
        <w:tc>
          <w:tcPr>
            <w:tcW w:w="104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2</w:t>
            </w:r>
          </w:p>
        </w:tc>
        <w:tc>
          <w:tcPr>
            <w:tcW w:w="104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8897"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1. Наличие планов проверок:</w:t>
            </w:r>
          </w:p>
        </w:tc>
        <w:tc>
          <w:tcPr>
            <w:tcW w:w="1046"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046"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897" w:type="dxa"/>
            <w:tcBorders>
              <w:start w:val="single" w:sz="6" w:space="0" w:color="000000"/>
              <w:end w:val="single" w:sz="6" w:space="0" w:color="000000"/>
            </w:tcBorders>
          </w:tcPr>
          <w:p>
            <w:pPr>
              <w:pStyle w:val="MainText"/>
              <w:ind w:hanging="0" w:end="0"/>
              <w:jc w:val="start"/>
              <w:rPr>
                <w:sz w:val="16"/>
              </w:rPr>
            </w:pPr>
            <w:r>
              <w:rPr>
                <w:sz w:val="16"/>
              </w:rPr>
              <w:t>1.1. перспективных (на год, несколько лет)</w:t>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897" w:type="dxa"/>
            <w:tcBorders>
              <w:start w:val="single" w:sz="6" w:space="0" w:color="000000"/>
              <w:end w:val="single" w:sz="6" w:space="0" w:color="000000"/>
            </w:tcBorders>
          </w:tcPr>
          <w:p>
            <w:pPr>
              <w:pStyle w:val="MainText"/>
              <w:ind w:hanging="0" w:end="0"/>
              <w:jc w:val="start"/>
              <w:rPr>
                <w:sz w:val="16"/>
              </w:rPr>
            </w:pPr>
            <w:r>
              <w:rPr>
                <w:sz w:val="16"/>
              </w:rPr>
              <w:t>1.2. текущих (на квартал, на месяц, другое)</w:t>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897" w:type="dxa"/>
            <w:tcBorders>
              <w:start w:val="single" w:sz="6" w:space="0" w:color="000000"/>
              <w:end w:val="single" w:sz="6" w:space="0" w:color="000000"/>
            </w:tcBorders>
          </w:tcPr>
          <w:p>
            <w:pPr>
              <w:pStyle w:val="MainText"/>
              <w:ind w:hanging="0" w:end="0"/>
              <w:jc w:val="start"/>
              <w:rPr>
                <w:sz w:val="16"/>
              </w:rPr>
            </w:pPr>
            <w:r>
              <w:rPr>
                <w:sz w:val="16"/>
              </w:rPr>
              <w:t>2. Количество проверок, проведенных службой внутреннего контроля, всего:</w:t>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897" w:type="dxa"/>
            <w:tcBorders>
              <w:start w:val="single" w:sz="6" w:space="0" w:color="000000"/>
              <w:end w:val="single" w:sz="6" w:space="0" w:color="000000"/>
            </w:tcBorders>
          </w:tcPr>
          <w:p>
            <w:pPr>
              <w:pStyle w:val="MainText"/>
              <w:ind w:hanging="0" w:end="0"/>
              <w:jc w:val="start"/>
              <w:rPr>
                <w:sz w:val="16"/>
              </w:rPr>
            </w:pPr>
            <w:r>
              <w:rPr>
                <w:sz w:val="16"/>
              </w:rPr>
              <w:t>в том числе:</w:t>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897" w:type="dxa"/>
            <w:tcBorders>
              <w:start w:val="single" w:sz="6" w:space="0" w:color="000000"/>
              <w:end w:val="single" w:sz="6" w:space="0" w:color="000000"/>
            </w:tcBorders>
          </w:tcPr>
          <w:p>
            <w:pPr>
              <w:pStyle w:val="MainText"/>
              <w:ind w:hanging="0" w:end="0"/>
              <w:jc w:val="start"/>
              <w:rPr>
                <w:sz w:val="16"/>
              </w:rPr>
            </w:pPr>
            <w:r>
              <w:rPr>
                <w:sz w:val="16"/>
              </w:rPr>
              <w:t>2.1. в головном офисе</w:t>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046"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897"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2.2. в филиалах</w:t>
            </w:r>
          </w:p>
        </w:tc>
        <w:tc>
          <w:tcPr>
            <w:tcW w:w="1046"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46"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
        <w:spacing w:before="120" w:after="0"/>
        <w:ind w:hanging="0" w:end="0"/>
        <w:rPr>
          <w:sz w:val="16"/>
        </w:rPr>
      </w:pPr>
      <w:r>
        <w:rPr>
          <w:sz w:val="16"/>
        </w:rPr>
        <w:t>Комментарии:</w:t>
      </w:r>
    </w:p>
    <w:p>
      <w:pPr>
        <w:pStyle w:val="MGlavaCenter"/>
        <w:keepNext w:val="false"/>
        <w:keepLines w:val="false"/>
        <w:spacing w:before="240" w:after="120"/>
        <w:rPr>
          <w:b w:val="false"/>
        </w:rPr>
      </w:pPr>
      <w:r>
        <w:rPr/>
        <w:t>Раздел 4. Информация и отчеты, представляемые службой внутреннего контроля совету директоров (наблюдательному совету)</w:t>
      </w:r>
    </w:p>
    <w:tbl>
      <w:tblPr>
        <w:tblW w:w="10989" w:type="dxa"/>
        <w:jc w:val="center"/>
        <w:tblInd w:w="0" w:type="dxa"/>
        <w:tblLayout w:type="fixed"/>
        <w:tblCellMar>
          <w:top w:w="0" w:type="dxa"/>
          <w:start w:w="28" w:type="dxa"/>
          <w:bottom w:w="0" w:type="dxa"/>
          <w:end w:w="28" w:type="dxa"/>
        </w:tblCellMar>
      </w:tblPr>
      <w:tblGrid>
        <w:gridCol w:w="4077"/>
        <w:gridCol w:w="2304"/>
        <w:gridCol w:w="2304"/>
        <w:gridCol w:w="2304"/>
      </w:tblGrid>
      <w:tr>
        <w:trPr>
          <w:tblHeader w:val="true"/>
          <w:cantSplit/>
        </w:trPr>
        <w:tc>
          <w:tcPr>
            <w:tcW w:w="40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отчета (информации)</w:t>
            </w:r>
          </w:p>
        </w:tc>
        <w:tc>
          <w:tcPr>
            <w:tcW w:w="2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Дата представления отчета (информации)</w:t>
            </w:r>
          </w:p>
        </w:tc>
        <w:tc>
          <w:tcPr>
            <w:tcW w:w="2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Результаты рассмотрения, принятые решения</w:t>
            </w:r>
          </w:p>
        </w:tc>
        <w:tc>
          <w:tcPr>
            <w:tcW w:w="2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и дата протокола (иного документа) о результатах рассмотрения отчета (информации)</w:t>
            </w:r>
          </w:p>
        </w:tc>
      </w:tr>
      <w:tr>
        <w:trPr>
          <w:tblHeader w:val="true"/>
          <w:cantSplit/>
        </w:trPr>
        <w:tc>
          <w:tcPr>
            <w:tcW w:w="40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23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r>
      <w:tr>
        <w:trPr>
          <w:cantSplit/>
        </w:trPr>
        <w:tc>
          <w:tcPr>
            <w:tcW w:w="40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 О выполнении планов проверок</w:t>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0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 О принятых мерах по выполнению рекомендаций и устранению выявленных нарушений</w:t>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40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 Иная информация (указать)</w:t>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3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tabs>
          <w:tab w:val="clear" w:pos="720"/>
          <w:tab w:val="left" w:pos="4564" w:leader="none"/>
        </w:tabs>
        <w:spacing w:before="120" w:after="0"/>
        <w:rPr/>
      </w:pPr>
      <w:r>
        <w:rPr/>
        <w:t>Руководитель</w:t>
        <w:tab/>
        <w:t>(Ф.И.О.)</w:t>
      </w:r>
    </w:p>
    <w:p>
      <w:pPr>
        <w:pStyle w:val="MainTextBezOtstupa"/>
        <w:tabs>
          <w:tab w:val="clear" w:pos="720"/>
          <w:tab w:val="left" w:pos="4564" w:leader="none"/>
        </w:tabs>
        <w:spacing w:before="57" w:after="0"/>
        <w:rPr/>
      </w:pPr>
      <w:r>
        <w:rPr/>
        <w:t>Руководитель службы внутреннего контроля</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0409639 “Справка о внутреннем контроле в кредитной организации”</w:t>
      </w:r>
    </w:p>
    <w:p>
      <w:pPr>
        <w:pStyle w:val="MainText"/>
        <w:rPr/>
      </w:pPr>
      <w:r>
        <w:rPr/>
        <w:t>1. Отчетность по форме 0409639 “Справка о внутреннем контроле в кредитной организации” (далее — Отчет) составляется в соответствии с Положением Банка России от 16 декабря 2003 года № 242-П “Об организации внутреннего контроля в кредитных организациях и банковских группах”, зарегистрированным Министерством юстиции Российской Федерации 27 января 2004 года № 5489, 22 декабря 2004 года № 6222, 20 марта 2009 года № 13547 (“Вестник Банка России” от 4 февраля 2004 года № 7, от 31 декабря 2004 года № 74, от 1 апреля 2009 года № 21) (далее — Положение Банка России № 242-П).</w:t>
      </w:r>
    </w:p>
    <w:p>
      <w:pPr>
        <w:pStyle w:val="MainText"/>
        <w:rPr/>
      </w:pPr>
      <w:r>
        <w:rPr/>
        <w:t>2. В разделе 1 Отчета:</w:t>
      </w:r>
    </w:p>
    <w:p>
      <w:pPr>
        <w:pStyle w:val="MainText"/>
        <w:rPr/>
      </w:pPr>
      <w:r>
        <w:rPr/>
        <w:t>2.1. По строке 10 указываются документы, определяющие политику кредитной организации на всех сегментах финансовых рынков, предусмотренные пунктом 3.8 Положения Банка России № 242-П.</w:t>
      </w:r>
    </w:p>
    <w:p>
      <w:pPr>
        <w:pStyle w:val="MainText"/>
        <w:rPr/>
      </w:pPr>
      <w:r>
        <w:rPr/>
        <w:t>2.2. В Комментариях к разделу 1 в случае необходимости даются краткие пояснения информации, содержащейся в разделе, по следующей примерной структуре:</w:t>
      </w:r>
    </w:p>
    <w:p>
      <w:pPr>
        <w:pStyle w:val="MainText"/>
        <w:rPr/>
      </w:pPr>
      <w:r>
        <w:rPr/>
        <w:t>общие пояснения информации, содержащейся в разделе;</w:t>
      </w:r>
    </w:p>
    <w:p>
      <w:pPr>
        <w:pStyle w:val="MainText"/>
        <w:rPr/>
      </w:pPr>
      <w:r>
        <w:rPr/>
        <w:t>пояснения отдельных позиций раздела.</w:t>
      </w:r>
    </w:p>
    <w:p>
      <w:pPr>
        <w:pStyle w:val="MainText"/>
        <w:rPr/>
      </w:pPr>
      <w:r>
        <w:rPr/>
        <w:t>Если в соответствии с подпунктом 4.6.3 пункта 4.6 Положения Банка России № 242-П отдельные функции службы внутреннего контроля одной кредитной организации, входящей в состав банковской группы, переданы службе внутреннего контроля другой кредитной организации, входящей в состав банковской группы, сведения об этом представляются в территориальные учреждения Банка России по месту обслуживания каждой из указанных кредитных организаций, входящих в состав банковской группы. При этом указываются основания для передачи (принятия) функций, перечень передаваемых (принимаемых) функций, порядок взаимодействия и ответственность при осуществлении передаваемых (принимаемых) функций службы внутреннего контроля.</w:t>
      </w:r>
    </w:p>
    <w:p>
      <w:pPr>
        <w:pStyle w:val="MainText"/>
        <w:rPr/>
      </w:pPr>
      <w:r>
        <w:rPr/>
        <w:t>3. В разделе 2 Отчета:</w:t>
      </w:r>
    </w:p>
    <w:p>
      <w:pPr>
        <w:pStyle w:val="MainText"/>
        <w:rPr/>
      </w:pPr>
      <w:r>
        <w:rPr/>
        <w:t>3.1. По строкам 1 и 2 информация указывается в целом по кредитной организации.</w:t>
      </w:r>
    </w:p>
    <w:p>
      <w:pPr>
        <w:pStyle w:val="MainText"/>
        <w:rPr/>
      </w:pPr>
      <w:r>
        <w:rPr/>
        <w:t>3.2. В Комментариях к разделу 2 в случае необходимости даются краткие пояснения информации, содержащейся в разделе, по следующей примерной структуре:</w:t>
      </w:r>
    </w:p>
    <w:p>
      <w:pPr>
        <w:pStyle w:val="MainText"/>
        <w:rPr/>
      </w:pPr>
      <w:r>
        <w:rPr/>
        <w:t>общие пояснения информации, содержащейся в разделе;</w:t>
      </w:r>
    </w:p>
    <w:p>
      <w:pPr>
        <w:pStyle w:val="MainText"/>
        <w:rPr/>
      </w:pPr>
      <w:r>
        <w:rPr/>
        <w:t>пояснения отдельных позиций раздела.</w:t>
      </w:r>
    </w:p>
    <w:p>
      <w:pPr>
        <w:pStyle w:val="MainText"/>
        <w:rPr/>
      </w:pPr>
      <w:r>
        <w:rPr/>
        <w:t>4. В Комментариях к разделу 3 Отчета указываются:</w:t>
      </w:r>
    </w:p>
    <w:p>
      <w:pPr>
        <w:pStyle w:val="MainText"/>
        <w:rPr/>
      </w:pPr>
      <w:r>
        <w:rPr/>
        <w:t>перечень проверок и выявленных нарушений;</w:t>
      </w:r>
    </w:p>
    <w:p>
      <w:pPr>
        <w:pStyle w:val="MainText"/>
        <w:rPr/>
      </w:pPr>
      <w:r>
        <w:rPr/>
        <w:t>выводы и меры, принятые для устранения выявленных нарушений.</w:t>
      </w:r>
    </w:p>
    <w:p>
      <w:pPr>
        <w:pStyle w:val="MainText"/>
        <w:rPr/>
      </w:pPr>
      <w:r>
        <w:rPr/>
        <w:t>5. Отчет представляется кредитными организациями (включая небанковские кредитные организации) по состоянию на 1 января года, следующего за отчетным, в территориальные учреждения Банка России:</w:t>
      </w:r>
    </w:p>
    <w:p>
      <w:pPr>
        <w:pStyle w:val="MainText"/>
        <w:rPr/>
      </w:pPr>
      <w:r>
        <w:rPr/>
        <w:t>кредитными организациями (включая небанковские кредитные организации) (за исключением крупных кредитных организаций с широкой сетью подразделений) — не позднее 25 января года, следующего за отчетным;</w:t>
      </w:r>
    </w:p>
    <w:p>
      <w:pPr>
        <w:pStyle w:val="MainText"/>
        <w:rPr/>
      </w:pPr>
      <w:r>
        <w:rPr/>
        <w:t>крупными кредитными организациями с широкой сетью подразделений — не позднее 1 марта года, следующего за отчетным.</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ОПЕРАТИВНЫЙ ОТЧЕТ О ДВИЖЕНИИ СРЕДСТВ В ИНОСТРАННОЙ ВАЛЮТЕ </w:t>
        <w:br/>
        <w:t>НА ТРАНЗИТНЫХ ВАЛЮТНЫХ СЧЕТАХ РЕЗИДЕНТОВ</w:t>
        <w:br/>
        <w:t>за “</w:t>
      </w:r>
      <w:r>
        <w:rPr/>
        <w:t>___” 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уполномоченного банка (наименование его филиала)</w:t>
        <w:tab/>
      </w:r>
    </w:p>
    <w:p>
      <w:pPr>
        <w:pStyle w:val="MainTextLine155"/>
        <w:tabs>
          <w:tab w:val="clear" w:pos="8787"/>
          <w:tab w:val="right" w:pos="9978" w:leader="underscore"/>
        </w:tabs>
        <w:rPr/>
      </w:pPr>
      <w:r>
        <w:rPr/>
        <w:t>Почтовый адрес</w:t>
        <w:tab/>
      </w:r>
    </w:p>
    <w:p>
      <w:pPr>
        <w:pStyle w:val="MainTextBezOtstupa"/>
        <w:spacing w:before="120" w:after="120"/>
        <w:jc w:val="end"/>
        <w:rPr/>
      </w:pPr>
      <w:r>
        <w:rPr/>
        <w:t>Код формы по ОКУД 0409652</w:t>
        <w:br/>
        <w:t>Суточная</w:t>
      </w:r>
    </w:p>
    <w:tbl>
      <w:tblPr>
        <w:tblW w:w="5918" w:type="dxa"/>
        <w:jc w:val="end"/>
        <w:tblInd w:w="0" w:type="dxa"/>
        <w:tblLayout w:type="fixed"/>
        <w:tblCellMar>
          <w:top w:w="0" w:type="dxa"/>
          <w:start w:w="107" w:type="dxa"/>
          <w:bottom w:w="0" w:type="dxa"/>
          <w:end w:w="107" w:type="dxa"/>
        </w:tblCellMar>
      </w:tblPr>
      <w:tblGrid>
        <w:gridCol w:w="4076"/>
        <w:gridCol w:w="1842"/>
      </w:tblGrid>
      <w:tr>
        <w:trPr>
          <w:cantSplit/>
        </w:trPr>
        <w:tc>
          <w:tcPr>
            <w:tcW w:w="4076" w:type="dxa"/>
            <w:tcBorders/>
          </w:tcPr>
          <w:p>
            <w:pPr>
              <w:pStyle w:val="Normal"/>
              <w:jc w:val="end"/>
              <w:rPr>
                <w:rFonts w:ascii="Arial" w:hAnsi="Arial" w:cs="Arial"/>
              </w:rPr>
            </w:pPr>
            <w:r>
              <w:rPr>
                <w:rFonts w:cs="Arial" w:ascii="Arial" w:hAnsi="Arial"/>
              </w:rPr>
              <w:t>Признак отчета с нулевыми показателями</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BezOtstupa"/>
        <w:spacing w:before="120" w:after="60"/>
        <w:jc w:val="end"/>
        <w:rPr/>
      </w:pPr>
      <w:r>
        <w:rPr/>
        <w:t>единиц иностранной валюты</w:t>
      </w:r>
    </w:p>
    <w:tbl>
      <w:tblPr>
        <w:tblW w:w="10984" w:type="dxa"/>
        <w:jc w:val="center"/>
        <w:tblInd w:w="0" w:type="dxa"/>
        <w:tblLayout w:type="fixed"/>
        <w:tblCellMar>
          <w:top w:w="0" w:type="dxa"/>
          <w:start w:w="28" w:type="dxa"/>
          <w:bottom w:w="0" w:type="dxa"/>
          <w:end w:w="28" w:type="dxa"/>
        </w:tblCellMar>
      </w:tblPr>
      <w:tblGrid>
        <w:gridCol w:w="673"/>
        <w:gridCol w:w="8079"/>
        <w:gridCol w:w="744"/>
        <w:gridCol w:w="744"/>
        <w:gridCol w:w="744"/>
      </w:tblGrid>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Доллар США</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Евро</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валюты:</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840</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978</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tblHeader w:val="true"/>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начало операционного дня</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средств, зачисленных в течение операционного дня</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средств, списанных в течение операционного дня, всего, в том числе:</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осуществления продажи иностранной валюты на внутреннем валютном рынке</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оплаты расходов и иных платежей</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зачисления на валютный счет резидента</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зачисления на транзитные валютные счета резидентов — комитентов, принципалов, доверителей</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3.5</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возврата ошибочно поступивших средств в иностранной валюте</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807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Остаток на конец операционного дня</w:t>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0409652 “Оперативный отчет о движении средств в иностранной валюте на транзитных валютных счетах резидентов”</w:t>
      </w:r>
    </w:p>
    <w:p>
      <w:pPr>
        <w:pStyle w:val="MainText"/>
        <w:rPr/>
      </w:pPr>
      <w:r>
        <w:rPr/>
        <w:t>1. Отчетность по форме 0409652 “Оперативный отчет о движении средств в иностранной валюте на транзитных валютных счетах резидентов” (далее — Отчет) составляется с целью оперативного получения информации о поступлении в Российскую Федерацию валютной выручки и других средств в иностранной валюте, зачисляемых на транзитные валютные счета резидентов (юридических лиц и физических лиц — индивидуальных предпринимателей) в соответствии с требованиями, установленными Инструкцией Банка России от 30 марта 2004 года № 111-И “Об обязательной продаже части валютной выручки на внутреннем валютном рынке Российской Федерации”, зарегистрированной Министерством юстиции Российской Федерации 29 апреля 2004 года № 5779, 17 июня 2004 года № 5855, 8 декабря 2004 года № 6176, 17 апреля 2006 года № 7716 (“Вестник Банка России” от 13 мая 2004 года № 29, от 18 июня 2004 года № 36, от 16 декабря 2004 года № 71, от 26 апреля 2006 года № 24) (далее — Инструкция Банка России № 111-И).</w:t>
      </w:r>
    </w:p>
    <w:p>
      <w:pPr>
        <w:pStyle w:val="MainText"/>
        <w:rPr/>
      </w:pPr>
      <w:r>
        <w:rPr/>
        <w:t>2. Отчет формируется уполномоченными банками и филиалами уполномоченных банков, которым в соответствии с положением о филиале делегировано право на осуществление валютных операций (далее — уполномоченный банк), на основе данных аналитического бухгалтерского учета валютных операций.</w:t>
      </w:r>
    </w:p>
    <w:p>
      <w:pPr>
        <w:pStyle w:val="MainText"/>
        <w:rPr/>
      </w:pPr>
      <w:r>
        <w:rPr/>
        <w:t>3. В Отчет включаются сведения по тем иностранным валютам (за исключением клиринговых валют), в которых по транзитным валютным счетам в течение отчетного периода совершались операции либо имеются ненулевые остатки средств.</w:t>
      </w:r>
    </w:p>
    <w:p>
      <w:pPr>
        <w:pStyle w:val="MainText"/>
        <w:rPr/>
      </w:pPr>
      <w:r>
        <w:rPr/>
        <w:t>Данные указываются в единицах иностранной валюты.</w:t>
      </w:r>
    </w:p>
    <w:p>
      <w:pPr>
        <w:pStyle w:val="MainText"/>
        <w:rPr/>
      </w:pPr>
      <w:r>
        <w:rPr/>
        <w:t>4. Отчет представляется уполномоченными банками в территориальные учреждения Банка России, осуществляющие надзор за их деятельностью, в виде электронного сообщения в форматах, установленных Департаментом финансового мониторинга и валютного контроля Банка России, ежедневно, не позднее 16 часов 00 минут по местному времени рабочего дня, следующего за отчетным.</w:t>
      </w:r>
    </w:p>
    <w:p>
      <w:pPr>
        <w:pStyle w:val="MainText"/>
        <w:rPr/>
      </w:pPr>
      <w:r>
        <w:rPr/>
        <w:t>В случае представления Отчета в виде электронного сообщения, не снабженного кодом аутентификации электронного сообщения, Отчет на бумажном носителе представляется не позднее 4-го рабочего дня, следующего за отчетным.</w:t>
      </w:r>
    </w:p>
    <w:p>
      <w:pPr>
        <w:pStyle w:val="MainText"/>
        <w:rPr/>
      </w:pPr>
      <w:r>
        <w:rPr/>
        <w:t>В случае представления Отчета в виде электронного сообщения, снабженного кодом аутентификации, уполномоченный банк может не формировать Отчет на бумажном носителе в порядке, установленном пунктом 7 Указания Банка России от 16 января 2004 года № 1375-У “О правилах составления и представления отчетности кредитными организациями в Центральный банк Российской Федерации”, зарегистрированного Министерством юстиции Российской Федерации 10 февраля 2004 года № 5534, 30 марта 2005 года № 6458, 19 января 2006 года № 7379, 13 мая 2008 года № 11689, 24 июня 2009 года № 14129 (“Вестник Банка России” от 18 февраля 2004 года № 14, от 6 апреля 2005 года № 18, от 25 января 2006 года № 3, от 21 мая 2008 года № 24, от 1 июля 2009 года № 39).</w:t>
      </w:r>
    </w:p>
    <w:p>
      <w:pPr>
        <w:pStyle w:val="MainText"/>
        <w:rPr/>
      </w:pPr>
      <w:r>
        <w:rPr/>
        <w:t>В случае отсутствия данных по всем показателям формы отчетности в Отчете заполняется только поле “Признак отчета с нулевыми показателями”, в котором проставляется ноль.</w:t>
      </w:r>
    </w:p>
    <w:p>
      <w:pPr>
        <w:pStyle w:val="MainText"/>
        <w:rPr/>
      </w:pPr>
      <w:r>
        <w:rPr/>
        <w:t>В случае отсутствия данных по отдельным показателям Отчета соответствующие строки (графы) Отчета не заполняются.</w:t>
      </w:r>
    </w:p>
    <w:p>
      <w:pPr>
        <w:pStyle w:val="MainText"/>
        <w:rPr/>
      </w:pPr>
      <w:r>
        <w:rPr/>
        <w:t>5. В Отчет включаются следующие сведения:</w:t>
      </w:r>
    </w:p>
    <w:p>
      <w:pPr>
        <w:pStyle w:val="MainText"/>
        <w:rPr/>
      </w:pPr>
      <w:r>
        <w:rPr/>
        <w:t>по строке 1 — величина остатка средств в иностранной валюте на транзитных валютных счетах резидентов — клиентов уполномоченного банка на начало операционного дня;</w:t>
      </w:r>
    </w:p>
    <w:p>
      <w:pPr>
        <w:pStyle w:val="MainText"/>
        <w:rPr/>
      </w:pPr>
      <w:r>
        <w:rPr/>
        <w:t>по строке 2 — общая сумма средств в иностранной валюте, поступивших на транзитные валютные счета резидентов в течение операционного дня;</w:t>
      </w:r>
    </w:p>
    <w:p>
      <w:pPr>
        <w:pStyle w:val="MainText"/>
        <w:rPr/>
      </w:pPr>
      <w:r>
        <w:rPr/>
        <w:t>по строке 3 — общая сумма средств в иностранной валюте, списанных с транзитных валютных счетов резидентов в течение операционного дня.</w:t>
      </w:r>
    </w:p>
    <w:p>
      <w:pPr>
        <w:pStyle w:val="MainText"/>
        <w:rPr/>
      </w:pPr>
      <w:r>
        <w:rPr/>
        <w:t>В строках 3.1—3.5 дается расшифровка направлений списания средств в иностранной валюте с транзитных валютных счетов. Сумма значений показателей по строкам 3.1—3.5 должна быть равна значению показателя по строке 3;</w:t>
      </w:r>
    </w:p>
    <w:p>
      <w:pPr>
        <w:pStyle w:val="MainText"/>
        <w:rPr/>
      </w:pPr>
      <w:r>
        <w:rPr/>
        <w:t>по строке 3.1 — средства в иностранной валюте, списанные с транзитных валютных счетов резидентов в течение операционного дня для осуществления продажи на внутреннем валютном рынке;</w:t>
      </w:r>
    </w:p>
    <w:p>
      <w:pPr>
        <w:pStyle w:val="MainText"/>
        <w:rPr/>
      </w:pPr>
      <w:r>
        <w:rPr/>
        <w:t>по строке 3.2 — средства в иностранной валюте, списанные с транзитных валютных счетов резидентов для оплаты расходов и иных платежей;</w:t>
      </w:r>
    </w:p>
    <w:p>
      <w:pPr>
        <w:pStyle w:val="MainText"/>
        <w:rPr/>
      </w:pPr>
      <w:r>
        <w:rPr/>
        <w:t>по строке 3.3 — средства в иностранной валюте, списанные с транзитных валютных счетов резидентов с целью зачисления на валютные счета резидентов, в том числе открытые в других уполномоченных банках (с предварительным зачислением на транзитный валютный счет);</w:t>
      </w:r>
    </w:p>
    <w:p>
      <w:pPr>
        <w:pStyle w:val="MainText"/>
        <w:rPr/>
      </w:pPr>
      <w:r>
        <w:rPr/>
        <w:t>по строке 3.4 — средства в иностранной валюте, списанные с транзитных валютных счетов резидентов — комиссионеров, агентов или поверенных с целью зачисления на транзитные валютные счета резидентов — комитентов, принципалов или доверителей;</w:t>
      </w:r>
    </w:p>
    <w:p>
      <w:pPr>
        <w:pStyle w:val="MainText"/>
        <w:rPr/>
      </w:pPr>
      <w:r>
        <w:rPr/>
        <w:t>по строке 3.5 — средства в иностранной валюте, списанные с транзитных валютных счетов резидентов для возврата ошибочно поступивших в пользу резидента средств в иностранной валюте в соответствии с подпунктом 2.3.4 пункта 2.3 Инструкции Банка России № 111-И;</w:t>
      </w:r>
    </w:p>
    <w:p>
      <w:pPr>
        <w:pStyle w:val="MainText"/>
        <w:rPr/>
      </w:pPr>
      <w:r>
        <w:rPr/>
        <w:t>по строке 4 указывается величина остатка средств в иностранной валюте на транзитных валютных счетах резидентов — клиентов уполномоченного банка на конец операционного дня.</w:t>
      </w:r>
    </w:p>
    <w:p>
      <w:pPr>
        <w:pStyle w:val="MainText"/>
        <w:rPr/>
      </w:pPr>
      <w:r>
        <w:rPr/>
        <w:t>Контрольная сумма: строка 4 = строка 1 + строка 2 – строка 3.</w:t>
      </w:r>
    </w:p>
    <w:p>
      <w:pPr>
        <w:pStyle w:val="MainText"/>
        <w:rPr/>
      </w:pPr>
      <w:r>
        <w:rPr/>
        <w:t>6. Порядок представления Отчета уполномоченными банками — крупными кредитными организациями с широкой сетью подразделений:</w:t>
      </w:r>
    </w:p>
    <w:p>
      <w:pPr>
        <w:pStyle w:val="MainText"/>
        <w:rPr/>
      </w:pPr>
      <w:r>
        <w:rPr/>
        <w:t>территориальные банки крупных кредитных организаций с широкой сетью подразделений представляют Отчет в территориальное учреждение Банка России, осуществляющее надзор за их деятельностью, за подчиненные филиалы (отделения), находящиеся на одной с ними территории субъекта Российской Федерации;</w:t>
      </w:r>
    </w:p>
    <w:p>
      <w:pPr>
        <w:pStyle w:val="MainText"/>
        <w:rPr/>
      </w:pPr>
      <w:r>
        <w:rPr/>
        <w:t>подчиненные территориальным банкам филиалы (отделения) крупных кредитных организаций с широкой сетью подразделений, находящиеся на территории другого субъекта Российской Федерации, представляют Отчет непосредственно в территориальные учреждения по месту своего нахождения.</w:t>
      </w:r>
    </w:p>
    <w:p>
      <w:pPr>
        <w:pStyle w:val="MainText"/>
        <w:rPr/>
      </w:pPr>
      <w:r>
        <w:rPr/>
        <w:t>7. Отчеты за выходные и нерабочие праздничные дни не представляются. В случае зачисления (списания) денежных средств на транзитные валютные счета (с транзитных валютных счетов) резидентов в выходные и (или) нерабочие праздничные дни указанные операции отражаются в Отчете, формируемом за первый рабочий день, следующий за выходными и (или) нерабочими праздничными днями.</w:t>
      </w:r>
    </w:p>
    <w:p>
      <w:pPr>
        <w:pStyle w:val="MainText"/>
        <w:rPr/>
      </w:pPr>
      <w:r>
        <w:rPr/>
        <w:t>При этом остатки на начало отчетного периода (первого рабочего дня, следующего за выходными и (или) нерабочими праздничными днями) должны соответствовать остаткам на конец отчетного периода, предшествующего выходным и (или) нерабочим праздничным дням. Остатки на конец отчетного периода (первого рабочего дня, следующего за выходными и (или) нерабочими праздничными днями), рассчитываются в порядке, установленном в последнем абзаце пункта 5 настоящего Порядка.</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ОТЧЕТ О ВАЛЮТНЫХ ОПЕРАЦИЯХ, ОСУЩЕСТВЛЯЕМЫХ ПО БАНКОВСКИМ СЧЕТАМ, СЧЕТАМ ПО ВКЛАДАМ (ДЕПОЗИТАМ) КЛИЕНТОВ В УПОЛНОМОЧЕННЫХ БАНКАХ</w:t>
        <w:br/>
        <w:t xml:space="preserve">за </w:t>
      </w:r>
      <w:r>
        <w:rPr/>
        <w:t>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уполномоченного банка (наименование его филиала)</w:t>
        <w:tab/>
      </w:r>
    </w:p>
    <w:p>
      <w:pPr>
        <w:pStyle w:val="MainTextLine155"/>
        <w:tabs>
          <w:tab w:val="clear" w:pos="8787"/>
          <w:tab w:val="right" w:pos="9978" w:leader="underscore"/>
        </w:tabs>
        <w:rPr/>
      </w:pPr>
      <w:r>
        <w:rPr/>
        <w:t>Почтовый адрес</w:t>
        <w:tab/>
      </w:r>
    </w:p>
    <w:p>
      <w:pPr>
        <w:pStyle w:val="MainTextBezOtstupa"/>
        <w:spacing w:before="120" w:after="120"/>
        <w:jc w:val="end"/>
        <w:rPr/>
      </w:pPr>
      <w:r>
        <w:rPr/>
        <w:t>Код формы по ОКУД 0409664</w:t>
        <w:br/>
        <w:t>Месячная</w:t>
      </w:r>
    </w:p>
    <w:tbl>
      <w:tblPr>
        <w:tblW w:w="5918" w:type="dxa"/>
        <w:jc w:val="end"/>
        <w:tblInd w:w="0" w:type="dxa"/>
        <w:tblLayout w:type="fixed"/>
        <w:tblCellMar>
          <w:top w:w="0" w:type="dxa"/>
          <w:start w:w="107" w:type="dxa"/>
          <w:bottom w:w="0" w:type="dxa"/>
          <w:end w:w="107" w:type="dxa"/>
        </w:tblCellMar>
      </w:tblPr>
      <w:tblGrid>
        <w:gridCol w:w="4076"/>
        <w:gridCol w:w="1842"/>
      </w:tblGrid>
      <w:tr>
        <w:trPr>
          <w:cantSplit/>
        </w:trPr>
        <w:tc>
          <w:tcPr>
            <w:tcW w:w="4076" w:type="dxa"/>
            <w:tcBorders/>
          </w:tcPr>
          <w:p>
            <w:pPr>
              <w:pStyle w:val="Normal"/>
              <w:jc w:val="end"/>
              <w:rPr>
                <w:rFonts w:ascii="Arial" w:hAnsi="Arial" w:cs="Arial"/>
              </w:rPr>
            </w:pPr>
            <w:r>
              <w:rPr>
                <w:rFonts w:cs="Arial" w:ascii="Arial" w:hAnsi="Arial"/>
              </w:rPr>
              <w:t>Признак отчета с нулевыми показателями</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BezOtstupa"/>
        <w:spacing w:before="120" w:after="120"/>
        <w:jc w:val="center"/>
        <w:rPr/>
      </w:pPr>
      <w:r>
        <w:rPr/>
        <w:t>Раздел 1. Операции по расчетным счетам резидентов в иностранной валюте</w:t>
      </w:r>
    </w:p>
    <w:tbl>
      <w:tblPr>
        <w:tblW w:w="5918" w:type="dxa"/>
        <w:jc w:val="end"/>
        <w:tblInd w:w="0" w:type="dxa"/>
        <w:tblLayout w:type="fixed"/>
        <w:tblCellMar>
          <w:top w:w="0" w:type="dxa"/>
          <w:start w:w="107" w:type="dxa"/>
          <w:bottom w:w="0" w:type="dxa"/>
          <w:end w:w="107" w:type="dxa"/>
        </w:tblCellMar>
      </w:tblPr>
      <w:tblGrid>
        <w:gridCol w:w="4076"/>
        <w:gridCol w:w="1842"/>
      </w:tblGrid>
      <w:tr>
        <w:trPr>
          <w:cantSplit/>
        </w:trPr>
        <w:tc>
          <w:tcPr>
            <w:tcW w:w="4076" w:type="dxa"/>
            <w:tcBorders/>
          </w:tcPr>
          <w:p>
            <w:pPr>
              <w:pStyle w:val="Normal"/>
              <w:jc w:val="end"/>
              <w:rPr>
                <w:rFonts w:ascii="Arial" w:hAnsi="Arial" w:cs="Arial"/>
              </w:rPr>
            </w:pPr>
            <w:r>
              <w:rPr>
                <w:rFonts w:cs="Arial" w:ascii="Arial" w:hAnsi="Arial"/>
              </w:rPr>
              <w:t>Признак отсутствия данных по разделу 1</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BezOtstupa"/>
        <w:spacing w:before="120" w:after="60"/>
        <w:jc w:val="end"/>
        <w:rPr/>
      </w:pPr>
      <w:r>
        <w:rPr/>
        <w:t>тысяч единиц иностранной валюты</w:t>
      </w:r>
    </w:p>
    <w:tbl>
      <w:tblPr>
        <w:tblW w:w="10985" w:type="dxa"/>
        <w:jc w:val="center"/>
        <w:tblInd w:w="0" w:type="dxa"/>
        <w:tblLayout w:type="fixed"/>
        <w:tblCellMar>
          <w:top w:w="0" w:type="dxa"/>
          <w:start w:w="28" w:type="dxa"/>
          <w:bottom w:w="0" w:type="dxa"/>
          <w:end w:w="28" w:type="dxa"/>
        </w:tblCellMar>
      </w:tblPr>
      <w:tblGrid>
        <w:gridCol w:w="3650"/>
        <w:gridCol w:w="1222"/>
        <w:gridCol w:w="1223"/>
        <w:gridCol w:w="1222"/>
        <w:gridCol w:w="1223"/>
        <w:gridCol w:w="1222"/>
        <w:gridCol w:w="1223"/>
      </w:tblGrid>
      <w:tr>
        <w:trPr>
          <w:tblHeader w:val="true"/>
          <w:cantSplit/>
        </w:trPr>
        <w:tc>
          <w:tcPr>
            <w:tcW w:w="365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вида операции</w:t>
            </w:r>
          </w:p>
        </w:tc>
        <w:tc>
          <w:tcPr>
            <w:tcW w:w="7335"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Сумма операции</w:t>
            </w:r>
          </w:p>
        </w:tc>
      </w:tr>
      <w:tr>
        <w:trPr>
          <w:tblHeader w:val="true"/>
          <w:cantSplit/>
        </w:trPr>
        <w:tc>
          <w:tcPr>
            <w:tcW w:w="365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2445"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доллар США (840)</w:t>
            </w:r>
          </w:p>
        </w:tc>
        <w:tc>
          <w:tcPr>
            <w:tcW w:w="2445"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евро (978)</w:t>
            </w:r>
          </w:p>
        </w:tc>
        <w:tc>
          <w:tcPr>
            <w:tcW w:w="2445"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tblHeader w:val="true"/>
          <w:cantSplit/>
        </w:trPr>
        <w:tc>
          <w:tcPr>
            <w:tcW w:w="3650"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списание</w:t>
            </w:r>
          </w:p>
        </w:tc>
        <w:tc>
          <w:tcPr>
            <w:tcW w:w="122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зачисление</w:t>
            </w:r>
          </w:p>
        </w:tc>
        <w:tc>
          <w:tcPr>
            <w:tcW w:w="122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списание</w:t>
            </w:r>
          </w:p>
        </w:tc>
        <w:tc>
          <w:tcPr>
            <w:tcW w:w="122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зачисление</w:t>
            </w:r>
          </w:p>
        </w:tc>
        <w:tc>
          <w:tcPr>
            <w:tcW w:w="122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списание</w:t>
            </w:r>
          </w:p>
        </w:tc>
        <w:tc>
          <w:tcPr>
            <w:tcW w:w="122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зачисление</w:t>
            </w:r>
          </w:p>
        </w:tc>
      </w:tr>
      <w:tr>
        <w:trPr>
          <w:tblHeader w:val="true"/>
          <w:cantSplit/>
        </w:trPr>
        <w:tc>
          <w:tcPr>
            <w:tcW w:w="365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22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22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22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22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22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c>
          <w:tcPr>
            <w:tcW w:w="122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cantSplit/>
        </w:trPr>
        <w:tc>
          <w:tcPr>
            <w:tcW w:w="365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5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w:t>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начало отчетного периода</w:t>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конец отчетного периода</w:t>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120"/>
        <w:jc w:val="center"/>
        <w:rPr/>
      </w:pPr>
      <w:r>
        <w:rPr/>
        <w:t xml:space="preserve">Раздел 2. Операции по текущим, расчетным, корреспондентским счетам, </w:t>
        <w:br/>
        <w:t>счетам по вкладам (депозитам) нерезидентов в валюте Российской Федерации</w:t>
      </w:r>
    </w:p>
    <w:tbl>
      <w:tblPr>
        <w:tblW w:w="5918" w:type="dxa"/>
        <w:jc w:val="end"/>
        <w:tblInd w:w="0" w:type="dxa"/>
        <w:tblLayout w:type="fixed"/>
        <w:tblCellMar>
          <w:top w:w="0" w:type="dxa"/>
          <w:start w:w="107" w:type="dxa"/>
          <w:bottom w:w="0" w:type="dxa"/>
          <w:end w:w="107" w:type="dxa"/>
        </w:tblCellMar>
      </w:tblPr>
      <w:tblGrid>
        <w:gridCol w:w="4076"/>
        <w:gridCol w:w="1842"/>
      </w:tblGrid>
      <w:tr>
        <w:trPr>
          <w:cantSplit/>
        </w:trPr>
        <w:tc>
          <w:tcPr>
            <w:tcW w:w="4076" w:type="dxa"/>
            <w:tcBorders/>
          </w:tcPr>
          <w:p>
            <w:pPr>
              <w:pStyle w:val="Normal"/>
              <w:jc w:val="end"/>
              <w:rPr>
                <w:rFonts w:ascii="Arial" w:hAnsi="Arial" w:cs="Arial"/>
              </w:rPr>
            </w:pPr>
            <w:r>
              <w:rPr>
                <w:rFonts w:cs="Arial" w:ascii="Arial" w:hAnsi="Arial"/>
              </w:rPr>
              <w:t>Признак отсутствия данных по разделу 2</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
        <w:rPr>
          <w:sz w:val="12"/>
        </w:rPr>
      </w:pPr>
      <w:r>
        <w:rPr>
          <w:sz w:val="12"/>
        </w:rPr>
      </w:r>
    </w:p>
    <w:tbl>
      <w:tblPr>
        <w:tblW w:w="5919" w:type="dxa"/>
        <w:jc w:val="center"/>
        <w:tblInd w:w="0" w:type="dxa"/>
        <w:tblLayout w:type="fixed"/>
        <w:tblCellMar>
          <w:top w:w="0" w:type="dxa"/>
          <w:start w:w="108" w:type="dxa"/>
          <w:bottom w:w="0" w:type="dxa"/>
          <w:end w:w="108" w:type="dxa"/>
        </w:tblCellMar>
      </w:tblPr>
      <w:tblGrid>
        <w:gridCol w:w="2268"/>
        <w:gridCol w:w="1180"/>
        <w:gridCol w:w="2471"/>
      </w:tblGrid>
      <w:tr>
        <w:trPr>
          <w:cantSplit/>
        </w:trPr>
        <w:tc>
          <w:tcPr>
            <w:tcW w:w="2268" w:type="dxa"/>
            <w:tcBorders/>
          </w:tcPr>
          <w:p>
            <w:pPr>
              <w:pStyle w:val="MainText"/>
              <w:ind w:hanging="0" w:end="0"/>
              <w:jc w:val="end"/>
              <w:rPr/>
            </w:pPr>
            <w:r>
              <w:rPr/>
              <w:t>Вид счета</w:t>
            </w:r>
          </w:p>
        </w:tc>
        <w:tc>
          <w:tcPr>
            <w:tcW w:w="11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47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2268" w:type="dxa"/>
            <w:tcBorders/>
          </w:tcPr>
          <w:p>
            <w:pPr>
              <w:pStyle w:val="MainText"/>
              <w:snapToGrid w:val="false"/>
              <w:ind w:hanging="0" w:end="0"/>
              <w:jc w:val="center"/>
              <w:rPr>
                <w:sz w:val="16"/>
              </w:rPr>
            </w:pPr>
            <w:r>
              <w:rPr>
                <w:rFonts w:cs="Arial"/>
                <w:sz w:val="16"/>
              </w:rPr>
            </w:r>
          </w:p>
        </w:tc>
        <w:tc>
          <w:tcPr>
            <w:tcW w:w="1180" w:type="dxa"/>
            <w:tcBorders/>
          </w:tcPr>
          <w:p>
            <w:pPr>
              <w:pStyle w:val="MainText"/>
              <w:ind w:hanging="0" w:end="0"/>
              <w:jc w:val="center"/>
              <w:rPr>
                <w:sz w:val="16"/>
              </w:rPr>
            </w:pPr>
            <w:r>
              <w:rPr>
                <w:sz w:val="16"/>
              </w:rPr>
              <w:t>обозначение</w:t>
            </w:r>
          </w:p>
        </w:tc>
        <w:tc>
          <w:tcPr>
            <w:tcW w:w="2471" w:type="dxa"/>
            <w:tcBorders/>
          </w:tcPr>
          <w:p>
            <w:pPr>
              <w:pStyle w:val="MainText"/>
              <w:ind w:hanging="0" w:end="0"/>
              <w:jc w:val="center"/>
              <w:rPr>
                <w:sz w:val="16"/>
              </w:rPr>
            </w:pPr>
            <w:r>
              <w:rPr>
                <w:sz w:val="16"/>
              </w:rPr>
              <w:t>признак отсутствия данных</w:t>
            </w:r>
          </w:p>
        </w:tc>
      </w:tr>
    </w:tbl>
    <w:p>
      <w:pPr>
        <w:pStyle w:val="MainTextBezOtstupa"/>
        <w:spacing w:before="120" w:after="60"/>
        <w:jc w:val="end"/>
        <w:rPr/>
      </w:pPr>
      <w:r>
        <w:rPr/>
        <w:t>в тысячах рублей</w:t>
      </w:r>
    </w:p>
    <w:tbl>
      <w:tblPr>
        <w:tblW w:w="10989" w:type="dxa"/>
        <w:jc w:val="center"/>
        <w:tblInd w:w="0" w:type="dxa"/>
        <w:tblLayout w:type="fixed"/>
        <w:tblCellMar>
          <w:top w:w="0" w:type="dxa"/>
          <w:start w:w="28" w:type="dxa"/>
          <w:bottom w:w="0" w:type="dxa"/>
          <w:end w:w="28" w:type="dxa"/>
        </w:tblCellMar>
      </w:tblPr>
      <w:tblGrid>
        <w:gridCol w:w="3663"/>
        <w:gridCol w:w="3663"/>
        <w:gridCol w:w="3663"/>
      </w:tblGrid>
      <w:tr>
        <w:trPr>
          <w:tblHeader w:val="true"/>
          <w:cantSplit/>
        </w:trPr>
        <w:tc>
          <w:tcPr>
            <w:tcW w:w="3663"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вида операции</w:t>
            </w:r>
          </w:p>
        </w:tc>
        <w:tc>
          <w:tcPr>
            <w:tcW w:w="7326"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Сумма операции</w:t>
            </w:r>
          </w:p>
        </w:tc>
      </w:tr>
      <w:tr>
        <w:trPr>
          <w:tblHeader w:val="true"/>
          <w:cantSplit/>
        </w:trPr>
        <w:tc>
          <w:tcPr>
            <w:tcW w:w="366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списание</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зачисление</w:t>
            </w:r>
          </w:p>
        </w:tc>
      </w:tr>
      <w:tr>
        <w:trPr>
          <w:tblHeader w:val="true"/>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36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r>
      <w:tr>
        <w:trPr>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начало отчетного периода</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36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Остатки на конец отчетного периода</w:t>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36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BezOtstupa"/>
        <w:spacing w:before="240" w:after="0"/>
        <w:jc w:val="center"/>
        <w:rPr/>
      </w:pPr>
      <w:r>
        <w:rPr/>
        <w:t xml:space="preserve">Раздел 3. Структура операций, осуществляемых по текущим, расчетным, корреспондентским счетам, </w:t>
        <w:br/>
        <w:t>счетам по вкладам (депозитам) нерезидентов в валюте Российской Федерации (по странам)</w:t>
      </w:r>
    </w:p>
    <w:p>
      <w:pPr>
        <w:pStyle w:val="MainTextBezOtstupa"/>
        <w:spacing w:before="120" w:after="60"/>
        <w:jc w:val="end"/>
        <w:rPr/>
      </w:pPr>
      <w:r>
        <w:rPr/>
        <w:t>в тысячах рублей</w:t>
      </w:r>
    </w:p>
    <w:tbl>
      <w:tblPr>
        <w:tblW w:w="10986" w:type="dxa"/>
        <w:jc w:val="center"/>
        <w:tblInd w:w="0" w:type="dxa"/>
        <w:tblLayout w:type="fixed"/>
        <w:tblCellMar>
          <w:top w:w="0" w:type="dxa"/>
          <w:start w:w="28" w:type="dxa"/>
          <w:bottom w:w="0" w:type="dxa"/>
          <w:end w:w="28" w:type="dxa"/>
        </w:tblCellMar>
      </w:tblPr>
      <w:tblGrid>
        <w:gridCol w:w="816"/>
        <w:gridCol w:w="2410"/>
        <w:gridCol w:w="1940"/>
        <w:gridCol w:w="1940"/>
        <w:gridCol w:w="1940"/>
        <w:gridCol w:w="1940"/>
      </w:tblGrid>
      <w:tr>
        <w:trPr>
          <w:tblHeader w:val="true"/>
          <w:cantSplit/>
        </w:trPr>
        <w:tc>
          <w:tcPr>
            <w:tcW w:w="816"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241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страны нерезидента —</w:t>
            </w:r>
          </w:p>
        </w:tc>
        <w:tc>
          <w:tcPr>
            <w:tcW w:w="194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страны</w:t>
            </w:r>
          </w:p>
        </w:tc>
        <w:tc>
          <w:tcPr>
            <w:tcW w:w="1940"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Код вида операции</w:t>
            </w:r>
          </w:p>
        </w:tc>
        <w:tc>
          <w:tcPr>
            <w:tcW w:w="3880"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Суммы операции</w:t>
            </w:r>
          </w:p>
        </w:tc>
      </w:tr>
      <w:tr>
        <w:trPr>
          <w:tblHeader w:val="true"/>
          <w:cantSplit/>
        </w:trPr>
        <w:tc>
          <w:tcPr>
            <w:tcW w:w="816"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w:t>
            </w:r>
          </w:p>
        </w:tc>
        <w:tc>
          <w:tcPr>
            <w:tcW w:w="2410"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владельца счета</w:t>
            </w:r>
          </w:p>
        </w:tc>
        <w:tc>
          <w:tcPr>
            <w:tcW w:w="194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94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списано</w:t>
            </w:r>
          </w:p>
        </w:tc>
        <w:tc>
          <w:tcPr>
            <w:tcW w:w="194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зачислено</w:t>
            </w:r>
          </w:p>
        </w:tc>
      </w:tr>
      <w:tr>
        <w:trPr>
          <w:tblHeader w:val="true"/>
          <w:cantSplit/>
        </w:trPr>
        <w:tc>
          <w:tcPr>
            <w:tcW w:w="8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4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94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94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94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94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24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Наименование страны</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24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24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241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Наименование страны</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24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24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0409664 “Отчет о валютных операциях, осуществляемых по банковским счетам, счетам по вкладам (депозитам) клиентов в уполномоченных банках”</w:t>
      </w:r>
    </w:p>
    <w:p>
      <w:pPr>
        <w:pStyle w:val="MainText"/>
        <w:rPr/>
      </w:pPr>
      <w:r>
        <w:rPr/>
        <w:t>1. Отчетность по форме 0409664 “Отчет о валютных операциях, осуществляемых по банковским счетам, счетам по вкладам (депозитам) клиентов в уполномоченных банках” (далее — Отчет) составляется в целях получения информации об операциях, осуществляемых клиентами по банковским счетам, счетам по вкладам (депозитам), открытым в уполномоченных банках, филиалах уполномоченных банков, которым в соответствии с положением о филиале делегировано право на осуществление валютных операций (далее — уполномоченный банк).</w:t>
      </w:r>
    </w:p>
    <w:p>
      <w:pPr>
        <w:pStyle w:val="MainText"/>
        <w:rPr/>
      </w:pPr>
      <w:r>
        <w:rPr/>
        <w:t>Отчет формируется на основании информации, содержащейся в базе данных по валютным операциям, ведущейся уполномоченным банком в электронном виде в соответствии с требованиями Инструкции Банка России от 15 июня 2004 года № 117-И “О порядке представления резидентами и нерезидентами уполномоченным банкам документов и информации при осуществлении валютных операций, порядке учета уполномоченными банками валютных операций и оформления паспортов сделок”, зарегистрированной Министерством юстиции Российской Федерации 17 июня 2004 года № 5859, 4 сентября 2006 года № 8209, 10 августа 2007 года № 9980, 27 августа 2008 года № 12192 (“Вестник Банка России” от 18 июня 2004 года № 36, от 13 сентября 2006 года № 51, от 15 августа 2007 года № 46, от 3 сентября 2008 года № 47) (далее — Инструкция Банка России № 117-И), данных аналитического бухгалтерского учета, иной имеющейся в распоряжении уполномоченного банка информации.</w:t>
      </w:r>
    </w:p>
    <w:p>
      <w:pPr>
        <w:pStyle w:val="MainText"/>
        <w:rPr/>
      </w:pPr>
      <w:r>
        <w:rPr/>
        <w:t>2. Отчет представляется уполномоченным банком ежемесячно не позднее 15-го рабочего дня месяца, следующего за отчетным, в виде электронного сообщения в форматах, установленных Департаментом финансового мониторинга и валютного контроля Банка России, в территориальное учреждение Банка России, осуществляющее надзор за деятельностью уполномоченного банка.</w:t>
      </w:r>
    </w:p>
    <w:p>
      <w:pPr>
        <w:pStyle w:val="MainText"/>
        <w:rPr/>
      </w:pPr>
      <w:r>
        <w:rPr/>
        <w:t>3. Представление уточненных данных, не связанное с представлением недостоверной отчетности вследствие нарушения установленного порядка ведения учета и (или) составления отчетности, за периоды, предшествующие отчетному, осуществляется уполномоченным банком на основании запросов Департамента финансового мониторинга и валютного контроля Банка России.</w:t>
      </w:r>
    </w:p>
    <w:p>
      <w:pPr>
        <w:pStyle w:val="MainText"/>
        <w:rPr/>
      </w:pPr>
      <w:r>
        <w:rPr/>
        <w:t>4. В случае отсутствия данных по всем разделам Отчета заполняется только поле “Признак отчета с нулевыми показателями”, в котором проставляется ноль.</w:t>
      </w:r>
    </w:p>
    <w:p>
      <w:pPr>
        <w:pStyle w:val="MainText"/>
        <w:rPr/>
      </w:pPr>
      <w:r>
        <w:rPr/>
        <w:t>В случае отсутствия данных по всем показателям отдельных разделов Отчета в поле “Признак отсутствия данных по Разделу __” соответствующего раздела проставляется ноль. В иных случаях поле “Признак отсутствия данных по Разделу __” не заполняется.</w:t>
      </w:r>
    </w:p>
    <w:p>
      <w:pPr>
        <w:pStyle w:val="MainText"/>
        <w:rPr/>
      </w:pPr>
      <w:r>
        <w:rPr/>
        <w:t>В случае отсутствия данных по виду счета раздела 2 в поле “Признак отсутствия данных” по соответствующему виду счета проставляется ноль. В иных случаях поле “Признак отсутствия данных” не заполняется.</w:t>
      </w:r>
    </w:p>
    <w:p>
      <w:pPr>
        <w:pStyle w:val="MainText"/>
        <w:rPr/>
      </w:pPr>
      <w:r>
        <w:rPr/>
        <w:t>В случае отсутствия данных по отдельным показателям разделов Отчета соответствующие строки (графы) формы отчетности не заполняются.</w:t>
      </w:r>
    </w:p>
    <w:p>
      <w:pPr>
        <w:pStyle w:val="MainText"/>
        <w:rPr/>
      </w:pPr>
      <w:r>
        <w:rPr/>
        <w:t>5. Отчет составляется по видам операций, перечень которых установлен приложением 2 к Инструкции Банка России № 117-И и странам места регистрации (гражданства — для физических лиц) нерезидентов — владельцев счетов.</w:t>
      </w:r>
    </w:p>
    <w:p>
      <w:pPr>
        <w:pStyle w:val="MainText"/>
        <w:rPr/>
      </w:pPr>
      <w:r>
        <w:rPr/>
        <w:t>Данные указываются в тысячах единиц соответствующей валюты, с тремя знаками после запятой.</w:t>
      </w:r>
    </w:p>
    <w:p>
      <w:pPr>
        <w:pStyle w:val="MainText"/>
        <w:rPr/>
      </w:pPr>
      <w:r>
        <w:rPr/>
        <w:t>Цифровые коды валют указываются в соответствии с Общероссийским классификатором валют (ОКВ) и Классификатором валют по межправительственным соглашениям, используемых в банковской системе Российской Федерации (Классификатор клиринговых валют), коды и наименования стран указываются в соответствии с Общероссийским классификатором стран мира (ОКСМ).</w:t>
      </w:r>
    </w:p>
    <w:p>
      <w:pPr>
        <w:pStyle w:val="MainText"/>
        <w:rPr/>
      </w:pPr>
      <w:r>
        <w:rPr/>
        <w:t>6. Отчет формируется с учетом следующего.</w:t>
      </w:r>
    </w:p>
    <w:p>
      <w:pPr>
        <w:pStyle w:val="MainText"/>
        <w:rPr/>
      </w:pPr>
      <w:r>
        <w:rPr/>
        <w:t>6.1. В разделе 1 указывается информация о движении средств по расчетным счетам в иностранной валюте резидентов — юридических лиц, индивидуальных предпринимателей, физических лиц, занимающихся в установленном законодательством Российской Федерации порядке частной практикой.</w:t>
      </w:r>
    </w:p>
    <w:p>
      <w:pPr>
        <w:pStyle w:val="MainText"/>
        <w:rPr/>
      </w:pPr>
      <w:r>
        <w:rPr/>
        <w:t>6.1.1. В графе 1 указываются коды видов операций в соответствии с приложением 2 к Инструкции Банка России № 117-И, проведенных в отчетном периоде по расчетным счетам резидентов в иностранной валюте.</w:t>
      </w:r>
    </w:p>
    <w:p>
      <w:pPr>
        <w:pStyle w:val="MainText"/>
        <w:rPr/>
      </w:pPr>
      <w:r>
        <w:rPr/>
        <w:t>Если на момент составления Отчета резидентом не представлена справка об идентификации по видам валютных операций средств в иностранной валюте, поступивших на банковский счет или списываемых с банковского счета резидента, открытого в уполномоченном банке (в случаях когда требование о представлении такой справки резидентом установлено Инструкцией Банка России № 117-И), в целях формирования Отчета указывается код “00000”. После идентификации резидентом поступлений иностранной валюты по видам операций исправленные Отчеты за предыдущие периоды представляются в соответствии с пунктом 3 настоящего Порядка.</w:t>
      </w:r>
    </w:p>
    <w:p>
      <w:pPr>
        <w:pStyle w:val="MainText"/>
        <w:rPr/>
      </w:pPr>
      <w:r>
        <w:rPr/>
        <w:t>В Отчете отражается информация о всех операциях, осуществленных за отчетный период по расчетным счетам резидентов в иностранной валюте, включенным в Отчет, по кодам видов операций, указанным в приложении 2 к Инструкции Банка России № 117-И.</w:t>
      </w:r>
    </w:p>
    <w:p>
      <w:pPr>
        <w:pStyle w:val="MainText"/>
        <w:rPr/>
      </w:pPr>
      <w:r>
        <w:rPr/>
        <w:t>6.1.2. По каждому виду операции, код которой указан в графе 1 раздела 1, по видам иностранной валюты указывается сумма операций по расчетным счетам резидентов в иностранной валюте в течение отчетного периода.</w:t>
      </w:r>
    </w:p>
    <w:p>
      <w:pPr>
        <w:pStyle w:val="MainText"/>
        <w:rPr/>
      </w:pPr>
      <w:r>
        <w:rPr/>
        <w:t>6.1.3. По строке “Всего” указывается общая сумма средств по видам иностранной валюты, списанных с расчетных счетов резидентов в иностранной валюте (зачисленных на расчетные счета резидентов в иностранной валюте) за отчетный период.</w:t>
      </w:r>
    </w:p>
    <w:p>
      <w:pPr>
        <w:pStyle w:val="MainText"/>
        <w:rPr/>
      </w:pPr>
      <w:r>
        <w:rPr/>
        <w:t>6.1.4. По строкам “Остатки на начало отчетного периода” и “Остатки на конец отчетного периода” указываются суммарные кредитовые остатки по видам иностранной валюты по расчетным счетам резидентов в иностранной валюте на начало и конец отчетного периода.</w:t>
      </w:r>
    </w:p>
    <w:p>
      <w:pPr>
        <w:pStyle w:val="MainText"/>
        <w:rPr/>
      </w:pPr>
      <w:r>
        <w:rPr/>
        <w:t>6.2. В разделе 2 указывается информация о движении средств по текущим счетам, расчетным счетам, корреспондентским счетам, счетам по вкладам (депозитам) нерезидентов в валюте Российской Федерации.</w:t>
      </w:r>
    </w:p>
    <w:p>
      <w:pPr>
        <w:pStyle w:val="MainText"/>
        <w:rPr/>
      </w:pPr>
      <w:r>
        <w:rPr/>
        <w:t>6.2.1. В поле “Вид счета” указывается следующее обозначение счета, а также, в случае необходимости, признак отсутствия данных по соответствующему виду счета для нижеперечисленных счетов нерезидентов в валюте Российской Федерации:</w:t>
      </w:r>
    </w:p>
    <w:p>
      <w:pPr>
        <w:pStyle w:val="MainText"/>
        <w:rPr/>
      </w:pPr>
      <w:r>
        <w:rPr/>
        <w:t>БН — корреспондентские счета, счета по депозитам иностранных банков в валюте Российской Федерации,</w:t>
      </w:r>
    </w:p>
    <w:p>
      <w:pPr>
        <w:pStyle w:val="MainText"/>
        <w:rPr/>
      </w:pPr>
      <w:r>
        <w:rPr/>
        <w:t>ЮФ — текущие счета, расчетные счета, счета по вкладам (депозитам) нерезидентов — юридических и физических лиц в валюте Российской Федерации (за исключением счетов по депозитам иностранных банков).</w:t>
      </w:r>
    </w:p>
    <w:p>
      <w:pPr>
        <w:pStyle w:val="MainText"/>
        <w:rPr/>
      </w:pPr>
      <w:r>
        <w:rPr/>
        <w:t>6.2.2. В графе 1 указываются коды видов операций в соответствии с приложением 2 к Инструкции Банка России № 117-И, проведенных по соответствующим текущим счетам, расчетным счетам, корреспондентским счетам, счетам по вкладам (депозитам) в отчетном периоде.</w:t>
      </w:r>
    </w:p>
    <w:p>
      <w:pPr>
        <w:pStyle w:val="MainText"/>
        <w:rPr/>
      </w:pPr>
      <w:r>
        <w:rPr/>
        <w:t>Если при осуществлении операции по счетам нерезидентов в валюте Российской Федерации в расчетном документе в соответствии с Инструкцией Банка России № 117-И код вида операции не указан либо в поступившем из другого банка расчетном документе отсутствует код вида операции или написание кода не соответствует перечню, установленному приложением 2 к Инструкции Банка России № 117-И, а также если уполномоченным банком выявлены несоответствия кода вида операции информации о назначении платежа, указанной в расчетном документе, в целях формирования Отчета уполномоченный банк вправе указать код “00000” либо, при наличии у него дополнительной информации, код вида операции в соответствии с вышеуказанным перечнем.</w:t>
      </w:r>
    </w:p>
    <w:p>
      <w:pPr>
        <w:pStyle w:val="MainText"/>
        <w:rPr/>
      </w:pPr>
      <w:r>
        <w:rPr/>
        <w:t>В Отчете отражается информация о всех операциях, осуществленных за отчетный период по каждому виду текущего счета, расчетного счета, корреспондентского счета, счета по вкладу (депозиту) нерезидента в валюте Российской Федерации, включенному в Отчет, по кодам видов операций, указанным в приложении 2 к Инструкции Банка России № 117-И.</w:t>
      </w:r>
    </w:p>
    <w:p>
      <w:pPr>
        <w:pStyle w:val="MainText"/>
        <w:rPr/>
      </w:pPr>
      <w:r>
        <w:rPr/>
        <w:t>6.2.3. По каждому виду операции, код которой указан в графе 1 раздела 2 Отчета, указывается сумма операций по текущим счетам, расчетным счетам, корреспондентским счетам, счетам по вкладам (депозитам) нерезидентов в валюте Российской Федерации в течение отчетного периода.</w:t>
      </w:r>
    </w:p>
    <w:p>
      <w:pPr>
        <w:pStyle w:val="MainText"/>
        <w:rPr/>
      </w:pPr>
      <w:r>
        <w:rPr/>
        <w:t>6.2.4. По строке “Всего” указывается общая сумма средств, списанных с текущих счетов, расчетных счетов, корреспондентских счетов, счетов по вкладам (депозитам) (сумма средств, зачисленных на расчетные счета, корреспондентские счета, счета по вкладам (депозитам) за отчетный период.</w:t>
      </w:r>
    </w:p>
    <w:p>
      <w:pPr>
        <w:pStyle w:val="MainText"/>
        <w:rPr/>
      </w:pPr>
      <w:r>
        <w:rPr/>
        <w:t>6.2.5. По строкам “Остатки на начало отчетного периода” и “Остатки на конец отчетного периода” указываются суммарные кредитовые остатки по текущим счетам, расчетным счетам, корреспондентским счетам, счетам по вкладам (депозитам) на начало и конец отчетного периода.</w:t>
      </w:r>
    </w:p>
    <w:p>
      <w:pPr>
        <w:pStyle w:val="MainText"/>
        <w:rPr/>
      </w:pPr>
      <w:r>
        <w:rPr/>
        <w:t>6.3. В разделе 3 указываются данные о структуре операций, осуществляемых по текущим счетам, расчетным счетам, корреспондентским счетам, счетам по вкладам (депозитам) нерезидентов в валюте Российской Федерации, в разрезе стран места регистрации (гражданства — для физических лиц) нерезидентов — владельцев счетов.</w:t>
      </w:r>
    </w:p>
    <w:p>
      <w:pPr>
        <w:pStyle w:val="MainText"/>
        <w:rPr/>
      </w:pPr>
      <w:r>
        <w:rPr/>
        <w:t>В графе 2 раздела 3 для представительств и филиалов иностранных компаний, расположенных на территории Российской Федерации, указывается код страны регистрации иностранной компании.</w:t>
      </w:r>
    </w:p>
    <w:p>
      <w:pPr>
        <w:pStyle w:val="MainText"/>
        <w:rPr/>
      </w:pPr>
      <w:r>
        <w:rPr/>
        <w:t>Если страна регистрации иностранной компании не известна, указывается код “997”. Если в качестве нерезидента выступает международная организация или международный институт, указывается код “998”. Для лиц без гражданства указывается код “999”. При этом в указанных случаях в графе 3 раздела 3 проставляется прочерк.</w:t>
      </w:r>
    </w:p>
    <w:p>
      <w:pPr>
        <w:pStyle w:val="MainText"/>
        <w:rPr/>
      </w:pPr>
      <w:r>
        <w:rPr/>
        <w:t>7. Порядок представления Отчета уполномоченными банками — крупными кредитными организациями с широкой сетью подразделений:</w:t>
      </w:r>
    </w:p>
    <w:p>
      <w:pPr>
        <w:pStyle w:val="MainText"/>
        <w:rPr/>
      </w:pPr>
      <w:r>
        <w:rPr/>
        <w:t>территориальные банки крупных кредитных организаций с широкой сетью подразделений представляют Отчет в территориальное учреждение Банка России, осуществляющее надзор за их деятельностью, за подчиненные филиалы (отделения), расположенные на одной с ними территории субъекта Российской Федерации;</w:t>
      </w:r>
    </w:p>
    <w:p>
      <w:pPr>
        <w:pStyle w:val="MainText"/>
        <w:rPr/>
      </w:pPr>
      <w:r>
        <w:rPr/>
        <w:t>подчиненные территориальным банкам филиалы (отделения) крупных кредитных организаций с широкой сетью подразделений, находящиеся на территории другого субъекта Российской Федерации, представляют Отчет непосредственно в территориальные учреждения по месту своего нахождения.</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ОТЧЕТ О ВАЛЮТНЫХ ОПЕРАЦИЯХ, ОСУЩЕСТВЛЯЕМЫХ C ОФОРМЛЕНИЕМ ПАСПОРТА СДЕЛКИ</w:t>
        <w:br/>
        <w:t xml:space="preserve">за </w:t>
      </w:r>
      <w:r>
        <w:rPr/>
        <w:t>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уполномоченного банка (наименование его филиала)</w:t>
        <w:tab/>
      </w:r>
    </w:p>
    <w:p>
      <w:pPr>
        <w:pStyle w:val="MainTextLine155"/>
        <w:tabs>
          <w:tab w:val="clear" w:pos="8787"/>
          <w:tab w:val="right" w:pos="9978" w:leader="underscore"/>
        </w:tabs>
        <w:rPr/>
      </w:pPr>
      <w:r>
        <w:rPr/>
        <w:t>Почтовый адрес</w:t>
        <w:tab/>
      </w:r>
    </w:p>
    <w:p>
      <w:pPr>
        <w:pStyle w:val="MainTextBezOtstupa"/>
        <w:keepNext w:val="true"/>
        <w:keepLines/>
        <w:spacing w:before="120" w:after="120"/>
        <w:jc w:val="end"/>
        <w:rPr/>
      </w:pPr>
      <w:r>
        <w:rPr/>
        <w:t>Код формы по ОКУД 0409665</w:t>
        <w:br/>
        <w:t>Месячная</w:t>
      </w:r>
    </w:p>
    <w:tbl>
      <w:tblPr>
        <w:tblW w:w="5918" w:type="dxa"/>
        <w:jc w:val="end"/>
        <w:tblInd w:w="0" w:type="dxa"/>
        <w:tblLayout w:type="fixed"/>
        <w:tblCellMar>
          <w:top w:w="0" w:type="dxa"/>
          <w:start w:w="107" w:type="dxa"/>
          <w:bottom w:w="0" w:type="dxa"/>
          <w:end w:w="107" w:type="dxa"/>
        </w:tblCellMar>
      </w:tblPr>
      <w:tblGrid>
        <w:gridCol w:w="4076"/>
        <w:gridCol w:w="1842"/>
      </w:tblGrid>
      <w:tr>
        <w:trPr>
          <w:cantSplit/>
        </w:trPr>
        <w:tc>
          <w:tcPr>
            <w:tcW w:w="4076" w:type="dxa"/>
            <w:tcBorders/>
          </w:tcPr>
          <w:p>
            <w:pPr>
              <w:pStyle w:val="Normal"/>
              <w:jc w:val="end"/>
              <w:rPr>
                <w:rFonts w:ascii="Arial" w:hAnsi="Arial" w:cs="Arial"/>
              </w:rPr>
            </w:pPr>
            <w:r>
              <w:rPr>
                <w:rFonts w:cs="Arial" w:ascii="Arial" w:hAnsi="Arial"/>
              </w:rPr>
              <w:t>Признак отчета с нулевыми показателями</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GlavaCenter"/>
        <w:keepNext w:val="false"/>
        <w:rPr>
          <w:b w:val="false"/>
        </w:rPr>
      </w:pPr>
      <w:r>
        <w:rPr/>
        <w:t>Раздел 1. Сведения об операциях по договорам, предусматривающим предоставление кредитов (займов) нерезидентами резидентам и погашение резидентами кредитов (займов), полученных от нерезидентов</w:t>
      </w:r>
    </w:p>
    <w:tbl>
      <w:tblPr>
        <w:tblW w:w="5918" w:type="dxa"/>
        <w:jc w:val="end"/>
        <w:tblInd w:w="0" w:type="dxa"/>
        <w:tblLayout w:type="fixed"/>
        <w:tblCellMar>
          <w:top w:w="0" w:type="dxa"/>
          <w:start w:w="107" w:type="dxa"/>
          <w:bottom w:w="0" w:type="dxa"/>
          <w:end w:w="107" w:type="dxa"/>
        </w:tblCellMar>
      </w:tblPr>
      <w:tblGrid>
        <w:gridCol w:w="4076"/>
        <w:gridCol w:w="1842"/>
      </w:tblGrid>
      <w:tr>
        <w:trPr>
          <w:cantSplit/>
        </w:trPr>
        <w:tc>
          <w:tcPr>
            <w:tcW w:w="4076" w:type="dxa"/>
            <w:tcBorders/>
          </w:tcPr>
          <w:p>
            <w:pPr>
              <w:pStyle w:val="Normal"/>
              <w:jc w:val="end"/>
              <w:rPr>
                <w:rFonts w:ascii="Arial" w:hAnsi="Arial" w:cs="Arial"/>
              </w:rPr>
            </w:pPr>
            <w:r>
              <w:rPr>
                <w:rFonts w:cs="Arial" w:ascii="Arial" w:hAnsi="Arial"/>
              </w:rPr>
              <w:t>Признак отсутствия данных по разделу 1</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BezOtstupa"/>
        <w:spacing w:before="120" w:after="60"/>
        <w:jc w:val="end"/>
        <w:rPr/>
      </w:pPr>
      <w:r>
        <w:rPr/>
        <w:t>в тысячах единиц валюты</w:t>
      </w:r>
    </w:p>
    <w:tbl>
      <w:tblPr>
        <w:tblW w:w="10989" w:type="dxa"/>
        <w:jc w:val="center"/>
        <w:tblInd w:w="0" w:type="dxa"/>
        <w:tblLayout w:type="fixed"/>
        <w:tblCellMar>
          <w:top w:w="0" w:type="dxa"/>
          <w:start w:w="28" w:type="dxa"/>
          <w:bottom w:w="0" w:type="dxa"/>
          <w:end w:w="28" w:type="dxa"/>
        </w:tblCellMar>
      </w:tblPr>
      <w:tblGrid>
        <w:gridCol w:w="675"/>
        <w:gridCol w:w="7514"/>
        <w:gridCol w:w="700"/>
        <w:gridCol w:w="700"/>
        <w:gridCol w:w="1009"/>
        <w:gridCol w:w="391"/>
      </w:tblGrid>
      <w:tr>
        <w:trPr>
          <w:tblHeader w:val="true"/>
          <w:cantSplit/>
        </w:trPr>
        <w:tc>
          <w:tcPr>
            <w:tcW w:w="675"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Номер</w:t>
            </w:r>
          </w:p>
        </w:tc>
        <w:tc>
          <w:tcPr>
            <w:tcW w:w="7514" w:type="dxa"/>
            <w:tcBorders>
              <w:top w:val="single" w:sz="6" w:space="0" w:color="000000"/>
              <w:start w:val="single" w:sz="6" w:space="0" w:color="000000"/>
              <w:end w:val="single" w:sz="6" w:space="0" w:color="000000"/>
            </w:tcBorders>
          </w:tcPr>
          <w:p>
            <w:pPr>
              <w:pStyle w:val="MainText"/>
              <w:keepNext w:val="true"/>
              <w:ind w:hanging="0" w:end="0"/>
              <w:jc w:val="center"/>
              <w:rPr>
                <w:sz w:val="16"/>
              </w:rPr>
            </w:pPr>
            <w:r>
              <w:rPr>
                <w:sz w:val="16"/>
              </w:rPr>
              <w:t>Наименование показателя</w:t>
            </w:r>
          </w:p>
        </w:tc>
        <w:tc>
          <w:tcPr>
            <w:tcW w:w="2800"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Суммы операций</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строки</w:t>
            </w:r>
          </w:p>
        </w:tc>
        <w:tc>
          <w:tcPr>
            <w:tcW w:w="751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доллар США</w:t>
            </w:r>
          </w:p>
        </w:tc>
        <w:tc>
          <w:tcPr>
            <w:tcW w:w="7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евро</w:t>
            </w:r>
          </w:p>
        </w:tc>
        <w:tc>
          <w:tcPr>
            <w:tcW w:w="10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российский рубль</w:t>
            </w:r>
          </w:p>
        </w:tc>
        <w:tc>
          <w:tcPr>
            <w:tcW w:w="39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6"/>
              </w:rPr>
            </w:pPr>
            <w:r>
              <w:rPr>
                <w:rFonts w:cs="Arial"/>
                <w:sz w:val="16"/>
              </w:rPr>
            </w:r>
          </w:p>
        </w:tc>
        <w:tc>
          <w:tcPr>
            <w:tcW w:w="75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sz w:val="16"/>
              </w:rPr>
            </w:pPr>
            <w:r>
              <w:rPr>
                <w:sz w:val="16"/>
              </w:rPr>
              <w:t>Код валюты кредитного договора</w:t>
            </w:r>
          </w:p>
        </w:tc>
        <w:tc>
          <w:tcPr>
            <w:tcW w:w="7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840</w:t>
            </w:r>
          </w:p>
        </w:tc>
        <w:tc>
          <w:tcPr>
            <w:tcW w:w="7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978</w:t>
            </w:r>
          </w:p>
        </w:tc>
        <w:tc>
          <w:tcPr>
            <w:tcW w:w="10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643</w:t>
            </w:r>
          </w:p>
        </w:tc>
        <w:tc>
          <w:tcPr>
            <w:tcW w:w="39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751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7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7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00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39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резидентов по основному долгу на начало отчетного периода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Начальная задолженность резидентов по основному долгу по ПС, оформленным в отчетном периоде</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счета резидентов в банках ПС в счет получения кредитов (займов) от нерезидентов</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Зачислено на счета резидентов за рубежом в счет получения кредитов (займов) от нерезидентов</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Платежи резидентов в пользу нерезидентов в счет исполнения обязательств по кредитным договорам (договорам займа) со счетов в банках ПС, всего, </w:t>
              <w:br/>
              <w:t>в том числе:</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основного долга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5.2</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просроченной задолженности по основному долгу</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5.3</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выплата процентов</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5.4</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просроченной задолженности по процентам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5.5</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платежи</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5.6</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резидентами нерезидентам ошибочно зачисленных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Платежи резидентов в пользу нерезидентов в счет исполнения обязательств по кредитным договорам (договорам займа) со счетов резидентов за рубежом, всего, </w:t>
              <w:br/>
              <w:t>в том числе:</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основного долга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6.2</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просроченной задолженности по основному долгу</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6.3</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выплата процентов</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6.4</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просроченной задолженности по процентам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6.5</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платежи</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6.6</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резидентами нерезидентам ошибочно зачисленных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Уменьшение (списание) задолженности резидентов перед нерезидентами по основному долгу в связи с исполнением обязательств иным способом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Увеличение задолженности резидентов перед нерезидентами по основному долгу в случаях, установленных условиями кредитного договора (договора займа)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резидентов по основному долгу на конец отчетного периода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9.1</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задолженность резидентов по основному долгу по ПС, закрытым в отчетном периоде</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нерезидентами резидентам на счета в банках ПС ошибочно списанных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51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нерезидентами резидентам на счета за рубежом ошибочно списанных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0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bl>
    <w:p>
      <w:pPr>
        <w:pStyle w:val="MGlavaCenter"/>
        <w:keepNext w:val="false"/>
        <w:spacing w:before="240" w:after="120"/>
        <w:rPr>
          <w:b w:val="false"/>
        </w:rPr>
      </w:pPr>
      <w:r>
        <w:br w:type="page"/>
      </w:r>
      <w:r>
        <w:rPr/>
        <w:t>Раздел 2. Сведения об операциях по договорам, предусматривающим предоставление займов резидентами нерезидентам и погашение нерезидентами займов, полученных от резидентов</w:t>
      </w:r>
    </w:p>
    <w:tbl>
      <w:tblPr>
        <w:tblW w:w="5918" w:type="dxa"/>
        <w:jc w:val="end"/>
        <w:tblInd w:w="0" w:type="dxa"/>
        <w:tblLayout w:type="fixed"/>
        <w:tblCellMar>
          <w:top w:w="0" w:type="dxa"/>
          <w:start w:w="107" w:type="dxa"/>
          <w:bottom w:w="0" w:type="dxa"/>
          <w:end w:w="107" w:type="dxa"/>
        </w:tblCellMar>
      </w:tblPr>
      <w:tblGrid>
        <w:gridCol w:w="4076"/>
        <w:gridCol w:w="1842"/>
      </w:tblGrid>
      <w:tr>
        <w:trPr>
          <w:cantSplit/>
        </w:trPr>
        <w:tc>
          <w:tcPr>
            <w:tcW w:w="4076" w:type="dxa"/>
            <w:tcBorders/>
          </w:tcPr>
          <w:p>
            <w:pPr>
              <w:pStyle w:val="Normal"/>
              <w:jc w:val="end"/>
              <w:rPr>
                <w:rFonts w:ascii="Arial" w:hAnsi="Arial" w:cs="Arial"/>
              </w:rPr>
            </w:pPr>
            <w:r>
              <w:rPr>
                <w:rFonts w:cs="Arial" w:ascii="Arial" w:hAnsi="Arial"/>
              </w:rPr>
              <w:t>Признак отсутствия данных по разделу 2</w:t>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jc w:val="end"/>
              <w:rPr>
                <w:rFonts w:ascii="Arial" w:hAnsi="Arial" w:cs="Arial"/>
              </w:rPr>
            </w:pPr>
            <w:r>
              <w:rPr>
                <w:rFonts w:cs="Arial" w:ascii="Arial" w:hAnsi="Arial"/>
              </w:rPr>
            </w:r>
          </w:p>
        </w:tc>
      </w:tr>
    </w:tbl>
    <w:p>
      <w:pPr>
        <w:pStyle w:val="MainTextBezOtstupa"/>
        <w:spacing w:before="120" w:after="60"/>
        <w:jc w:val="end"/>
        <w:rPr/>
      </w:pPr>
      <w:r>
        <w:rPr/>
        <w:t>в тысячах единиц валюты</w:t>
      </w:r>
    </w:p>
    <w:tbl>
      <w:tblPr>
        <w:tblW w:w="10986" w:type="dxa"/>
        <w:jc w:val="center"/>
        <w:tblInd w:w="0" w:type="dxa"/>
        <w:tblLayout w:type="fixed"/>
        <w:tblCellMar>
          <w:top w:w="0" w:type="dxa"/>
          <w:start w:w="28" w:type="dxa"/>
          <w:bottom w:w="0" w:type="dxa"/>
          <w:end w:w="28" w:type="dxa"/>
        </w:tblCellMar>
      </w:tblPr>
      <w:tblGrid>
        <w:gridCol w:w="674"/>
        <w:gridCol w:w="7512"/>
        <w:gridCol w:w="700"/>
        <w:gridCol w:w="700"/>
        <w:gridCol w:w="1011"/>
        <w:gridCol w:w="389"/>
      </w:tblGrid>
      <w:tr>
        <w:trPr>
          <w:tblHeader w:val="true"/>
          <w:cantSplit/>
        </w:trPr>
        <w:tc>
          <w:tcPr>
            <w:tcW w:w="674"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751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280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Суммы операций</w:t>
            </w:r>
          </w:p>
        </w:tc>
      </w:tr>
      <w:tr>
        <w:trPr>
          <w:tblHeader w:val="true"/>
          <w:cantSplit/>
        </w:trPr>
        <w:tc>
          <w:tcPr>
            <w:tcW w:w="674"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7512"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доллар США</w:t>
            </w:r>
          </w:p>
        </w:tc>
        <w:tc>
          <w:tcPr>
            <w:tcW w:w="7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евро</w:t>
            </w:r>
          </w:p>
        </w:tc>
        <w:tc>
          <w:tcPr>
            <w:tcW w:w="10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российский рубль</w:t>
            </w:r>
          </w:p>
        </w:tc>
        <w:tc>
          <w:tcPr>
            <w:tcW w:w="38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tblHeader w:val="true"/>
          <w:cantSplit/>
        </w:trPr>
        <w:tc>
          <w:tcPr>
            <w:tcW w:w="6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Код валюты кредитного договора</w:t>
            </w:r>
          </w:p>
        </w:tc>
        <w:tc>
          <w:tcPr>
            <w:tcW w:w="7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840</w:t>
            </w:r>
          </w:p>
        </w:tc>
        <w:tc>
          <w:tcPr>
            <w:tcW w:w="7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978</w:t>
            </w:r>
          </w:p>
        </w:tc>
        <w:tc>
          <w:tcPr>
            <w:tcW w:w="10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643</w:t>
            </w:r>
          </w:p>
        </w:tc>
        <w:tc>
          <w:tcPr>
            <w:tcW w:w="38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tblHeader w:val="true"/>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0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38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нерезидентов по основному долгу на начало отчетного периода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Начальная задолженность нерезидентов по основному долгу по ПС, оформленным в отчетном периоде</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Переведено резидентами в пользу нерезидентов со счетов в банках ПС по договорам займа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Переведено резидентами в пользу нерезидентов со счетов за рубежом по договорам займа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Платежи нерезидентов, поступившие на счета резидентов в банках ПС в счет исполнения обязательств по договорам займа, всего, </w:t>
              <w:br/>
              <w:t>в том числе:</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основного долга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5.2</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просроченной задолженности по основному долгу</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5.3</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выплата процентов</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5.4</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погашение просроченной задолженности по процентам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5.5</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иные платежи нерезидентов</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5.6</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нерезидентами резидентам ошибочно списанных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Уменьшение (списание) задолженности нерезидентов перед резидентами по основному долгу в связи с исполнением обязательств иным способом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Увеличение задолженности нерезидентов перед резидентами по основному долгу в случаях, установленных условиями договора займа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Задолженность нерезидентов по основному долгу на конец отчетного периода</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8.1</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задолженность нерезидентов по основному долгу по ПС, закрытым в отчетном периоде</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резидентами нерезидентам со счетов в банках ПС ошибочно зачисленных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резидентами нерезидентам со счетов за рубежом ошибочно зачисленных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51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нерезидентами резидентам на счета за рубежом ошибочно списанных сумм</w:t>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01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38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bl>
    <w:p>
      <w:pPr>
        <w:pStyle w:val="MGlavaCenter"/>
        <w:keepNext w:val="false"/>
        <w:spacing w:before="240" w:after="120"/>
        <w:rPr>
          <w:b w:val="false"/>
        </w:rPr>
      </w:pPr>
      <w:r>
        <w:br w:type="page"/>
      </w:r>
      <w:r>
        <w:rPr/>
        <w:t>Раздел 3. Сводная информация об операциях по паспортам сделок</w:t>
      </w:r>
    </w:p>
    <w:tbl>
      <w:tblPr>
        <w:tblW w:w="10986" w:type="dxa"/>
        <w:jc w:val="center"/>
        <w:tblInd w:w="0" w:type="dxa"/>
        <w:tblLayout w:type="fixed"/>
        <w:tblCellMar>
          <w:top w:w="0" w:type="dxa"/>
          <w:start w:w="28" w:type="dxa"/>
          <w:bottom w:w="0" w:type="dxa"/>
          <w:end w:w="28" w:type="dxa"/>
        </w:tblCellMar>
      </w:tblPr>
      <w:tblGrid>
        <w:gridCol w:w="675"/>
        <w:gridCol w:w="7511"/>
        <w:gridCol w:w="400"/>
        <w:gridCol w:w="400"/>
        <w:gridCol w:w="400"/>
        <w:gridCol w:w="400"/>
        <w:gridCol w:w="400"/>
        <w:gridCol w:w="400"/>
        <w:gridCol w:w="400"/>
      </w:tblGrid>
      <w:tr>
        <w:trPr>
          <w:tblHeader w:val="true"/>
          <w:cantSplit/>
        </w:trPr>
        <w:tc>
          <w:tcPr>
            <w:tcW w:w="67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 строки</w:t>
            </w:r>
          </w:p>
        </w:tc>
        <w:tc>
          <w:tcPr>
            <w:tcW w:w="751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2800"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Код вида контракта (кредитного договора)</w:t>
            </w:r>
          </w:p>
        </w:tc>
      </w:tr>
      <w:tr>
        <w:trPr>
          <w:tblHeader w:val="true"/>
          <w:cantSplit/>
        </w:trPr>
        <w:tc>
          <w:tcPr>
            <w:tcW w:w="67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751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r>
      <w:tr>
        <w:trPr>
          <w:cantSplit/>
        </w:trPr>
        <w:tc>
          <w:tcPr>
            <w:tcW w:w="10986" w:type="dxa"/>
            <w:gridSpan w:val="9"/>
            <w:tcBorders>
              <w:top w:val="single" w:sz="6" w:space="0" w:color="000000"/>
              <w:start w:val="single" w:sz="6" w:space="0" w:color="000000"/>
              <w:end w:val="single" w:sz="6" w:space="0" w:color="000000"/>
            </w:tcBorders>
          </w:tcPr>
          <w:p>
            <w:pPr>
              <w:pStyle w:val="MainText"/>
              <w:spacing w:before="120" w:after="0"/>
              <w:ind w:hanging="0" w:end="0"/>
              <w:jc w:val="center"/>
              <w:rPr/>
            </w:pPr>
            <w:r>
              <w:rPr/>
              <w:t>3.1. Операции по внешнеторговым контрактам</w:t>
            </w:r>
          </w:p>
        </w:tc>
      </w:tr>
      <w:tr>
        <w:trPr>
          <w:cantSplit/>
        </w:trPr>
        <w:tc>
          <w:tcPr>
            <w:tcW w:w="10986" w:type="dxa"/>
            <w:gridSpan w:val="9"/>
            <w:tcBorders>
              <w:start w:val="single" w:sz="6" w:space="0" w:color="000000"/>
              <w:bottom w:val="single" w:sz="6" w:space="0" w:color="000000"/>
              <w:end w:val="single" w:sz="6" w:space="0" w:color="000000"/>
            </w:tcBorders>
          </w:tcPr>
          <w:p>
            <w:pPr>
              <w:pStyle w:val="MainText"/>
              <w:spacing w:before="0" w:after="60"/>
              <w:ind w:hanging="0" w:end="0"/>
              <w:jc w:val="end"/>
              <w:rPr/>
            </w:pPr>
            <w:r>
              <w:rPr/>
              <w:t>в тысячах единиц валюты</w:t>
            </w:r>
          </w:p>
        </w:tc>
      </w:tr>
      <w:tr>
        <w:trPr>
          <w:cantSplit/>
        </w:trPr>
        <w:tc>
          <w:tcPr>
            <w:tcW w:w="10186"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Признак отсутствия данных по подразделу 3.1:</w:t>
            </w:r>
          </w:p>
        </w:tc>
        <w:tc>
          <w:tcPr>
            <w:tcW w:w="800"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186" w:type="dxa"/>
            <w:gridSpan w:val="7"/>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Код валюты:</w:t>
            </w:r>
          </w:p>
        </w:tc>
        <w:tc>
          <w:tcPr>
            <w:tcW w:w="800"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6"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Вывоз резидентами товаров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Платежи, поступившие на счета 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платежей и иные переводы резидентов в пользу нерезидентов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Фактурная стоимость вывезенных товаров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6"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Ввоз резидентами товаров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Переводы, осуществленные со счетов резидентов в пользу нерезидентов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платежей и иные переводы, поступившие на счета 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Фактурная стоимость ввезенных товаров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6"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Оказание резидентами нерезидентам услуг (выполнение работ, передача информации и результатов интеллектуальной деятельности, в том числе исключительных прав на них)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Платежи, поступившие на счета 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платежей и иные переводы резидентов в пользу нерезидентов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Стоимость оказанных (переданных) резидентами нерезидентам услуг (работ, информации и результатов интеллектуальной деятельности, в том числе исключительных прав на них)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6"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Получение резидентами от нерезидентов услуг (работ, информации и результатов интеллектуальной деятельности, в том числе исключительных прав на них)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Переводы, осуществленные со счетов резидентов в пользу нерезидентов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Возврат платежей и иные переводы, поступившие на счета резидентов</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Стоимость полученных резидентами от нерезидентов услуг (работ, информации и результатов интеллектуальной деятельности, в том числе исключительных прав на них)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6" w:type="dxa"/>
            <w:gridSpan w:val="9"/>
            <w:tcBorders>
              <w:top w:val="single" w:sz="6" w:space="0" w:color="000000"/>
              <w:start w:val="single" w:sz="6" w:space="0" w:color="000000"/>
              <w:end w:val="single" w:sz="6" w:space="0" w:color="000000"/>
            </w:tcBorders>
          </w:tcPr>
          <w:p>
            <w:pPr>
              <w:pStyle w:val="MainText"/>
              <w:spacing w:before="120" w:after="0"/>
              <w:ind w:hanging="0" w:end="0"/>
              <w:jc w:val="center"/>
              <w:rPr/>
            </w:pPr>
            <w:r>
              <w:rPr/>
              <w:t>3.2. Количество паспортов сделок и Ведомостей банковского контроля</w:t>
            </w:r>
          </w:p>
        </w:tc>
      </w:tr>
      <w:tr>
        <w:trPr>
          <w:cantSplit/>
        </w:trPr>
        <w:tc>
          <w:tcPr>
            <w:tcW w:w="10986" w:type="dxa"/>
            <w:gridSpan w:val="9"/>
            <w:tcBorders>
              <w:start w:val="single" w:sz="6" w:space="0" w:color="000000"/>
              <w:bottom w:val="single" w:sz="6" w:space="0" w:color="000000"/>
              <w:end w:val="single" w:sz="6" w:space="0" w:color="000000"/>
            </w:tcBorders>
          </w:tcPr>
          <w:p>
            <w:pPr>
              <w:pStyle w:val="MainText"/>
              <w:spacing w:before="0" w:after="60"/>
              <w:ind w:hanging="0" w:end="0"/>
              <w:jc w:val="end"/>
              <w:rPr/>
            </w:pPr>
            <w:r>
              <w:rPr/>
              <w:t>единиц</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Количество ПС на начало отчетного периода</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Количество ПС, оформленных в отчетном периоде</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Количество ПС, закрытых в отчетном периоде</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Количество ПС на конец отчетного периода, всего</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16.1</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 них, количество ПС, переоформленных в отчетном периоде</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75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Количество Ведомостей банковского контроля, направленных в Банк России за отчетный период</w:t>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4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Ответственное лицо банка ПС</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color w:val="000000"/>
        </w:rPr>
        <w:t>Порядок составления и представления отчетности по форме 0409665 “Отчет о валютных операциях, осуществляемых с оформлением паспорта сделки”</w:t>
      </w:r>
    </w:p>
    <w:p>
      <w:pPr>
        <w:pStyle w:val="MGlavaCenter"/>
        <w:keepLines w:val="false"/>
        <w:spacing w:before="0" w:after="120"/>
        <w:rPr>
          <w:b w:val="false"/>
        </w:rPr>
      </w:pPr>
      <w:r>
        <w:rPr>
          <w:b w:val="false"/>
        </w:rPr>
        <w:t>Раздел I. Общие положения</w:t>
      </w:r>
    </w:p>
    <w:p>
      <w:pPr>
        <w:pStyle w:val="MainText"/>
        <w:rPr/>
      </w:pPr>
      <w:r>
        <w:rPr/>
        <w:t>I.1. Отчетность по форме 0409665 “Отчет о валютных операциях, осуществляемых с оформлением паспорта сделки” (далее — Отчет) формируется с целью получения сводной информации о валютных операциях резидентов, осуществляемых в соответствии с Положением Банка России от 1 июня 2004 года № 258-П “О порядке представления резидентами уполномоченным банкам подтверждающих документов и информации, связанных с проведением валютных операций с нерезидентами по внешнеторговым сделкам, и осуществления уполномоченными банками контроля за проведением валютных операций”, зарегистрированным Министерством юстиции Российской Федерации 16 июня 2004 года № 5848, 8 октября 2008 года № 12423 (“Вестник Банка России” от 17 июня 2004 года № 35, от 17 октября 2008 года № 58) (далее — Положение Банка России № 258-П), и Инструкцией Банка России от 15 июня 2004 года № 117-И “О порядке представления резидентами и нерезидентами уполномоченным банкам документов и информации при осуществлении валютных операций, порядке учета уполномоченными банками валютных операций и оформления паспортов сделок”, зарегистрированной Министерством юстиции Российской Федерации 17 июня 2004 года № 5859, 4 сентября 2006 года № 8209, 10 августа 2007 года № 9980, 27 августа 2008 года № 12192 (“Вестник Банка России” от 18 июня 2004 года № 36, от 13 сентября 2006 года № 51, от 15 августа 2007 года № 46, от 3 сентября 2008 года № 47) (далее — Инструкция Банка России № 117-И).</w:t>
      </w:r>
    </w:p>
    <w:p>
      <w:pPr>
        <w:pStyle w:val="MainText"/>
        <w:rPr/>
      </w:pPr>
      <w:r>
        <w:rPr/>
        <w:t>Далее по тексту настоящего Порядка используются понятия в значениях, установленных Положением Банка России № 258-П и Инструкцией Банка России № 117-И.</w:t>
      </w:r>
    </w:p>
    <w:p>
      <w:pPr>
        <w:pStyle w:val="MainText"/>
        <w:rPr/>
      </w:pPr>
      <w:r>
        <w:rPr/>
        <w:t>I.2. Отчет формируется и представляется уполномоченным банком (его филиалом), в котором по контракту резидентом оформлен или переоформлен паспорт сделки (далее — банк ПС), на основании информации, содержащейся в разделах II и III Ведомости банковского контроля, приведенной в приложении 3 к Положению Банка России № 258-П, и в разделах II и III Ведомости банковского контроля, приведенной в приложении 3 к Инструкции Банка России № 117-И, а также на основании информации, содержащейся в паспортах сделок (далее — ПС).</w:t>
      </w:r>
    </w:p>
    <w:p>
      <w:pPr>
        <w:pStyle w:val="MainText"/>
        <w:rPr/>
      </w:pPr>
      <w:r>
        <w:rPr/>
        <w:t>Отчет представляется ежемесячно, не позднее 17-го рабочего дня месяца, следующего за отчетным, в виде электронного сообщения в форматах, установленных Департаментом финансового мониторинга и валютного контроля Банка России, в территориальное учреждение Банка России, осуществляющее надзор за его деятельностью.</w:t>
      </w:r>
    </w:p>
    <w:p>
      <w:pPr>
        <w:pStyle w:val="MainText"/>
        <w:rPr/>
      </w:pPr>
      <w:r>
        <w:rPr/>
        <w:t>I.3. В случае уточнения (дополнения) данных Отчетов за предыдущие отчетные периоды, не связанного с представлением недостоверной отчетности, содержащей неправильные данные вследствие нарушения установленного порядка ведения учета и (или) составления отчетности, банк ПС одновременно с Отчетом за текущий отчетный период представляет Отчеты за указанные отчетные периоды, но не более чем за 12 отчетных периодов (календарных месяцев).</w:t>
      </w:r>
    </w:p>
    <w:p>
      <w:pPr>
        <w:pStyle w:val="MainText"/>
        <w:rPr/>
      </w:pPr>
      <w:r>
        <w:rPr/>
        <w:t>Указанные уточненные (дополненные) данные за предыдущие отчетные периоды не сопровождаются объяснениями, содержащими сведения о произведенных изменениях в отчетности, и не включаются в Отчет на бумажном носителе, представляемый в Банк России, а также в Отчет на бумажном носителе, подлежащий хранению в банке ПС.</w:t>
      </w:r>
    </w:p>
    <w:p>
      <w:pPr>
        <w:pStyle w:val="MainText"/>
        <w:rPr/>
      </w:pPr>
      <w:r>
        <w:rPr/>
        <w:t>I.4. В Отчет включаются сведения о платежах и подтверждающих документах, дата осуществления (оформления) которых относится к отчетному периоду:</w:t>
      </w:r>
    </w:p>
    <w:p>
      <w:pPr>
        <w:pStyle w:val="MainText"/>
        <w:rPr/>
      </w:pPr>
      <w:r>
        <w:rPr/>
        <w:t>I.4.1. по ПС, оформленным (переоформленным) начиная с 18 июня 2004 года в соответствии с требованиями Инструкции Банка России № 117-И и по которым досье по ПС не закрыты на конец отчетного периода;</w:t>
      </w:r>
    </w:p>
    <w:p>
      <w:pPr>
        <w:pStyle w:val="MainText"/>
        <w:rPr/>
      </w:pPr>
      <w:r>
        <w:rPr/>
        <w:t>I.4.2. по “Сведениям о договоре”, оформленным по кредитным договорам до 18 июня 2004 года в соответствии с Инструкцией Банка России от 10 сентября 2001 года № 101-И “О порядке учета уполномоченными банками валютных операций резидентов, связанных с получением от нерезидентов кредитов и займов в иностранной валюте и предоставлением нерезидентам займов в иностранной валюте”, зарегистрированной Министерством юстиции Российской Федерации 19 сентября 2001 года № 2941 (“Вестник Банка России” от 26 сентября 2001 года № 59), принимаемым с 18 июня 2004 года в качестве ПС по указанным кредитным договорам, по которым досье по ПС не закрыты на конец отчетного периода;</w:t>
      </w:r>
    </w:p>
    <w:p>
      <w:pPr>
        <w:pStyle w:val="MainText"/>
        <w:rPr/>
      </w:pPr>
      <w:r>
        <w:rPr/>
        <w:t>I.4.3. по ПС, указанным в подпунктах I.4.1 и I.4.2 настоящего пункта, закрытым в отчетном периоде в порядке, установленном Инструкцией Банка России № 117-И.</w:t>
      </w:r>
    </w:p>
    <w:p>
      <w:pPr>
        <w:pStyle w:val="MainText"/>
        <w:rPr/>
      </w:pPr>
      <w:r>
        <w:rPr/>
        <w:t>Данные по ПС, по которым досье были закрыты в отчетном периоде, в Отчет следующего отчетного периода не включаются.</w:t>
      </w:r>
    </w:p>
    <w:p>
      <w:pPr>
        <w:pStyle w:val="MainText"/>
        <w:rPr/>
      </w:pPr>
      <w:r>
        <w:rPr/>
        <w:t>I.5. При отсутствии данных по разделам 1, 2 и подразделу 3.1 раздела 3 Отчета в поле “Признак отчета с нулевыми показателями” проставляется ноль. В этом случае Отчет представляется банком ПС с проставлением данных только по подразделу 3.2 раздела 3, остальные строки и графы Отчета не заполняются.</w:t>
      </w:r>
    </w:p>
    <w:p>
      <w:pPr>
        <w:pStyle w:val="MainText"/>
        <w:rPr/>
      </w:pPr>
      <w:r>
        <w:rPr/>
        <w:t>При отсутствии данных по всем показателям разделов 1, 2 и подраздела 3.1 раздела 3 Отчета в поле “Признак отсутствия данных по разделу (подразделу)” соответствующего раздела (подраздела) проставляется ноль, остальные показатели раздела (подраздела) не заполняются.</w:t>
      </w:r>
    </w:p>
    <w:p>
      <w:pPr>
        <w:pStyle w:val="MainText"/>
        <w:rPr/>
      </w:pPr>
      <w:r>
        <w:rPr/>
        <w:t>При отсутствии данных по отдельным показателям раздела соответствующие строки и графы Отчета не заполняются.</w:t>
      </w:r>
    </w:p>
    <w:p>
      <w:pPr>
        <w:pStyle w:val="MainText"/>
        <w:rPr/>
      </w:pPr>
      <w:r>
        <w:rPr/>
        <w:t>I.6. Стоимостные показатели указываются в тысячах единиц соответствующей валюты платежа или валюты контракта (кредитного договора), с тремя знаками после запятой.</w:t>
      </w:r>
    </w:p>
    <w:p>
      <w:pPr>
        <w:pStyle w:val="MainText"/>
        <w:rPr/>
      </w:pPr>
      <w:r>
        <w:rPr/>
        <w:t>I.7. Коды валют указываются в соответствии с Общероссийским классификатором валют (ОКВ) и Классификатором валют по межправительственным соглашениям, используемых в банковской системе (Классификатор клиринговых валют).</w:t>
      </w:r>
    </w:p>
    <w:p>
      <w:pPr>
        <w:pStyle w:val="MainText"/>
        <w:rPr/>
      </w:pPr>
      <w:r>
        <w:rPr/>
        <w:t>I.8. Порядок представления Отчета уполномоченными банками — крупными кредитными организациями с широкой сетью подразделений:</w:t>
      </w:r>
    </w:p>
    <w:p>
      <w:pPr>
        <w:pStyle w:val="MainText"/>
        <w:rPr/>
      </w:pPr>
      <w:r>
        <w:rPr/>
        <w:t>территориальные банки крупных кредитных организаций с широкой сетью подразделений представляют Отчет в территориальное учреждение Банка России, осуществляющее надзор за их деятельностью, за подчиненные филиалы (отделения), находящиеся на одной с ними территории субъекта Российской Федерации;</w:t>
      </w:r>
    </w:p>
    <w:p>
      <w:pPr>
        <w:pStyle w:val="MainText"/>
        <w:rPr/>
      </w:pPr>
      <w:r>
        <w:rPr/>
        <w:t>подчиненные территориальным банкам филиалы (отделения) крупных кредитных организаций с широкой сетью подразделений, находящиеся на территории другого субъекта Российской Федерации, представляют Отчет непосредственно в территориальные учреждения Банка России по месту своего нахождения.</w:t>
      </w:r>
    </w:p>
    <w:p>
      <w:pPr>
        <w:pStyle w:val="MGlavaCenter"/>
        <w:rPr>
          <w:b w:val="false"/>
        </w:rPr>
      </w:pPr>
      <w:r>
        <w:rPr>
          <w:b w:val="false"/>
        </w:rPr>
        <w:t>Раздел II. Порядок формирования раздела 1 Отчета</w:t>
      </w:r>
    </w:p>
    <w:p>
      <w:pPr>
        <w:pStyle w:val="MainText"/>
        <w:rPr/>
      </w:pPr>
      <w:r>
        <w:rPr/>
        <w:t>II.1. В разделе 1 отражается информация по ПС с кодом вида кредитного договора “6”, а также по “Сведениям о договоре”, указанным в подпункте I.4.2 пункта I.4 настоящего Порядка. Информация представляется в валюте кредитного договора.</w:t>
      </w:r>
    </w:p>
    <w:p>
      <w:pPr>
        <w:pStyle w:val="MainText"/>
        <w:rPr/>
      </w:pPr>
      <w:r>
        <w:rPr/>
        <w:t>II.2. По строке 1 отражается разница значений показателей строк 9 и 9.1 раздела 1 Отчета за предыдущий отчетный период.</w:t>
      </w:r>
    </w:p>
    <w:p>
      <w:pPr>
        <w:pStyle w:val="MainText"/>
        <w:rPr/>
      </w:pPr>
      <w:r>
        <w:rPr/>
        <w:t>II.3. По строке 2 отражаются данные из строки 6.2 ПС, оформленного банком ПС в отчетном периоде.</w:t>
      </w:r>
    </w:p>
    <w:p>
      <w:pPr>
        <w:pStyle w:val="MainText"/>
        <w:rPr/>
      </w:pPr>
      <w:r>
        <w:rPr/>
        <w:t>II.4. По строке 3 отражается сумма валютных операций с кодами 41010 и 41020 в соответствии с перечнем валютных операций клиентов уполномоченных банков, приведенным в приложении 2 к Инструкции Банка России № 117-И (далее — Перечень), осуществленных через счета резидента в банке ПС.</w:t>
      </w:r>
    </w:p>
    <w:p>
      <w:pPr>
        <w:pStyle w:val="MainText"/>
        <w:rPr/>
      </w:pPr>
      <w:r>
        <w:rPr/>
        <w:t>II.5. По строке 4 отражается сумма валютных операций с кодами 41010 и 41020 Перечня, осуществленных через счета за рубежом.</w:t>
      </w:r>
    </w:p>
    <w:p>
      <w:pPr>
        <w:pStyle w:val="MainText"/>
        <w:rPr/>
      </w:pPr>
      <w:r>
        <w:rPr/>
        <w:t>II.6. По строке 5 отражается сумма операций по строкам 5.1—5.6, осуществленных через счета резидента в банке ПС.</w:t>
      </w:r>
    </w:p>
    <w:p>
      <w:pPr>
        <w:pStyle w:val="MainText"/>
        <w:rPr/>
      </w:pPr>
      <w:r>
        <w:rPr/>
        <w:t>По строке 5.1 отражается сумма по валютным операциям с кодом 42010 Перечня.</w:t>
      </w:r>
    </w:p>
    <w:p>
      <w:pPr>
        <w:pStyle w:val="MainText"/>
        <w:rPr/>
      </w:pPr>
      <w:r>
        <w:rPr/>
        <w:t>По строке 5.2 отражается сумма по валютным операциям с кодом 42020 Перечня.</w:t>
      </w:r>
    </w:p>
    <w:p>
      <w:pPr>
        <w:pStyle w:val="MainText"/>
        <w:rPr/>
      </w:pPr>
      <w:r>
        <w:rPr/>
        <w:t>По строке 5.3 отражается сумма по валютным операциям с кодом 42030 Перечня.</w:t>
      </w:r>
    </w:p>
    <w:p>
      <w:pPr>
        <w:pStyle w:val="MainText"/>
        <w:rPr/>
      </w:pPr>
      <w:r>
        <w:rPr/>
        <w:t>По строке 5.4 отражается сумма по валютным операциям с кодом 42040 Перечня.</w:t>
      </w:r>
    </w:p>
    <w:p>
      <w:pPr>
        <w:pStyle w:val="MainText"/>
        <w:rPr/>
      </w:pPr>
      <w:r>
        <w:rPr/>
        <w:t>По строке 5.5 отражается сумма по валютным операциям с кодами 42050 и 99090 Перечня.</w:t>
      </w:r>
    </w:p>
    <w:p>
      <w:pPr>
        <w:pStyle w:val="MainText"/>
        <w:rPr/>
      </w:pPr>
      <w:r>
        <w:rPr/>
        <w:t>По строке 5.6 отражается сумма по валютным операциям с кодом 99010 Перечня в части возврата резидентом нерезиденту ошибочно зачисленных сумм по соответствующему виду кредитного договора.</w:t>
      </w:r>
    </w:p>
    <w:p>
      <w:pPr>
        <w:pStyle w:val="MainText"/>
        <w:rPr/>
      </w:pPr>
      <w:r>
        <w:rPr/>
        <w:t>II.7. По строке 6 отражается сумма операций по строкам 6.1—6.6, осуществленных через счета резидента в банках за рубежом.</w:t>
      </w:r>
    </w:p>
    <w:p>
      <w:pPr>
        <w:pStyle w:val="MainText"/>
        <w:rPr/>
      </w:pPr>
      <w:r>
        <w:rPr/>
        <w:t>По строке 6.1 отражается сумма по валютным операциям с кодом 42010 Перечня.</w:t>
      </w:r>
    </w:p>
    <w:p>
      <w:pPr>
        <w:pStyle w:val="MainText"/>
        <w:rPr/>
      </w:pPr>
      <w:r>
        <w:rPr/>
        <w:t>По строке 6.2 отражается сумма по валютным операциям с кодом 42020 Перечня.</w:t>
      </w:r>
    </w:p>
    <w:p>
      <w:pPr>
        <w:pStyle w:val="MainText"/>
        <w:rPr/>
      </w:pPr>
      <w:r>
        <w:rPr/>
        <w:t>По строке 6.3 отражается сумма по валютным операциям с кодом 42030 Перечня.</w:t>
      </w:r>
    </w:p>
    <w:p>
      <w:pPr>
        <w:pStyle w:val="MainText"/>
        <w:rPr/>
      </w:pPr>
      <w:r>
        <w:rPr/>
        <w:t>По строке 6.4 отражается сумма по валютным операциям с кодом 42040 Перечня.</w:t>
      </w:r>
    </w:p>
    <w:p>
      <w:pPr>
        <w:pStyle w:val="MainText"/>
        <w:rPr/>
      </w:pPr>
      <w:r>
        <w:rPr/>
        <w:t>По строке 6.5 отражается сумма по валютным операциям с кодами 42050 и 99090 Перечня.</w:t>
      </w:r>
    </w:p>
    <w:p>
      <w:pPr>
        <w:pStyle w:val="MainText"/>
        <w:rPr/>
      </w:pPr>
      <w:r>
        <w:rPr/>
        <w:t>По строке 6.6 отражается сумма по валютным операциям с кодом 99010 Перечня в части возврата резидентом нерезиденту ошибочно зачисленных сумм по соответствующему виду кредитного договора.</w:t>
      </w:r>
    </w:p>
    <w:p>
      <w:pPr>
        <w:pStyle w:val="MainText"/>
        <w:rPr/>
      </w:pPr>
      <w:r>
        <w:rPr/>
        <w:t>II.8. По строке 7 отражается сумма изменения задолженности резидентов перед нерезидентами по кодам основания изменения задолженности 02—12, указанным в графе 2 раздела III Ведомости банковского контроля, приведенной в приложении 3 к Инструкции Банка России № 117-И.</w:t>
      </w:r>
    </w:p>
    <w:p>
      <w:pPr>
        <w:pStyle w:val="MainText"/>
        <w:rPr/>
      </w:pPr>
      <w:r>
        <w:rPr/>
        <w:t>II.9. По строке 8 отражается сумма изменения задолженности резидентов перед нерезидентами по коду основания изменения задолженности 13, указанному в графе 2 раздела III Ведомости банковского контроля, приведенной в приложении 3 к Инструкции Банка России № 117-И.</w:t>
      </w:r>
    </w:p>
    <w:p>
      <w:pPr>
        <w:pStyle w:val="MainText"/>
        <w:rPr/>
      </w:pPr>
      <w:r>
        <w:rPr/>
        <w:t>II.10. По строке 9 отражается задолженность резидентов по основному долгу на конец отчетного периода, включая задолженность по ПС, закрытым в отчетном периоде.</w:t>
      </w:r>
    </w:p>
    <w:p>
      <w:pPr>
        <w:pStyle w:val="MainText"/>
        <w:rPr/>
      </w:pPr>
      <w:r>
        <w:rPr/>
        <w:t>По строке 9.1 отражается задолженность по основному долгу по ПС, закрытым в отчетном периоде.</w:t>
      </w:r>
    </w:p>
    <w:p>
      <w:pPr>
        <w:pStyle w:val="MainText"/>
        <w:rPr/>
      </w:pPr>
      <w:r>
        <w:rPr/>
        <w:t>II.11. По строке 10 отражается сумма по валютным операциям с кодом 99010 Перечня в части возврата нерезидентом резиденту сумм, ошибочно списанных со счетов резидента в банке ПС, по соответствующему виду кредитного договора.</w:t>
      </w:r>
    </w:p>
    <w:p>
      <w:pPr>
        <w:pStyle w:val="MainText"/>
        <w:rPr/>
      </w:pPr>
      <w:r>
        <w:rPr/>
        <w:t>II.12. По строке 11 отражается сумма по валютным операциям с кодом 99010 Перечня в части возврата нерезидентом резиденту сумм, ошибочно списанных со счетов резидента в банках за рубежом, по соответствующему виду кредитного договора.</w:t>
      </w:r>
    </w:p>
    <w:p>
      <w:pPr>
        <w:pStyle w:val="MGlavaCenter"/>
        <w:rPr>
          <w:b w:val="false"/>
        </w:rPr>
      </w:pPr>
      <w:r>
        <w:rPr>
          <w:b w:val="false"/>
        </w:rPr>
        <w:t>Раздел III. Порядок формирования раздела 2 Отчета</w:t>
      </w:r>
    </w:p>
    <w:p>
      <w:pPr>
        <w:pStyle w:val="MainText"/>
        <w:rPr/>
      </w:pPr>
      <w:r>
        <w:rPr/>
        <w:t>III.1. В разделе 2 отражается информация по ПС с кодом вида кредитного договора “5”, а также по “Сведениям о договоре”, указанным в подпункте I.4.2 пункта I.4 настоящего Порядка. Информация представляется в валюте кредитного договора.</w:t>
      </w:r>
    </w:p>
    <w:p>
      <w:pPr>
        <w:pStyle w:val="MainText"/>
        <w:rPr/>
      </w:pPr>
      <w:r>
        <w:rPr/>
        <w:t>III.2. По строке 1 отражается разница значений показателей строк 8 и 8.1 раздела 2 Отчета за предыдущий отчетный период.</w:t>
      </w:r>
    </w:p>
    <w:p>
      <w:pPr>
        <w:pStyle w:val="MainText"/>
        <w:rPr/>
      </w:pPr>
      <w:r>
        <w:rPr/>
        <w:t>III.3. По строке 2 отражаются данные из строки 6.2 ПС, оформленных банком ПС в отчетном периоде.</w:t>
      </w:r>
    </w:p>
    <w:p>
      <w:pPr>
        <w:pStyle w:val="MainText"/>
        <w:rPr/>
      </w:pPr>
      <w:r>
        <w:rPr/>
        <w:t>III.4. По строке 3 отражается сумма валютных операций с кодами 40010 и 40020 Перечня, осуществленных через счета в банке ПС.</w:t>
      </w:r>
    </w:p>
    <w:p>
      <w:pPr>
        <w:pStyle w:val="MainText"/>
        <w:rPr/>
      </w:pPr>
      <w:r>
        <w:rPr/>
        <w:t>III.5. По строке 4 отражается сумма валютных операций с кодами 40010 и 40020 Перечня, осуществленных через счета за рубежом.</w:t>
      </w:r>
    </w:p>
    <w:p>
      <w:pPr>
        <w:pStyle w:val="MainText"/>
        <w:rPr/>
      </w:pPr>
      <w:r>
        <w:rPr/>
        <w:t>III.6. По строке 5 отражается сумма операций по строкам 5.1—5.6, осуществленных через счета в банке ПС.</w:t>
      </w:r>
    </w:p>
    <w:p>
      <w:pPr>
        <w:pStyle w:val="MainText"/>
        <w:rPr/>
      </w:pPr>
      <w:r>
        <w:rPr/>
        <w:t>По строке 5.1 отражается сумма по валютным операциям с кодом 43010 Перечня.</w:t>
      </w:r>
    </w:p>
    <w:p>
      <w:pPr>
        <w:pStyle w:val="MainText"/>
        <w:rPr/>
      </w:pPr>
      <w:r>
        <w:rPr/>
        <w:t>По строке 5.2 отражается сумма по валютным операциям с кодом 43020 Перечня.</w:t>
      </w:r>
    </w:p>
    <w:p>
      <w:pPr>
        <w:pStyle w:val="MainText"/>
        <w:rPr/>
      </w:pPr>
      <w:r>
        <w:rPr/>
        <w:t>По строке 5.3 отражается сумма по валютным операциям с кодом 43030 Перечня.</w:t>
      </w:r>
    </w:p>
    <w:p>
      <w:pPr>
        <w:pStyle w:val="MainText"/>
        <w:rPr/>
      </w:pPr>
      <w:r>
        <w:rPr/>
        <w:t>По строке 5.4 отражается сумма по валютным операциям с кодом 43040 Перечня.</w:t>
      </w:r>
    </w:p>
    <w:p>
      <w:pPr>
        <w:pStyle w:val="MainText"/>
        <w:rPr/>
      </w:pPr>
      <w:r>
        <w:rPr/>
        <w:t>По строке 5.5 отражается сумма по валютным операциям с кодами 43050 и 99090 Перечня.</w:t>
      </w:r>
    </w:p>
    <w:p>
      <w:pPr>
        <w:pStyle w:val="MainText"/>
        <w:rPr/>
      </w:pPr>
      <w:r>
        <w:rPr/>
        <w:t>По строке 5.6 отражается сумма по валютным операциям с кодом 99010 Перечня в части возврата нерезидентом резиденту ошибочно списанных сумм по соответствующему виду кредитного договора.</w:t>
      </w:r>
    </w:p>
    <w:p>
      <w:pPr>
        <w:pStyle w:val="MainText"/>
        <w:rPr/>
      </w:pPr>
      <w:r>
        <w:rPr/>
        <w:t>III.7. По строке 6 отражается сумма изменения задолженности нерезидентов перед резидентами по кодам основания изменения задолженности 02—12, указанным в графе 2 раздела III Ведомости банковского контроля, приведенной в приложении 3 к Инструкции Банка России № 117-И.</w:t>
      </w:r>
    </w:p>
    <w:p>
      <w:pPr>
        <w:pStyle w:val="MainText"/>
        <w:rPr/>
      </w:pPr>
      <w:r>
        <w:rPr/>
        <w:t>III.8. По строке 7 отражается сумма изменения задолженности нерезидентов перед резидентами по коду основания изменения задолженности 13, указанному в графе 2 раздела III Ведомости банковского контроля, приведенной в приложении 3 к Инструкции Банка России № 117-И.</w:t>
      </w:r>
    </w:p>
    <w:p>
      <w:pPr>
        <w:pStyle w:val="MainText"/>
        <w:rPr/>
      </w:pPr>
      <w:r>
        <w:rPr/>
        <w:t>III.9. По строке 8 отражается задолженность нерезидентов по основному долгу на конец отчетного периода, включая задолженность по ПС, закрытым в отчетном периоде.</w:t>
      </w:r>
    </w:p>
    <w:p>
      <w:pPr>
        <w:pStyle w:val="MainText"/>
        <w:rPr/>
      </w:pPr>
      <w:r>
        <w:rPr/>
        <w:t>По строке 8.1 отражается задолженность нерезидентов по основному долгу по ПС, закрытым в отчетном периоде.</w:t>
      </w:r>
    </w:p>
    <w:p>
      <w:pPr>
        <w:pStyle w:val="MainText"/>
        <w:rPr/>
      </w:pPr>
      <w:r>
        <w:rPr/>
        <w:t>III.10. По строке 9 отражается сумма по валютным операциям с кодом 99010 Перечня в части возврата резидентом нерезиденту сумм, ошибочно зачисленных на счета резидентов в банке ПС, по соответствующему виду кредитного договора.</w:t>
      </w:r>
    </w:p>
    <w:p>
      <w:pPr>
        <w:pStyle w:val="MainText"/>
        <w:rPr/>
      </w:pPr>
      <w:r>
        <w:rPr/>
        <w:t>III.11. По строке 10 отражается сумма по валютным операциям с кодом 99010 Перечня в части возврата резидентом нерезиденту сумм, ошибочно зачисленных на счета резидента в банках за рубежом, по соответствующему виду кредитного договора.</w:t>
      </w:r>
    </w:p>
    <w:p>
      <w:pPr>
        <w:pStyle w:val="MainText"/>
        <w:rPr/>
      </w:pPr>
      <w:r>
        <w:rPr/>
        <w:t>III.12. По строке 11 отражается сумма по валютным операциям с кодом 99010 Перечня в части возврата нерезидентом резиденту сумм, ошибочно списанных со счетов резидента в банках за рубежом, по соответствующему виду кредитного договора.</w:t>
      </w:r>
    </w:p>
    <w:p>
      <w:pPr>
        <w:pStyle w:val="MGlavaCenter"/>
        <w:rPr>
          <w:b w:val="false"/>
        </w:rPr>
      </w:pPr>
      <w:r>
        <w:rPr>
          <w:b w:val="false"/>
        </w:rPr>
        <w:t>Раздел IV. Порядок формирования раздела 3 Отчета</w:t>
      </w:r>
    </w:p>
    <w:p>
      <w:pPr>
        <w:pStyle w:val="MainText"/>
        <w:rPr/>
      </w:pPr>
      <w:r>
        <w:rPr/>
        <w:t>IV.1. В разделе 3 информация представляется по видам контрактов (кредитных договоров), коды которых указаны в заголовочной части раздела 3.</w:t>
      </w:r>
    </w:p>
    <w:p>
      <w:pPr>
        <w:pStyle w:val="MainText"/>
        <w:rPr/>
      </w:pPr>
      <w:r>
        <w:rPr/>
        <w:t>IV.2. Подраздел 3.1 раздела 3 формируется отдельно по каждому из следующих видов валют:</w:t>
      </w:r>
    </w:p>
    <w:p>
      <w:pPr>
        <w:pStyle w:val="MainText"/>
        <w:rPr/>
      </w:pPr>
      <w:r>
        <w:rPr/>
        <w:t>доллар США (код 840),</w:t>
      </w:r>
    </w:p>
    <w:p>
      <w:pPr>
        <w:pStyle w:val="MainText"/>
        <w:rPr/>
      </w:pPr>
      <w:r>
        <w:rPr/>
        <w:t>евро (код 978),</w:t>
      </w:r>
    </w:p>
    <w:p>
      <w:pPr>
        <w:pStyle w:val="MainText"/>
        <w:rPr/>
      </w:pPr>
      <w:r>
        <w:rPr/>
        <w:t>иена (код 392),</w:t>
      </w:r>
    </w:p>
    <w:p>
      <w:pPr>
        <w:pStyle w:val="MainText"/>
        <w:rPr/>
      </w:pPr>
      <w:r>
        <w:rPr/>
        <w:t>фунт стерлингов (код 826),</w:t>
      </w:r>
    </w:p>
    <w:p>
      <w:pPr>
        <w:pStyle w:val="MainText"/>
        <w:rPr/>
      </w:pPr>
      <w:r>
        <w:rPr/>
        <w:t>российский рубль (код 643).</w:t>
      </w:r>
    </w:p>
    <w:p>
      <w:pPr>
        <w:pStyle w:val="MainText"/>
        <w:rPr/>
      </w:pPr>
      <w:r>
        <w:rPr/>
        <w:t>При отсутствии данных в каком-либо из указанных видов валют подраздел 3.1 в соответствующей валюте не формируется и не представляется.</w:t>
      </w:r>
    </w:p>
    <w:p>
      <w:pPr>
        <w:pStyle w:val="MainText"/>
        <w:rPr/>
      </w:pPr>
      <w:r>
        <w:rPr/>
        <w:t>В строках 1, 2, 4, 5, 7, 8, 10, 11 информация представляется в валюте платежа, в строках 3, 6, 9, 12 — в валюте контракта.</w:t>
      </w:r>
    </w:p>
    <w:p>
      <w:pPr>
        <w:pStyle w:val="MainText"/>
        <w:rPr/>
      </w:pPr>
      <w:r>
        <w:rPr/>
        <w:t>IV.3. В поле “Код валюты” проставляется соответствующий код валюты, в которой представляются данные подраздела 3.1 раздела 3 Отчета.</w:t>
      </w:r>
    </w:p>
    <w:p>
      <w:pPr>
        <w:pStyle w:val="MainText"/>
        <w:rPr/>
      </w:pPr>
      <w:r>
        <w:rPr/>
        <w:t>IV.4. В строках 1—3 отражаются операции, связанные с вывозом товаров с таможенной территории Российской Федерации, осуществленные по видам контрактов с кодами 1—4, 9 с оформлением ПС.</w:t>
      </w:r>
    </w:p>
    <w:p>
      <w:pPr>
        <w:pStyle w:val="MainText"/>
        <w:rPr/>
      </w:pPr>
      <w:r>
        <w:rPr/>
        <w:t>По строке 1 отражается сумма валютных операций с кодами 10010—10090 Перечня, включая валютные операции, осуществленные через счета резидента в банках за рубежом, и поступлений от нерезидентов, учитываемых по кодам группы 35 Перечня.</w:t>
      </w:r>
    </w:p>
    <w:p>
      <w:pPr>
        <w:pStyle w:val="MainText"/>
        <w:rPr/>
      </w:pPr>
      <w:r>
        <w:rPr/>
        <w:t>По строке 2 отражается сумма платежей резидентов в пользу нерезидентов, учитываемых по кодам группы 35 Перечня.</w:t>
      </w:r>
    </w:p>
    <w:p>
      <w:pPr>
        <w:pStyle w:val="MainText"/>
        <w:rPr/>
      </w:pPr>
      <w:r>
        <w:rPr/>
        <w:t>По строке 3 отражается фактурная стоимость товаров, вывезенных с таможенной территории Российской Федерации, указанная в подтверждающих документах с кодами 01—03.</w:t>
      </w:r>
    </w:p>
    <w:p>
      <w:pPr>
        <w:pStyle w:val="MainText"/>
        <w:rPr/>
      </w:pPr>
      <w:r>
        <w:rPr/>
        <w:t>IV.5. В строках 4—6 отражаются операции, связанные с ввозом товаров на таможенную территорию Российской Федерации, осуществленные по видам контрактов с кодами 1—4, 9 с оформлением ПС.</w:t>
      </w:r>
    </w:p>
    <w:p>
      <w:pPr>
        <w:pStyle w:val="MainText"/>
        <w:rPr/>
      </w:pPr>
      <w:r>
        <w:rPr/>
        <w:t>По строке 4 отражается сумма валютных операций с кодами 11010—11060 Перечня и платежей резидентов в пользу нерезидентов, учитываемых по кодам группы 35 Перечня.</w:t>
      </w:r>
    </w:p>
    <w:p>
      <w:pPr>
        <w:pStyle w:val="MainText"/>
        <w:rPr/>
      </w:pPr>
      <w:r>
        <w:rPr/>
        <w:t>По строке 5 отражается сумма поступлений от нерезидентов, учитываемых по кодам группы 35 Перечня.</w:t>
      </w:r>
    </w:p>
    <w:p>
      <w:pPr>
        <w:pStyle w:val="MainText"/>
        <w:rPr/>
      </w:pPr>
      <w:r>
        <w:rPr/>
        <w:t>По строке 6 отражается фактурная стоимость товаров, ввезенных на таможенную территорию Российской Федерации, указанная в подтверждающих документах с кодами 01—02.</w:t>
      </w:r>
    </w:p>
    <w:p>
      <w:pPr>
        <w:pStyle w:val="MainText"/>
        <w:rPr/>
      </w:pPr>
      <w:r>
        <w:rPr/>
        <w:t>IV.6. В строках 7—9 отражаются операции, связанные с выполнением резидентами работ, оказанием ими услуг, передачей информации и результатов интеллектуальной деятельности, в том числе исключительных прав на них, осуществленные по видам контрактов с кодами 1—4, 9 с оформлением ПС.</w:t>
      </w:r>
    </w:p>
    <w:p>
      <w:pPr>
        <w:pStyle w:val="MainText"/>
        <w:rPr/>
      </w:pPr>
      <w:r>
        <w:rPr/>
        <w:t>По строке 7 отражается сумма валютных операций с кодами 20010—20070 Перечня, включая валютные операции, осуществленные через счета резидента в банках за рубежом, и поступлений от нерезидентов, учитываемых по кодам группы 35 Перечня.</w:t>
      </w:r>
    </w:p>
    <w:p>
      <w:pPr>
        <w:pStyle w:val="MainText"/>
        <w:rPr/>
      </w:pPr>
      <w:r>
        <w:rPr/>
        <w:t>По строке 8 отражается сумма платежей резидентов в пользу нерезидентов, учитываемых по кодам группы 35 Перечня.</w:t>
      </w:r>
    </w:p>
    <w:p>
      <w:pPr>
        <w:pStyle w:val="MainText"/>
        <w:rPr/>
      </w:pPr>
      <w:r>
        <w:rPr/>
        <w:t>По строке 9 отражается стоимость оказанных резидентами нерезидентам услуг (выполненных работ, переданных информации и результатов интеллектуальной деятельности, в том числе исключительных прав на них), указанная в подтверждающих документах с кодами 04 и 05.</w:t>
      </w:r>
    </w:p>
    <w:p>
      <w:pPr>
        <w:pStyle w:val="MainText"/>
        <w:rPr/>
      </w:pPr>
      <w:r>
        <w:rPr/>
        <w:t>IV.7. В строках 10—12 отражаются операции, связанные с выполнением нерезидентами работ, оказанием ими услуг, передачей информации и результатов интеллектуальной деятельности, в том числе исключительных прав на них, осуществленные по видам контрактов с кодом 1—4, 9 с оформлением ПС.</w:t>
      </w:r>
    </w:p>
    <w:p>
      <w:pPr>
        <w:pStyle w:val="MainText"/>
        <w:rPr/>
      </w:pPr>
      <w:r>
        <w:rPr/>
        <w:t>По строке 10 отражается сумма валютных операций с кодами 21010—21040 Перечня и платежей резидентов в пользу нерезидентов, учитываемых по кодам группы 35 Перечня.</w:t>
      </w:r>
    </w:p>
    <w:p>
      <w:pPr>
        <w:pStyle w:val="MainText"/>
        <w:rPr/>
      </w:pPr>
      <w:r>
        <w:rPr/>
        <w:t>По строке 11 отражается сумма поступлений от нерезидентов, учитываемых по кодам группы 35 Перечня.</w:t>
      </w:r>
    </w:p>
    <w:p>
      <w:pPr>
        <w:pStyle w:val="MainText"/>
        <w:rPr/>
      </w:pPr>
      <w:r>
        <w:rPr/>
        <w:t>По строке 12 отражается стоимость полученных резидентами от нерезидентов услуг (информации и результатов интеллектуальной деятельности, в том числе исключительных прав на них, выполненных работ), указанная в подтверждающих документах с кодом 04.</w:t>
      </w:r>
    </w:p>
    <w:p>
      <w:pPr>
        <w:pStyle w:val="MainText"/>
        <w:rPr/>
      </w:pPr>
      <w:r>
        <w:rPr/>
        <w:t>IV.8. В подразделе 3.2 раздела 3 представляется следующая информация.</w:t>
      </w:r>
    </w:p>
    <w:p>
      <w:pPr>
        <w:pStyle w:val="MainText"/>
        <w:rPr/>
      </w:pPr>
      <w:r>
        <w:rPr/>
        <w:t>По строке 13 отражается информация о количестве ПС, не закрытых на начало отчетного периода.</w:t>
      </w:r>
    </w:p>
    <w:p>
      <w:pPr>
        <w:pStyle w:val="MainText"/>
        <w:rPr/>
      </w:pPr>
      <w:r>
        <w:rPr/>
        <w:t>По строке 14 отражается информация о количестве ПС, оформленных в банке ПС в соответствии с требованиями Инструкции Банка России № 117-И в течение отчетного периода.</w:t>
      </w:r>
    </w:p>
    <w:p>
      <w:pPr>
        <w:pStyle w:val="MainText"/>
        <w:rPr/>
      </w:pPr>
      <w:r>
        <w:rPr/>
        <w:t>По строке 15 отражается информация о количестве ПС, закрытых банком ПС в течение отчетного периода.</w:t>
      </w:r>
    </w:p>
    <w:p>
      <w:pPr>
        <w:pStyle w:val="MainText"/>
        <w:rPr/>
      </w:pPr>
      <w:r>
        <w:rPr/>
        <w:t>По строке 16 отражается информация о количестве ПС, не закрытых на конец отчетного периода.</w:t>
      </w:r>
    </w:p>
    <w:p>
      <w:pPr>
        <w:pStyle w:val="MainText"/>
        <w:rPr/>
      </w:pPr>
      <w:r>
        <w:rPr/>
        <w:t>По данным каждой графы подраздела 3.2 должно выполняться следующее соотношение:</w:t>
      </w:r>
    </w:p>
    <w:p>
      <w:pPr>
        <w:pStyle w:val="MainText"/>
        <w:rPr/>
      </w:pPr>
      <w:r>
        <w:rPr/>
        <w:t>строка 16 = строка 13 + строка 14 – строка 15.</w:t>
      </w:r>
    </w:p>
    <w:p>
      <w:pPr>
        <w:pStyle w:val="MainText"/>
        <w:rPr/>
      </w:pPr>
      <w:r>
        <w:rPr/>
        <w:t>По строке 16.1 отражается информация о количестве ПС из общего количества ПС, не закрытых на конец отчетного периода, переоформленных в банке ПС в соответствии с требованиями Инструкции Банка России № 117-И в течение отчетного периода.</w:t>
      </w:r>
    </w:p>
    <w:p>
      <w:pPr>
        <w:pStyle w:val="MainText"/>
        <w:rPr/>
      </w:pPr>
      <w:r>
        <w:rPr/>
        <w:t>По строке 17 отражается информация о количестве Ведомостей банковского контроля, представленных в Банк России за отчетный период, по ПС, которые действовали на конец отчетного периода или были закрыты в течение отчетного периода.</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ОТЧЕТ ОБ ОПЕРАЦИЯХ НА ВАЛЮТНЫХ И ДЕНЕЖНЫХ РЫНКАХ</w:t>
        <w:br/>
        <w:t>за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0409701</w:t>
        <w:br/>
        <w:t>Суточная</w:t>
      </w:r>
    </w:p>
    <w:tbl>
      <w:tblPr>
        <w:tblW w:w="16250" w:type="dxa"/>
        <w:jc w:val="center"/>
        <w:tblInd w:w="0" w:type="dxa"/>
        <w:tblLayout w:type="fixed"/>
        <w:tblCellMar>
          <w:top w:w="0" w:type="dxa"/>
          <w:start w:w="28" w:type="dxa"/>
          <w:bottom w:w="0" w:type="dxa"/>
          <w:end w:w="28" w:type="dxa"/>
        </w:tblCellMar>
      </w:tblPr>
      <w:tblGrid>
        <w:gridCol w:w="671"/>
        <w:gridCol w:w="1700"/>
        <w:gridCol w:w="1417"/>
        <w:gridCol w:w="1132"/>
        <w:gridCol w:w="851"/>
        <w:gridCol w:w="1132"/>
        <w:gridCol w:w="851"/>
        <w:gridCol w:w="1132"/>
        <w:gridCol w:w="1132"/>
        <w:gridCol w:w="1132"/>
        <w:gridCol w:w="1004"/>
        <w:gridCol w:w="1260"/>
        <w:gridCol w:w="1418"/>
        <w:gridCol w:w="1418"/>
      </w:tblGrid>
      <w:tr>
        <w:trPr>
          <w:tblHeader w:val="true"/>
          <w:cantSplit/>
        </w:trPr>
        <w:tc>
          <w:tcPr>
            <w:tcW w:w="671"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 строки</w:t>
            </w:r>
          </w:p>
        </w:tc>
        <w:tc>
          <w:tcPr>
            <w:tcW w:w="170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Дата заключения сделки по конверсионным</w:t>
            </w:r>
          </w:p>
        </w:tc>
        <w:tc>
          <w:tcPr>
            <w:tcW w:w="1417"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Дата расчетов (исполнения)</w:t>
            </w:r>
          </w:p>
        </w:tc>
        <w:tc>
          <w:tcPr>
            <w:tcW w:w="3966"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Условия сделки</w:t>
            </w:r>
          </w:p>
        </w:tc>
        <w:tc>
          <w:tcPr>
            <w:tcW w:w="4400" w:type="dxa"/>
            <w:gridSpan w:val="4"/>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Контрагент</w:t>
            </w:r>
          </w:p>
        </w:tc>
        <w:tc>
          <w:tcPr>
            <w:tcW w:w="126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Дополнительные сведения</w:t>
            </w:r>
          </w:p>
        </w:tc>
        <w:tc>
          <w:tcPr>
            <w:tcW w:w="2836" w:type="dxa"/>
            <w:gridSpan w:val="2"/>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Дополнительные сведения по валютному опциону и операциям на денежных рынках</w:t>
            </w:r>
          </w:p>
        </w:tc>
      </w:tr>
      <w:tr>
        <w:trPr>
          <w:tblHeader w:val="true"/>
          <w:cantSplit/>
        </w:trPr>
        <w:tc>
          <w:tcPr>
            <w:tcW w:w="671" w:type="dxa"/>
            <w:tcBorders>
              <w:start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700" w:type="dxa"/>
            <w:tcBorders>
              <w:start w:val="single" w:sz="6" w:space="0" w:color="000000"/>
              <w:end w:val="single" w:sz="6" w:space="0" w:color="000000"/>
            </w:tcBorders>
          </w:tcPr>
          <w:p>
            <w:pPr>
              <w:pStyle w:val="MainText"/>
              <w:keepNext w:val="true"/>
              <w:ind w:hanging="0" w:end="0"/>
              <w:jc w:val="center"/>
              <w:rPr>
                <w:sz w:val="14"/>
              </w:rPr>
            </w:pPr>
            <w:r>
              <w:rPr>
                <w:sz w:val="14"/>
              </w:rPr>
              <w:t>операциям (дата привлечения</w:t>
            </w:r>
          </w:p>
        </w:tc>
        <w:tc>
          <w:tcPr>
            <w:tcW w:w="1417" w:type="dxa"/>
            <w:tcBorders>
              <w:start w:val="single" w:sz="6" w:space="0" w:color="000000"/>
              <w:end w:val="single" w:sz="6" w:space="0" w:color="000000"/>
            </w:tcBorders>
          </w:tcPr>
          <w:p>
            <w:pPr>
              <w:pStyle w:val="MainText"/>
              <w:keepNext w:val="true"/>
              <w:ind w:hanging="0" w:end="0"/>
              <w:jc w:val="center"/>
              <w:rPr>
                <w:sz w:val="14"/>
              </w:rPr>
            </w:pPr>
            <w:r>
              <w:rPr>
                <w:sz w:val="14"/>
              </w:rPr>
              <w:t>по конверсионным сделкам</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требования</w:t>
            </w:r>
          </w:p>
        </w:tc>
        <w:tc>
          <w:tcPr>
            <w:tcW w:w="851"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обязательства</w:t>
            </w:r>
          </w:p>
        </w:tc>
        <w:tc>
          <w:tcPr>
            <w:tcW w:w="851" w:type="dxa"/>
            <w:tcBorders>
              <w:top w:val="single" w:sz="6" w:space="0" w:color="000000"/>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132"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резидент (нерезидент)</w:t>
            </w:r>
          </w:p>
        </w:tc>
        <w:tc>
          <w:tcPr>
            <w:tcW w:w="1132"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кредитная организация</w:t>
            </w:r>
          </w:p>
        </w:tc>
        <w:tc>
          <w:tcPr>
            <w:tcW w:w="1132"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торговая система</w:t>
            </w:r>
          </w:p>
        </w:tc>
        <w:tc>
          <w:tcPr>
            <w:tcW w:w="1004"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прочие</w:t>
            </w:r>
          </w:p>
        </w:tc>
        <w:tc>
          <w:tcPr>
            <w:tcW w:w="1260" w:type="dxa"/>
            <w:tcBorders>
              <w:start w:val="single" w:sz="6" w:space="0" w:color="000000"/>
              <w:end w:val="single" w:sz="6" w:space="0" w:color="000000"/>
            </w:tcBorders>
          </w:tcPr>
          <w:p>
            <w:pPr>
              <w:pStyle w:val="MainText"/>
              <w:keepNext w:val="true"/>
              <w:ind w:hanging="0" w:end="0"/>
              <w:jc w:val="center"/>
              <w:rPr>
                <w:sz w:val="14"/>
              </w:rPr>
            </w:pPr>
            <w:r>
              <w:rPr>
                <w:sz w:val="14"/>
              </w:rPr>
              <w:t>по сделкам</w:t>
            </w:r>
          </w:p>
        </w:tc>
        <w:tc>
          <w:tcPr>
            <w:tcW w:w="1418"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тип опциона (“Put” или “Call”)</w:t>
            </w:r>
          </w:p>
        </w:tc>
        <w:tc>
          <w:tcPr>
            <w:tcW w:w="1418"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опционная премия, тыс. ед.</w:t>
            </w:r>
          </w:p>
        </w:tc>
      </w:tr>
      <w:tr>
        <w:trPr>
          <w:tblHeader w:val="true"/>
          <w:cantSplit/>
        </w:trPr>
        <w:tc>
          <w:tcPr>
            <w:tcW w:w="67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rFonts w:cs="Arial"/>
                <w:sz w:val="14"/>
              </w:rPr>
            </w:r>
          </w:p>
        </w:tc>
        <w:tc>
          <w:tcPr>
            <w:tcW w:w="1700"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(размещения) денежных средств по операциям на денежных рынках)</w:t>
            </w:r>
          </w:p>
        </w:tc>
        <w:tc>
          <w:tcPr>
            <w:tcW w:w="1417"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(дата возврата денежных средств по операциям на денежных рынках)</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цифровой код валюты</w:t>
            </w:r>
          </w:p>
        </w:tc>
        <w:tc>
          <w:tcPr>
            <w:tcW w:w="85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сумма, тыс. ед.</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цифровой код валюты</w:t>
            </w:r>
          </w:p>
        </w:tc>
        <w:tc>
          <w:tcPr>
            <w:tcW w:w="85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сумма, тыс. ед.</w:t>
            </w:r>
          </w:p>
        </w:tc>
        <w:tc>
          <w:tcPr>
            <w:tcW w:w="113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13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132"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004"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26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4"/>
              </w:rPr>
            </w:pPr>
            <w:r>
              <w:rPr>
                <w:sz w:val="14"/>
              </w:rPr>
            </w:r>
          </w:p>
        </w:tc>
        <w:tc>
          <w:tcPr>
            <w:tcW w:w="1418"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(тип операции на денежном рынке)</w:t>
            </w:r>
          </w:p>
        </w:tc>
        <w:tc>
          <w:tcPr>
            <w:tcW w:w="1418" w:type="dxa"/>
            <w:tcBorders>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(процентная ставка, процентов)</w:t>
            </w:r>
          </w:p>
        </w:tc>
      </w:tr>
      <w:tr>
        <w:trPr>
          <w:tblHeader w:val="true"/>
          <w:cantSplit/>
        </w:trPr>
        <w:tc>
          <w:tcPr>
            <w:tcW w:w="6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7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4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85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85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c>
          <w:tcPr>
            <w:tcW w:w="113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10</w:t>
            </w:r>
          </w:p>
        </w:tc>
        <w:tc>
          <w:tcPr>
            <w:tcW w:w="100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11</w:t>
            </w:r>
          </w:p>
        </w:tc>
        <w:tc>
          <w:tcPr>
            <w:tcW w:w="12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12</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13</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14</w:t>
            </w:r>
          </w:p>
        </w:tc>
      </w:tr>
      <w:tr>
        <w:trPr>
          <w:cantSplit/>
        </w:trPr>
        <w:tc>
          <w:tcPr>
            <w:tcW w:w="67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7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7"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8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0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6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color w:val="000000"/>
        </w:rPr>
        <w:t>Порядок составления и представления отчетности по форме 0409701 “Отчет об операциях на валютных и денежных рынках”</w:t>
      </w:r>
    </w:p>
    <w:p>
      <w:pPr>
        <w:pStyle w:val="MGlavaCenter"/>
        <w:keepLines w:val="false"/>
        <w:spacing w:before="0" w:after="120"/>
        <w:rPr>
          <w:b w:val="false"/>
        </w:rPr>
      </w:pPr>
      <w:r>
        <w:rPr>
          <w:b w:val="false"/>
        </w:rPr>
        <w:t>Раздел I. Общие положения</w:t>
      </w:r>
    </w:p>
    <w:p>
      <w:pPr>
        <w:pStyle w:val="MainText"/>
        <w:rPr/>
      </w:pPr>
      <w:r>
        <w:rPr/>
        <w:t>I.1. Отчетность по форме 0409701 “Отчет об операциях на валютных и денежных рынках” (далее — Отчет) формируется в целях определения совокупного объема и структуры операций на валютных и денежных рынках, осуществляемых кредитными организациями — резидентами Российской Федерации (далее — уполномоченные банки), и используется в агрегированном виде при подготовке обзоров финансового рынка и других информационно-аналитических материалов, необходимых Банку России для исполнения функций, установленных законодательством Российской Федерации.</w:t>
      </w:r>
    </w:p>
    <w:p>
      <w:pPr>
        <w:pStyle w:val="MainText"/>
        <w:rPr/>
      </w:pPr>
      <w:r>
        <w:rPr/>
        <w:t>I.2. В Отчет уполномоченного банка включаются следующие виды операций на валютных и денежных рынках.</w:t>
      </w:r>
    </w:p>
    <w:p>
      <w:pPr>
        <w:pStyle w:val="MainText"/>
        <w:rPr/>
      </w:pPr>
      <w:r>
        <w:rPr/>
        <w:t>I.2.1. Сделки купли-продажи и операции по конверсии валют различных государств (включая валюту Российской Федерации), а также конверсия валют по операциям с финансовыми активами, валютная ценность которых не совпадает с валютой платежа (в том числе конверсия валют на корреспондентских счетах в банках-корреспондентах, банковских счетах юридических и физических лиц — банковских клиентов, не являющихся кредитными организациями).</w:t>
      </w:r>
    </w:p>
    <w:p>
      <w:pPr>
        <w:pStyle w:val="MainText"/>
        <w:rPr/>
      </w:pPr>
      <w:r>
        <w:rPr/>
        <w:t>I.2.2. Межбанковские операции привлечения и размещения денежных средств в валюте Российской Федерации и валютах других государств на денежных рынках.</w:t>
      </w:r>
    </w:p>
    <w:p>
      <w:pPr>
        <w:pStyle w:val="MainText"/>
        <w:rPr/>
      </w:pPr>
      <w:r>
        <w:rPr/>
        <w:t>I.3. Дополнительно в Отчет включается информация об операциях уполномоченных банков с производными инструментами валютного рынка (сделки “валютный своп”, форвардные сделки и опционы внебиржевого валютного рынка, биржевые фьючерсные и опционные валютные контракты и так далее), включая сведения об операциях, осуществляемых в интересах третьих лиц — нерезидентов, по которым уполномоченный банк, имеющий полномочия от имени третьих лиц — нерезидентов котировать цены на указанные производные инструменты, не налагает на себя финансовых обязательств по заключаемым на основании его котировок сделкам третьих лиц — нерезидентов.</w:t>
      </w:r>
    </w:p>
    <w:p>
      <w:pPr>
        <w:pStyle w:val="MainText"/>
        <w:rPr/>
      </w:pPr>
      <w:r>
        <w:rPr/>
        <w:t>I.4. В рамках настоящего Порядка в отношении контрагентов по конверсионным операциям уполномоченного банка используется следующая классификация:</w:t>
      </w:r>
    </w:p>
    <w:p>
      <w:pPr>
        <w:pStyle w:val="MainText"/>
        <w:rPr/>
      </w:pPr>
      <w:r>
        <w:rPr/>
        <w:t>сделки (кассовые и срочные), расчеты по которым осуществляются с кредитной организацией (резидентом или нерезидентом) (межбанковские сделки);</w:t>
      </w:r>
    </w:p>
    <w:p>
      <w:pPr>
        <w:pStyle w:val="MainText"/>
        <w:rPr/>
      </w:pPr>
      <w:r>
        <w:rPr/>
        <w:t>сделки (кассовые и срочные), расчеты по которым проводятся организацией (небанковской кредитной организацией или расчетным банком и тому подобное), осуществляющей клиринг по обязательствам участников биржевой или какой-либо другой торговой системы (далее — специализированная организация);</w:t>
      </w:r>
    </w:p>
    <w:p>
      <w:pPr>
        <w:pStyle w:val="MainText"/>
        <w:rPr/>
      </w:pPr>
      <w:r>
        <w:rPr/>
        <w:t>операции (в том числе конверсионный обмен денежными средствами в разных валютах) между головным офисом и филиалом уполномоченного банка или между двумя филиалами одного уполномоченного банка (далее — операции с филиалом);</w:t>
      </w:r>
    </w:p>
    <w:p>
      <w:pPr>
        <w:pStyle w:val="MainText"/>
        <w:rPr/>
      </w:pPr>
      <w:r>
        <w:rPr/>
        <w:t>конверсия валют по сделкам купли-продажи и другим внутрибанковским (клиентским) операциям с юридическими и физическими лицами — владельцами банковских расчетных, депозитных и прочих счетов, предусматривающих конверсию в другие валюты, счетов в рублях и в иностранных валютах.</w:t>
      </w:r>
    </w:p>
    <w:p>
      <w:pPr>
        <w:pStyle w:val="MainText"/>
        <w:rPr/>
      </w:pPr>
      <w:r>
        <w:rPr/>
        <w:t>I.5. При включении в Отчет операций по покупке и продаже одной иностранной валюты за другую или за рубли, осуществляемых в различных сегментах валютного рынка, отдельно обозначаются:</w:t>
      </w:r>
    </w:p>
    <w:p>
      <w:pPr>
        <w:pStyle w:val="MainText"/>
        <w:rPr/>
      </w:pPr>
      <w:r>
        <w:rPr/>
        <w:t>межбанковские внебиржевые и биржевые сделки покупки и продажи безналичной иностранной валюты;</w:t>
      </w:r>
    </w:p>
    <w:p>
      <w:pPr>
        <w:pStyle w:val="MainText"/>
        <w:rPr/>
      </w:pPr>
      <w:r>
        <w:rPr/>
        <w:t>межбанковские внебиржевые и биржевые операции “валютный своп” (операции, представляющие собой комбинацию двух заключаемых одновременно встречных сделок: покупки и продажи одной и той же суммы в валюте одного вида (базовой валюты) за другую валюту (оценочную валюту) с разными датами валютирования по каждой из двух частей сделки);</w:t>
      </w:r>
    </w:p>
    <w:p>
      <w:pPr>
        <w:pStyle w:val="MainText"/>
        <w:rPr/>
      </w:pPr>
      <w:r>
        <w:rPr/>
        <w:t>межбанковские сделки покупки и продажи наличной валюты одного государства за безналичную или наличную валюту другого государства;</w:t>
      </w:r>
    </w:p>
    <w:p>
      <w:pPr>
        <w:pStyle w:val="MainText"/>
        <w:rPr/>
      </w:pPr>
      <w:r>
        <w:rPr/>
        <w:t>сделки с клиентами, заключенные по договорам купли-продажи иностранной валюты и другим соглашениям (торговым, агентским, брокерского обслуживания и тому подобное).</w:t>
      </w:r>
    </w:p>
    <w:p>
      <w:pPr>
        <w:pStyle w:val="MainText"/>
        <w:rPr/>
      </w:pPr>
      <w:r>
        <w:rPr/>
        <w:t>I.6. В Отчет также включаются следующие виды конверсии валют, осуществляемой при проведении банковских операций:</w:t>
      </w:r>
    </w:p>
    <w:p>
      <w:pPr>
        <w:pStyle w:val="MainText"/>
        <w:rPr/>
      </w:pPr>
      <w:r>
        <w:rPr/>
        <w:t>конверсии денежных средств (на корреспондентских, депозитных и прочих счетах), осуществляемые в банках-корреспондентах, как по прямому поручению или заявке уполномоченного банка, так и обусловленные режимом указанных счетов;</w:t>
      </w:r>
    </w:p>
    <w:p>
      <w:pPr>
        <w:pStyle w:val="MainText"/>
        <w:rPr/>
      </w:pPr>
      <w:r>
        <w:rPr/>
        <w:t>конверсии денежных средств (на текущих, депозитных и прочих клиентских счетах), осуществляемые уполномоченным банком, как по прямому поручению или заявке клиента, так и обусловленные договором текущего банковского счета;</w:t>
      </w:r>
    </w:p>
    <w:p>
      <w:pPr>
        <w:pStyle w:val="MainText"/>
        <w:rPr/>
      </w:pPr>
      <w:r>
        <w:rPr/>
        <w:t>конверсии денежных средств при покупке и продаже различных финансовых активов, валюта обязательств которых не совпадает с валютой платежа;</w:t>
      </w:r>
    </w:p>
    <w:p>
      <w:pPr>
        <w:pStyle w:val="MainText"/>
        <w:rPr/>
      </w:pPr>
      <w:r>
        <w:rPr/>
        <w:t>прочие конверсии денежных средств, осуществление которых обусловлено несовпадением валюты актива и валюты платежа либо несовпадением валюты корреспондентского (текущего) счета и валюты банковского (клиентского) платежа (при переводе денежных средств, погашении кредитов, списании и зачислении денежных средств на текущие и корреспондентские счета по операциям с кредитными картами, дорожными чеками и тому подобное).</w:t>
      </w:r>
    </w:p>
    <w:p>
      <w:pPr>
        <w:pStyle w:val="MainText"/>
        <w:rPr/>
      </w:pPr>
      <w:r>
        <w:rPr/>
        <w:t>I.7. В Отчет включается информация по всем сделкам купли-продажи и операциям с конверсией валют независимо от порядка расчетов (с предоплатой или без нее, с обязательствами обеих сторон поставить торгуемые валюты или без обязательств их поставки на условиях проведения выплат по результатам взаимозачета и тому подобное).</w:t>
      </w:r>
    </w:p>
    <w:p>
      <w:pPr>
        <w:pStyle w:val="MainText"/>
        <w:rPr/>
      </w:pPr>
      <w:r>
        <w:rPr/>
        <w:t>I.8. Операции по возмещению денежных сумм в одной валюте, списанных с банковских клиентских счетов, путем зачисления денежного эквивалента в другой валюте, полученного в результате продажи на внутреннем или международном валютном рынке, отражаются в Отчете как клиентские операции по конверсии денежных средств. Продажа списанной с клиентского счета иностранной валюты, осуществляемая (частично или полностью) уполномоченным банком на внутреннем или международном валютном рынке, или напрямую Банку России отражается в Отчете соответственно как межбанковская или биржевая сделка. В противном случае считается, что клиентская конверсия валют проведена (в полном объеме или частично) уполномоченным банком через свою позицию.</w:t>
      </w:r>
    </w:p>
    <w:p>
      <w:pPr>
        <w:pStyle w:val="MainText"/>
        <w:rPr/>
      </w:pPr>
      <w:r>
        <w:rPr/>
        <w:t>I.9. В рамках настоящего Порядка устанавливается следующий перечень включаемых в Отчет операций по привлечению и размещению денежных средств на межбанковских денежных рынках:</w:t>
      </w:r>
    </w:p>
    <w:p>
      <w:pPr>
        <w:pStyle w:val="MainText"/>
        <w:rPr/>
      </w:pPr>
      <w:r>
        <w:rPr/>
        <w:t>сделки межбанковского кредитования (депозитные сделки);</w:t>
      </w:r>
    </w:p>
    <w:p>
      <w:pPr>
        <w:pStyle w:val="MainText"/>
        <w:rPr/>
      </w:pPr>
      <w:r>
        <w:rPr/>
        <w:t>сделки межбанковского РЕПО.</w:t>
      </w:r>
    </w:p>
    <w:p>
      <w:pPr>
        <w:pStyle w:val="MainText"/>
        <w:rPr/>
      </w:pPr>
      <w:r>
        <w:rPr/>
        <w:t>I.10. Не подлежат отражению в Отчете следующие виды операций:</w:t>
      </w:r>
    </w:p>
    <w:p>
      <w:pPr>
        <w:pStyle w:val="MainText"/>
        <w:rPr/>
      </w:pPr>
      <w:r>
        <w:rPr/>
        <w:t>покупка и продажа наличной иностранной валюты (за исключением предусмотренных пунктом I.5 настоящего раздела);</w:t>
      </w:r>
    </w:p>
    <w:p>
      <w:pPr>
        <w:pStyle w:val="MainText"/>
        <w:rPr/>
      </w:pPr>
      <w:r>
        <w:rPr/>
        <w:t>конверсия валют, возникающая при отражении в бухгалтерском учете доходов и расходов в иностранной валюте;</w:t>
      </w:r>
    </w:p>
    <w:p>
      <w:pPr>
        <w:pStyle w:val="MainText"/>
        <w:rPr/>
      </w:pPr>
      <w:r>
        <w:rPr/>
        <w:t>конверсия валют, возникающая по сделкам РЕПО при несоответствии валюты обеспечения и валюты кредита;</w:t>
      </w:r>
    </w:p>
    <w:p>
      <w:pPr>
        <w:pStyle w:val="MainText"/>
        <w:rPr/>
      </w:pPr>
      <w:r>
        <w:rPr/>
        <w:t>сделки с клиринговыми валютами;</w:t>
      </w:r>
    </w:p>
    <w:p>
      <w:pPr>
        <w:pStyle w:val="MainText"/>
        <w:rPr/>
      </w:pPr>
      <w:r>
        <w:rPr/>
        <w:t>сделки с драгоценными металлами;</w:t>
      </w:r>
    </w:p>
    <w:p>
      <w:pPr>
        <w:pStyle w:val="MainText"/>
        <w:rPr/>
      </w:pPr>
      <w:r>
        <w:rPr/>
        <w:t>межбанковские депозиты до востребования;</w:t>
      </w:r>
    </w:p>
    <w:p>
      <w:pPr>
        <w:pStyle w:val="MainText"/>
        <w:rPr/>
      </w:pPr>
      <w:r>
        <w:rPr/>
        <w:t>процентные деривативы;</w:t>
      </w:r>
    </w:p>
    <w:p>
      <w:pPr>
        <w:pStyle w:val="MainText"/>
        <w:rPr/>
      </w:pPr>
      <w:r>
        <w:rPr/>
        <w:t>синдицированные кредиты;</w:t>
      </w:r>
    </w:p>
    <w:p>
      <w:pPr>
        <w:pStyle w:val="MainText"/>
        <w:rPr/>
      </w:pPr>
      <w:r>
        <w:rPr/>
        <w:t>внутридневные “овердрафты”.</w:t>
      </w:r>
    </w:p>
    <w:p>
      <w:pPr>
        <w:pStyle w:val="MainText"/>
        <w:rPr/>
      </w:pPr>
      <w:r>
        <w:rPr/>
        <w:t>I.11. Отчет должен включать операции только головного офиса для уполномоченных банков, зарегистрированных в г. Москве и Московской области (далее — Московский регион), без учета операций иногородних филиалов уполномоченного банка. Для зарегистрированных в Московском регионе филиалов иногородних уполномоченных банков в Отчет должны включаться только собственные операции филиала, без учета операций головного офиса.</w:t>
      </w:r>
    </w:p>
    <w:p>
      <w:pPr>
        <w:pStyle w:val="MainText"/>
        <w:rPr/>
      </w:pPr>
      <w:r>
        <w:rPr/>
        <w:t>I.12. Уполномоченный банк, включенный в перечень уполномоченных банков, предоставляющих Отчет, уведомляется письмом Банка России о сроках начала представления Отчета, структурном подразделении Банка России, осуществляющем прием отчетности, и контактных телефонах ответственных работников Банка России, а также структурного подразделения Банка России, осуществляющего прием отчетности.</w:t>
      </w:r>
    </w:p>
    <w:p>
      <w:pPr>
        <w:pStyle w:val="MainText"/>
        <w:rPr/>
      </w:pPr>
      <w:r>
        <w:rPr/>
        <w:t>I.13. Отчетность может устанавливаться территориальными учреждениями Банка России для подотчетных им уполномоченных банков и филиалов иногородних банков по согласованию с Банком России. При этом перечень территориальных учреждений Банка России, участвующих в сборе Отчета, определяется Банком России.</w:t>
      </w:r>
    </w:p>
    <w:p>
      <w:pPr>
        <w:pStyle w:val="MainText"/>
        <w:rPr/>
      </w:pPr>
      <w:r>
        <w:rPr/>
        <w:t>I.14. Уполномоченные банки, зарегистрированные в Московском регионе, согласно определенному Банком России на основании мониторинга внутреннего валютного рынка перечню представляют Отчет ежедневно в Банк России по каналам электронной связи не позднее 11 часов 00 минут по московскому времени рабочего дня, следующего за отчетным.</w:t>
      </w:r>
    </w:p>
    <w:p>
      <w:pPr>
        <w:pStyle w:val="MainText"/>
        <w:rPr/>
      </w:pPr>
      <w:r>
        <w:rPr/>
        <w:t>I.15. В случае если обработка данных о конверсионных операциях, указанных в пункте I.6 настоящего раздела, не может быть завершена в установленный срок, уполномоченный банк обязан своевременно представить частично сформированный Отчет, содержащий информацию о всех сделках, указанных в пункте I.5 настоящего раздела. Последующая замена Отчета должна быть осуществлена до 13 часов 00 минут по московскому времени того же рабочего дня.</w:t>
      </w:r>
    </w:p>
    <w:p>
      <w:pPr>
        <w:pStyle w:val="MainText"/>
        <w:rPr/>
      </w:pPr>
      <w:r>
        <w:rPr/>
        <w:t>I.16. В случае если обработка данных об операциях на денежных рынках, указанных в пункте I.9 настоящего раздела, не может быть завершена до 13 часов 00 минут по московскому времени, уполномоченный банк должен представить полностью сформированный Отчет, содержащий информацию о всех сделках, указанных в пунктах I.5 и I.9 настоящего раздела, до 15 часов 00 минут по московскому времени того же рабочего дня.</w:t>
      </w:r>
    </w:p>
    <w:p>
      <w:pPr>
        <w:pStyle w:val="MGlavaCenter"/>
        <w:rPr>
          <w:b w:val="false"/>
        </w:rPr>
      </w:pPr>
      <w:r>
        <w:rPr>
          <w:b w:val="false"/>
        </w:rPr>
        <w:t>Раздел II. Порядок составления Отчета по операциям на валютных рынках</w:t>
      </w:r>
    </w:p>
    <w:p>
      <w:pPr>
        <w:pStyle w:val="MainText"/>
        <w:rPr/>
      </w:pPr>
      <w:r>
        <w:rPr/>
        <w:t>II.1. Сделки покупки и продажи иностранной валюты включаются в Отчет на дату их заключения.</w:t>
      </w:r>
    </w:p>
    <w:p>
      <w:pPr>
        <w:pStyle w:val="MainText"/>
        <w:rPr/>
      </w:pPr>
      <w:r>
        <w:rPr/>
        <w:t>II.2. Дата заключения сделки указывается в графе 2 Отчета.</w:t>
      </w:r>
    </w:p>
    <w:p>
      <w:pPr>
        <w:pStyle w:val="MainText"/>
        <w:rPr/>
      </w:pPr>
      <w:r>
        <w:rPr/>
        <w:t>II.3. Дата расчетов (исполнения) по сделке указывается в графе 3 Отчета.</w:t>
      </w:r>
    </w:p>
    <w:p>
      <w:pPr>
        <w:pStyle w:val="MainText"/>
        <w:rPr/>
      </w:pPr>
      <w:r>
        <w:rPr/>
        <w:t>II.4. В качестве дат заключения и расчетов (графы 2 и 3 Отчета) по конверсионным операциям, по содержанию которых не требуется заключения специальных договоров или оформления заявок и поручений на покупку или продажу иностранной валюты (в частности, по операциям, указанным в пункте I.6 раздела I настоящего Порядка), используются даты их отражения в балансе уполномоченного банка.</w:t>
      </w:r>
    </w:p>
    <w:p>
      <w:pPr>
        <w:pStyle w:val="MainText"/>
        <w:rPr/>
      </w:pPr>
      <w:r>
        <w:rPr/>
        <w:t>II.5. В случае осуществления расчетов по сделке на условиях предоплаты или депонирования денежных средств по одной из валют в графе 3 Отчета указывается дата более позднего платежа (последнего для обеих сторон) по сделке.</w:t>
      </w:r>
    </w:p>
    <w:p>
      <w:pPr>
        <w:pStyle w:val="MainText"/>
        <w:rPr/>
      </w:pPr>
      <w:r>
        <w:rPr/>
        <w:t>II.6. В графах 4 и 5 Отчета указываются соответственно цифровой код и сумма валюты, которая куплена уполномоченным банком по заключенной сделке или создала длинную позицию в результате осуществления конверсии денежных средств.</w:t>
      </w:r>
    </w:p>
    <w:p>
      <w:pPr>
        <w:pStyle w:val="MainText"/>
        <w:rPr/>
      </w:pPr>
      <w:r>
        <w:rPr/>
        <w:t>II.7. В графах 6 и 7 Отчета указываются соответственно цифровой код и сумма валюты, которая продана уполномоченным банком по заключенной сделке или создала короткую позицию в результате осуществления конверсии денежных средств.</w:t>
      </w:r>
    </w:p>
    <w:p>
      <w:pPr>
        <w:pStyle w:val="MainText"/>
        <w:rPr/>
      </w:pPr>
      <w:r>
        <w:rPr/>
        <w:t>II.8. По срочным и кассовым операциям без обязательств по поставке валют, а также по биржевым фьючерсным и опционным валютным контрактам без поставки в графах 5 и 7 отражаются (на дату их открытия) сумма базовой валюты и ее стоимость в другой валюте в соответствии с курсом (ценой исполнения) по сделке (контракту) на начало расчетного периода.</w:t>
      </w:r>
    </w:p>
    <w:p>
      <w:pPr>
        <w:pStyle w:val="MainText"/>
        <w:rPr/>
      </w:pPr>
      <w:r>
        <w:rPr/>
        <w:t>II.9. По сделкам типа “валютный опцион” в графе 5 указывается сумма валюты, которая будет куплена продавцом или покупателем опциона в случае его исполнения, а в графе 7 указывается сумма валюты, которая будет продана продавцом или покупателем опциона в случае его исполнения.</w:t>
      </w:r>
    </w:p>
    <w:p>
      <w:pPr>
        <w:pStyle w:val="MainText"/>
        <w:rPr/>
      </w:pPr>
      <w:r>
        <w:rPr/>
        <w:t>II.10. Суммы купленных и проданных валют указываются в тысячах денежных единиц (с округлением по математическому методу до целых чисел). Сделки по купле-продаже и операции по конверсии валют, сумма требований или обязательств которых меньше (по крайней мере по одной из них) 1000 единиц, в Отчет не включаются.</w:t>
      </w:r>
    </w:p>
    <w:p>
      <w:pPr>
        <w:pStyle w:val="MainText"/>
        <w:rPr/>
      </w:pPr>
      <w:r>
        <w:rPr/>
        <w:t>II.11. При заключении биржевых сделок в Отчете указываются отдельно двумя суммами (по каждому инструменту) общие (по итогам торговой сессии) объемы купленной и проданной валюты лота и соответствующие им суммы обязательств и требований по сопряженной валюте.</w:t>
      </w:r>
    </w:p>
    <w:p>
      <w:pPr>
        <w:pStyle w:val="MainText"/>
        <w:rPr/>
      </w:pPr>
      <w:r>
        <w:rPr/>
        <w:t>II.12. В Отчете допускается объединять операции с клиентами (с одним и тем же или разными), сумма каждой из которых менее 1 млн. в эквиваленте долларов США, при условии совпадения всех других параметров объединяемых сделок.</w:t>
      </w:r>
    </w:p>
    <w:p>
      <w:pPr>
        <w:pStyle w:val="MainText"/>
        <w:rPr/>
      </w:pPr>
      <w:r>
        <w:rPr/>
        <w:t>II.13. В графе 8 Отчета указывается буква “R”, если контрагент уполномоченного банка по сделке является резидентом, или буква “N”, если контрагент уполномоченного банка по сделке не является резидентом.</w:t>
      </w:r>
    </w:p>
    <w:p>
      <w:pPr>
        <w:pStyle w:val="MainText"/>
        <w:rPr/>
      </w:pPr>
      <w:r>
        <w:rPr/>
        <w:t>II.14. В случае если сделка заключена с кредитной организацией на межбанковском внебиржевом рынке или относится к внебиржевым межбанковским операциям, в графе 9 Отчета необходимо идентифицировать контрагента (в противном случае графа 9 не заполняется), используя следующие обозначения:</w:t>
      </w:r>
    </w:p>
    <w:p>
      <w:pPr>
        <w:pStyle w:val="MainText"/>
        <w:rPr/>
      </w:pPr>
      <w:r>
        <w:rPr/>
        <w:t>для Банка России указывается аббревиатура CBRF;</w:t>
      </w:r>
    </w:p>
    <w:p>
      <w:pPr>
        <w:pStyle w:val="MainText"/>
        <w:rPr/>
      </w:pPr>
      <w:r>
        <w:rPr/>
        <w:t>для Международного инвестиционного банка указывается аббревиатура MIB;</w:t>
      </w:r>
    </w:p>
    <w:p>
      <w:pPr>
        <w:pStyle w:val="MainText"/>
        <w:rPr/>
      </w:pPr>
      <w:r>
        <w:rPr/>
        <w:t>для уполномоченных банков и филиалов указывается их регистрационный номер, а в случае его отсутствия — банковский идентификационный код (БИК);</w:t>
      </w:r>
    </w:p>
    <w:p>
      <w:pPr>
        <w:pStyle w:val="MainText"/>
        <w:rPr/>
      </w:pPr>
      <w:r>
        <w:rPr/>
        <w:t>для кредитных организаций — нерезидентов указывается их СВИФТ-код, а в случае его отсутствия — наименование банка и цифровой код страны его места нахождения.</w:t>
      </w:r>
    </w:p>
    <w:p>
      <w:pPr>
        <w:pStyle w:val="MainText"/>
        <w:rPr/>
      </w:pPr>
      <w:r>
        <w:rPr/>
        <w:t>II.15. В графе 10 указывается аббревиатура наименования биржи, если сделки заключены в ее торговой системе или зарегистрированы в ней (соответственно как системные и внесистемные биржевые сделки участников), а расчеты по итоговым обязательствам участников проводятся специализированной организацией по схеме централизованного клиринга (в том числе с участием центрального контрагента). Тот же порядок действует в отношении любых других торговых систем, копирующих указанную биржевую.</w:t>
      </w:r>
    </w:p>
    <w:p>
      <w:pPr>
        <w:pStyle w:val="MainText"/>
        <w:rPr/>
      </w:pPr>
      <w:r>
        <w:rPr/>
        <w:t>При заключении сделок в каких-либо других системах электронной торговли (кроме указанных биржевых), предусматривающих тот же принцип группового доступа участников к торгам, но использующих, в частности, устанавливаемые самостоятельно каждым из участников такой торговой системы на других ее участников индивидуальные лимиты (по торговым, расчетным и тому подобным позициям), в графе 10 также указывается общепринятое сокращенное наименование такой торговой системы (например RTRS, UBS, EBS, LAVA, SAXO и тому подобное) или буква “Е” (в случае возникновения временных затруднений по ее идентификации). При этом в том случае, когда порядок осуществления расчетов по итоговым обязательствам в такой торговой системе предусматривает прямые расчеты между участниками, дополнительно в графе 9 Отчета (в соответствии с идентификацией межбанковских внебиржевых сделок, указанной в пункте II.14 настоящего раздела) указывается контрагент по такой сделке.</w:t>
      </w:r>
    </w:p>
    <w:p>
      <w:pPr>
        <w:pStyle w:val="MainText"/>
        <w:rPr/>
      </w:pPr>
      <w:r>
        <w:rPr/>
        <w:t>II.16. В графе 11 указывается дополнительная информация о сегменте рынка, в котором проведена операция:</w:t>
      </w:r>
    </w:p>
    <w:p>
      <w:pPr>
        <w:pStyle w:val="MainText"/>
        <w:rPr/>
      </w:pPr>
      <w:r>
        <w:rPr/>
        <w:t>буквой “D” обозначаются конверсии денежных средств по операциям с кредитными картами и дорожными чеками;</w:t>
      </w:r>
    </w:p>
    <w:p>
      <w:pPr>
        <w:pStyle w:val="MainText"/>
        <w:rPr/>
      </w:pPr>
      <w:r>
        <w:rPr/>
        <w:t>буквой “К” обозначаются клиентские конверсии и сделки купли-продажи валют (для клиента-нерезидента, сумма сделки с которым превышает 1 млн. в эквиваленте долларов США, вместо буквы “К” указывается цифровой код страны его места нахождения);</w:t>
      </w:r>
    </w:p>
    <w:p>
      <w:pPr>
        <w:pStyle w:val="MainText"/>
        <w:rPr/>
      </w:pPr>
      <w:r>
        <w:rPr/>
        <w:t>буквой “Т” обозначаются операции с производными инструментами, осуществляемые в интересах третьих лиц — нерезидентов;</w:t>
      </w:r>
    </w:p>
    <w:p>
      <w:pPr>
        <w:pStyle w:val="MainText"/>
        <w:rPr/>
      </w:pPr>
      <w:r>
        <w:rPr/>
        <w:t>буквой “В” обозначаются межбанковские сделки по покупке и продаже наличной валюты одного государства за наличную или безналичную валюту другого государства;</w:t>
      </w:r>
    </w:p>
    <w:p>
      <w:pPr>
        <w:pStyle w:val="MainText"/>
        <w:rPr/>
      </w:pPr>
      <w:r>
        <w:rPr/>
        <w:t>буквой “F” обозначаются клиентские конверсии (а также операции, проводимые в интересах общего фонда банковского управления и других фондов банковского управления на межбанковском рынке) и сделки купли-продажи валют, если клиентом является финансовая организация (инвестиционная компания, хедж-фонд и тому подобное), для клиента-нерезидента, сумма сделки с которым превышает 1 млн. в эквиваленте долларов США, вместе с буквой “F” указывается цифровой код страны его местонахождения (без разделителей), например F036).</w:t>
      </w:r>
    </w:p>
    <w:p>
      <w:pPr>
        <w:pStyle w:val="MainText"/>
        <w:rPr/>
      </w:pPr>
      <w:r>
        <w:rPr/>
        <w:t>II.17. В графе 12 указываются дополнительные сведения по следующим видам срочных и кассовых операций (внебиржевых и биржевых):</w:t>
      </w:r>
    </w:p>
    <w:p>
      <w:pPr>
        <w:pStyle w:val="MainText"/>
        <w:rPr/>
      </w:pPr>
      <w:r>
        <w:rPr/>
        <w:t>сделки без обязательств по поставке торгуемых валют (на условиях проведения одной из сторон выплат в размере разницы в стоимости базовой валюты на начало и на конец расчетного периода, независимо от способа определения финансового результата (например, проведения взаимозачета и тому подобное);</w:t>
      </w:r>
    </w:p>
    <w:p>
      <w:pPr>
        <w:pStyle w:val="MainText"/>
        <w:rPr/>
      </w:pPr>
      <w:r>
        <w:rPr/>
        <w:t>биржевые фьючерсные и опционные валютные контракты, торгуемые без поставки;</w:t>
      </w:r>
    </w:p>
    <w:p>
      <w:pPr>
        <w:pStyle w:val="MainText"/>
        <w:rPr/>
      </w:pPr>
      <w:r>
        <w:rPr/>
        <w:t>сделки, входящие в состав операций “валютный своп”.</w:t>
      </w:r>
    </w:p>
    <w:p>
      <w:pPr>
        <w:pStyle w:val="MainText"/>
        <w:rPr/>
      </w:pPr>
      <w:r>
        <w:rPr/>
        <w:t>В противном случае графа 12 не заполняется.</w:t>
      </w:r>
    </w:p>
    <w:p>
      <w:pPr>
        <w:pStyle w:val="MainText"/>
        <w:rPr/>
      </w:pPr>
      <w:r>
        <w:rPr/>
        <w:t>Буквой “O” обозначаются внебиржевые сделки без обязательств по поставке базовой валюты, биржевые фьючерсные и опционные валютные контракты, торгуемые без поставки.</w:t>
      </w:r>
    </w:p>
    <w:p>
      <w:pPr>
        <w:pStyle w:val="MainText"/>
        <w:rPr/>
      </w:pPr>
      <w:r>
        <w:rPr/>
        <w:t>Буквой “S” обозначаются сделки, являющиеся частью операций “валютный своп”. При этом для каждой операции “валютный своп” в одном Отчете обе части сделки должны быть указаны в отдельных строках, следующих одна за другой.</w:t>
      </w:r>
    </w:p>
    <w:p>
      <w:pPr>
        <w:pStyle w:val="MainText"/>
        <w:rPr/>
      </w:pPr>
      <w:r>
        <w:rPr/>
        <w:t>II.18. В графах 13 и 14 указываются дополнительные сведения о заключенных сделках типа “валютный опцион” (на валюту или валютный фьючерсный контракт). По данным сделкам при составлении Отчета необходимо указывать величину вознаграждения (премии), за которое покупателем опциона приобретается одностороннее право по заранее согласованной цене купить (опцион типа “Call”) или продать (опцион типа “Put”) валюту в будущем на определенную дату или в течение установленного периода.</w:t>
      </w:r>
    </w:p>
    <w:p>
      <w:pPr>
        <w:pStyle w:val="MainText"/>
        <w:rPr/>
      </w:pPr>
      <w:r>
        <w:rPr/>
        <w:t>В графе 13 указывается буква “P”, если заключенная сделка является опционом “на продажу” базовой валюты (“Put”), или буква “C”, если заключенная сделка является опционом “на покупку” базовой валюты (“Call”). Для опционов, заключаемых на фьючерсный контракт, дополнительно в данной графе указывается длительность фьючерсного контракта, например: “C2М”, “Р3М”, “С1У” и тому подобное.</w:t>
      </w:r>
    </w:p>
    <w:p>
      <w:pPr>
        <w:pStyle w:val="MainText"/>
        <w:rPr/>
      </w:pPr>
      <w:r>
        <w:rPr/>
        <w:t>В графе 14 указывается величина опционной премии в тысячах денежных единиц, с точностью до трех десятичных знаков после запятой (эквивалент в долларах США, пересчитанный с использованием официальных курсов иностранных валют по отношению к рублю, установленных Банком России на дату заключения сделки): со знаком “минус” — покупателем опциона и со знаком “плюс” — продавцом опциона. В случае нулевой премии по опциону, включенному в Отчет, указывается цифровое значение “0,001” с соответствующим знаком для покупателя или продавца опциона.</w:t>
      </w:r>
    </w:p>
    <w:p>
      <w:pPr>
        <w:pStyle w:val="MainText"/>
        <w:rPr/>
      </w:pPr>
      <w:r>
        <w:rPr/>
        <w:t>II.19. Для обозначений в графах 8, 10—13 используются заглавные буквы латинского алфавита.</w:t>
      </w:r>
    </w:p>
    <w:p>
      <w:pPr>
        <w:pStyle w:val="MGlavaCenter"/>
        <w:rPr>
          <w:b w:val="false"/>
        </w:rPr>
      </w:pPr>
      <w:r>
        <w:rPr>
          <w:b w:val="false"/>
        </w:rPr>
        <w:t>Раздел III. Порядок составления Отчета по операциям на денежных рынках</w:t>
      </w:r>
    </w:p>
    <w:p>
      <w:pPr>
        <w:pStyle w:val="MainText"/>
        <w:rPr/>
      </w:pPr>
      <w:r>
        <w:rPr/>
        <w:t>III.1. Сделки по привлечению и размещению денежных средств включаются в Отчет на дату их заключения. Операции по пролонгации сделок отражаются как отдельные сделки.</w:t>
      </w:r>
    </w:p>
    <w:p>
      <w:pPr>
        <w:pStyle w:val="MainText"/>
        <w:rPr/>
      </w:pPr>
      <w:r>
        <w:rPr/>
        <w:t>В Отчет включаются сделки, сумма привлечения или возврата которых не менее 1 млн. рублей.</w:t>
      </w:r>
    </w:p>
    <w:p>
      <w:pPr>
        <w:pStyle w:val="MainText"/>
        <w:rPr/>
      </w:pPr>
      <w:r>
        <w:rPr/>
        <w:t>В Отчет не включаются сделки по автоматическому размещению остатка средств на корреспондентском счете.</w:t>
      </w:r>
    </w:p>
    <w:p>
      <w:pPr>
        <w:pStyle w:val="MainText"/>
        <w:rPr/>
      </w:pPr>
      <w:r>
        <w:rPr/>
        <w:t>III.2. Дата заключения сделки не указывается (должна совпадать с датой Отчета). В случае досрочного возврата денежных средств в графе 2 проставляется первоначальная дата заключения сделки.</w:t>
      </w:r>
    </w:p>
    <w:p>
      <w:pPr>
        <w:pStyle w:val="MainText"/>
        <w:rPr/>
      </w:pPr>
      <w:r>
        <w:rPr/>
        <w:t>III.3. Дата привлечения (размещения) денежных средств по заключенной сделке указывается в графе 2 Отчета.</w:t>
      </w:r>
    </w:p>
    <w:p>
      <w:pPr>
        <w:pStyle w:val="MainText"/>
        <w:rPr/>
      </w:pPr>
      <w:r>
        <w:rPr/>
        <w:t>III.4. Дата возврата привлеченных (размещенных) денежных средств по заключенной сделке указывается в графе 3 Отчета.</w:t>
      </w:r>
    </w:p>
    <w:p>
      <w:pPr>
        <w:pStyle w:val="MainText"/>
        <w:rPr/>
      </w:pPr>
      <w:r>
        <w:rPr/>
        <w:t>III.5. В графах 4 и 5 Отчета указываются:</w:t>
      </w:r>
    </w:p>
    <w:p>
      <w:pPr>
        <w:pStyle w:val="MainText"/>
        <w:rPr/>
      </w:pPr>
      <w:r>
        <w:rPr/>
        <w:t>по сделкам привлечения денежных средств — цифровой код валюты и денежная сумма, которая привлечена по заключенной сделке, соответственно;</w:t>
      </w:r>
    </w:p>
    <w:p>
      <w:pPr>
        <w:pStyle w:val="MainText"/>
        <w:rPr/>
      </w:pPr>
      <w:r>
        <w:rPr/>
        <w:t>по сделкам размещения денежных средств — цифровой код валюты и денежная сумма, которая будет получена с учетом начисленных процентов (возмещена контрагентом-заемщиком) при завершении сделки, соответственно.</w:t>
      </w:r>
    </w:p>
    <w:p>
      <w:pPr>
        <w:pStyle w:val="MainText"/>
        <w:rPr/>
      </w:pPr>
      <w:r>
        <w:rPr/>
        <w:t>III.6. В графах 6 и 7 Отчета указываются:</w:t>
      </w:r>
    </w:p>
    <w:p>
      <w:pPr>
        <w:pStyle w:val="MainText"/>
        <w:rPr/>
      </w:pPr>
      <w:r>
        <w:rPr/>
        <w:t>по сделкам привлечения денежных средств — цифровой код валюты и денежная сумма, которая будет возвращена с учетом начисленных процентов (возмещена контрагенту-кредитору) при завершении сделки, соответственно;</w:t>
      </w:r>
    </w:p>
    <w:p>
      <w:pPr>
        <w:pStyle w:val="MainText"/>
        <w:rPr/>
      </w:pPr>
      <w:r>
        <w:rPr/>
        <w:t>по сделкам размещения денежных средств — цифровой код валюты и денежная сумма, которая размещена по заключенной сделке, соответственно.</w:t>
      </w:r>
    </w:p>
    <w:p>
      <w:pPr>
        <w:pStyle w:val="MainText"/>
        <w:rPr/>
      </w:pPr>
      <w:r>
        <w:rPr/>
        <w:t>III.7. В графе 9 указывается регистрационный номер контрагента (кредитной организации). В случае отсутствия возможности идентификации контрагента графа не заполняется.</w:t>
      </w:r>
    </w:p>
    <w:p>
      <w:pPr>
        <w:pStyle w:val="MainText"/>
        <w:rPr/>
      </w:pPr>
      <w:r>
        <w:rPr/>
        <w:t>III.8. В графе 10 указывается торговая система, в которой заключена сделка.</w:t>
      </w:r>
    </w:p>
    <w:p>
      <w:pPr>
        <w:pStyle w:val="MainText"/>
        <w:rPr/>
      </w:pPr>
      <w:r>
        <w:rPr/>
        <w:t>III.9. В графе 13 заглавными буквами латинского алфавита указываются:</w:t>
      </w:r>
    </w:p>
    <w:p>
      <w:pPr>
        <w:pStyle w:val="MainText"/>
        <w:rPr/>
      </w:pPr>
      <w:r>
        <w:rPr/>
        <w:t>DEPO — по сделкам межбанковского кредитования (депозитным сделкам);</w:t>
      </w:r>
    </w:p>
    <w:p>
      <w:pPr>
        <w:pStyle w:val="MainText"/>
        <w:rPr/>
      </w:pPr>
      <w:r>
        <w:rPr/>
        <w:t>REPO — по сделкам межбанковского РЕПО.</w:t>
      </w:r>
    </w:p>
    <w:p>
      <w:pPr>
        <w:pStyle w:val="MainText"/>
        <w:rPr/>
      </w:pPr>
      <w:r>
        <w:rPr/>
        <w:t>III.10. В графе 14 указывается:</w:t>
      </w:r>
    </w:p>
    <w:p>
      <w:pPr>
        <w:pStyle w:val="MainText"/>
        <w:rPr/>
      </w:pPr>
      <w:r>
        <w:rPr/>
        <w:t>по операциям на денежных рынках — процентная ставка по сделке, с точностью до четырех десятичных знаков после запятой без указания символа %, например, 0.7500, 6.5039;</w:t>
      </w:r>
    </w:p>
    <w:p>
      <w:pPr>
        <w:pStyle w:val="MainText"/>
        <w:rPr/>
      </w:pPr>
      <w:r>
        <w:rPr/>
        <w:t>по операциям, где процентная ставка не может быть четко определена, — “0” (ноль).</w:t>
      </w:r>
    </w:p>
    <w:p>
      <w:pPr>
        <w:pStyle w:val="MainText"/>
        <w:rPr/>
      </w:pPr>
      <w:r>
        <w:rPr/>
        <w:t>III.11. По операциям на денежных рынках при обозначении контрагента и дополнительных сведений по сделкам используются те же символы, которые предусмотрены в Отчете для обозначения межбанковских (биржевых и внебиржевых) операций на валютных рынках.</w:t>
      </w:r>
    </w:p>
    <w:p>
      <w:pPr>
        <w:pStyle w:val="MainText"/>
        <w:rPr/>
      </w:pPr>
      <w:r>
        <w:rPr/>
        <w:t>III.12. В Отчете также отражаются заявленные ставки привлеченных и размещенных средств на день формирования Отчета, сгруппированные по срокам: 1 день, от 2 до 7 дней, от 8 до 30 дней, от 31 до 90 дней, от 91 до 180 дней, от 181 до 365 (366) дней. Порядок заполнения заявленных ставок следующий:</w:t>
      </w:r>
    </w:p>
    <w:p>
      <w:pPr>
        <w:pStyle w:val="MainText"/>
        <w:rPr/>
      </w:pPr>
      <w:r>
        <w:rPr/>
        <w:t>в графе 2 указывается дата формирования Отчета;</w:t>
      </w:r>
    </w:p>
    <w:p>
      <w:pPr>
        <w:pStyle w:val="MainText"/>
        <w:rPr/>
      </w:pPr>
      <w:r>
        <w:rPr/>
        <w:t>в графе 3 указывается дата расчета, которая рассчитывается как дата формирования Отчета плюс максимальный срок (1, 7, 30, 90, 180, 365 (366) дней) из группы заявленных ставок;</w:t>
      </w:r>
    </w:p>
    <w:p>
      <w:pPr>
        <w:pStyle w:val="MainText"/>
        <w:rPr/>
      </w:pPr>
      <w:r>
        <w:rPr/>
        <w:t>в графах 4 и 6 указывается код валюты кредита или депозита;</w:t>
      </w:r>
    </w:p>
    <w:p>
      <w:pPr>
        <w:pStyle w:val="MainText"/>
        <w:rPr/>
      </w:pPr>
      <w:r>
        <w:rPr/>
        <w:t>в графах 5 и 7 проставляются нули;</w:t>
      </w:r>
    </w:p>
    <w:p>
      <w:pPr>
        <w:pStyle w:val="MainText"/>
        <w:rPr/>
      </w:pPr>
      <w:r>
        <w:rPr/>
        <w:t>в графе 13 по ставке привлечения денежных средств указывается буква “B”, по ставке размещения указывается буква “S”;</w:t>
      </w:r>
    </w:p>
    <w:p>
      <w:pPr>
        <w:pStyle w:val="MainText"/>
        <w:rPr/>
      </w:pPr>
      <w:r>
        <w:rPr/>
        <w:t>в графе 14 проставляется заявленная ставка.</w:t>
      </w:r>
    </w:p>
    <w:p>
      <w:pPr>
        <w:pStyle w:val="MGlavaCenter"/>
        <w:rPr>
          <w:b w:val="false"/>
        </w:rPr>
      </w:pPr>
      <w:r>
        <w:rPr>
          <w:b w:val="false"/>
        </w:rPr>
        <w:t>Раздел IV. Дополнительные требования к составлению и представлению Отчета</w:t>
      </w:r>
    </w:p>
    <w:p>
      <w:pPr>
        <w:pStyle w:val="MainText"/>
        <w:rPr/>
      </w:pPr>
      <w:r>
        <w:rPr/>
        <w:t>IV.1. Коды валют указываются в Отчете в соответствии с Общероссийским классификатором валют (ОКВ).</w:t>
      </w:r>
    </w:p>
    <w:p>
      <w:pPr>
        <w:pStyle w:val="MainText"/>
        <w:rPr/>
      </w:pPr>
      <w:r>
        <w:rPr/>
        <w:t>Коды стран указываются в Отчете в соответствии с Общероссийским классификатором стран мира (ОКСМ).</w:t>
      </w:r>
    </w:p>
    <w:p>
      <w:pPr>
        <w:pStyle w:val="MainText"/>
        <w:rPr/>
      </w:pPr>
      <w:r>
        <w:rPr/>
        <w:t>IV.2. В случае отмены сделки, включенной в Отчет, необходимо осуществить корректировку представленных данных. Порядок корректировки предусматривает повторное указание сделки в следующем Отчете, составленном на дату ее отмены, с сохранением первоначальных реквизитов сделки и указанием сумм требований и обязательств по ней (со знаком “минус”).</w:t>
      </w:r>
    </w:p>
    <w:p>
      <w:pPr>
        <w:pStyle w:val="MainText"/>
        <w:rPr/>
      </w:pPr>
      <w:r>
        <w:rPr/>
        <w:t>IV.3. В случае предоставления в Отчете неполных или ошибочных данных по сделке необходимо произвести полную замену Отчета.</w:t>
      </w:r>
    </w:p>
    <w:p>
      <w:pPr>
        <w:pStyle w:val="MainText"/>
        <w:rPr/>
      </w:pPr>
      <w:r>
        <w:rPr/>
        <w:t>IV.4. В случае представления Отчета в виде электронного сообщения, снабженного кодом аутентификации, уполномоченный банк может не формировать Отчет на бумажном носителе в порядке, установленном пунктом 7 Указания Банка России от 16 января 2004 года № 1375-У “О правилах составления и представления отчетности кредитными организациями в Центральный банк Российской Федерации”, зарегистрированного Министерством юстиции Российской Федерации 10 февраля 2004 года № 5534, 30 марта 2005 года № 6458, 19 января 2006 года № 7379, 13 мая 2008 года № 11689, 24 июня 2009 года № 14129 (“Вестник Банка России” от 18 февраля 2004 года № 14, от 6 апреля 2005 года № 18, от 25 января 2006 года № 3, от 21 мая 2008 года № 24, от 1 июля 2009 года № 39).</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t>IV.5. При приеме Отчета структурным подразделением Банка России в автоматическом режиме производится контроль правильности заполнения существенных условий и дополнительных сведений по операциям. В случае обнаружения нарушений порядка составления Отчета уполномоченному банку может быть отказано в приеме Отчета с уведомлением о характере выявленной ошибки.</w:t>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СВЕДЕНИЯ ОБ ОСТАТКАХ ДЕНЕЖНЫХ СРЕДСТВ НА СЧЕТАХ УЧАСТНИКОВ РАСЧЕТНЫХ ЦЕНТРОВ ОРЦБ </w:t>
        <w:br/>
        <w:t>по состоянию на “</w:t>
      </w:r>
      <w:r>
        <w:rPr/>
        <w:t>___” __________ _____</w:t>
      </w:r>
      <w:r>
        <w:rPr>
          <w:b w:val="false"/>
        </w:rPr>
        <w:t xml:space="preserve"> </w:t>
      </w:r>
      <w:r>
        <w:rPr/>
        <w:t>г.</w:t>
      </w:r>
    </w:p>
    <w:p>
      <w:pPr>
        <w:pStyle w:val="MainTextLine155"/>
        <w:rPr/>
      </w:pPr>
      <w:r>
        <w:rPr/>
        <w:t>Сокращенное фирменное наименование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0409705</w:t>
        <w:br/>
        <w:t>Суточная</w:t>
        <w:br/>
        <w:t>руб.</w:t>
      </w:r>
    </w:p>
    <w:tbl>
      <w:tblPr>
        <w:tblW w:w="16198" w:type="dxa"/>
        <w:jc w:val="center"/>
        <w:tblInd w:w="0" w:type="dxa"/>
        <w:tblLayout w:type="fixed"/>
        <w:tblCellMar>
          <w:top w:w="0" w:type="dxa"/>
          <w:start w:w="28" w:type="dxa"/>
          <w:bottom w:w="0" w:type="dxa"/>
          <w:end w:w="28" w:type="dxa"/>
        </w:tblCellMar>
      </w:tblPr>
      <w:tblGrid>
        <w:gridCol w:w="748"/>
        <w:gridCol w:w="363"/>
        <w:gridCol w:w="431"/>
        <w:gridCol w:w="646"/>
        <w:gridCol w:w="646"/>
        <w:gridCol w:w="646"/>
        <w:gridCol w:w="646"/>
        <w:gridCol w:w="646"/>
        <w:gridCol w:w="646"/>
        <w:gridCol w:w="646"/>
        <w:gridCol w:w="646"/>
        <w:gridCol w:w="646"/>
        <w:gridCol w:w="646"/>
        <w:gridCol w:w="646"/>
        <w:gridCol w:w="646"/>
        <w:gridCol w:w="646"/>
        <w:gridCol w:w="646"/>
        <w:gridCol w:w="646"/>
        <w:gridCol w:w="646"/>
        <w:gridCol w:w="646"/>
        <w:gridCol w:w="646"/>
        <w:gridCol w:w="862"/>
        <w:gridCol w:w="862"/>
        <w:gridCol w:w="652"/>
        <w:gridCol w:w="652"/>
      </w:tblGrid>
      <w:tr>
        <w:trPr>
          <w:tblHeader w:val="true"/>
          <w:cantSplit/>
        </w:trPr>
        <w:tc>
          <w:tcPr>
            <w:tcW w:w="74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Наименование Участника</w:t>
            </w:r>
          </w:p>
        </w:tc>
        <w:tc>
          <w:tcPr>
            <w:tcW w:w="363"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счета 30401</w:t>
            </w:r>
          </w:p>
        </w:tc>
        <w:tc>
          <w:tcPr>
            <w:tcW w:w="431"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счету 30401</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Сектора ГКО (ОФЗ)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Сектора ГКО (ОФЗ)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валютного Сектора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валютного Сектора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валютного Сектора балансового счета № 30405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валютного Сектора балансового счета № 30405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фондового Сектора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фондового Сектора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фондового Сектора балансового счета № 30405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фондового Сектора балансового счета № 30405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срочного Сектора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срочного Сектора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срочного Сектора балансового счета № 30405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срочного Сектора балансового счета № 30405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Сектора межбан</w:t>
              <w:softHyphen/>
              <w:t>ковских кредитов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Сектора межбан</w:t>
              <w:softHyphen/>
              <w:t>ковских кредитов балансового счета № 30403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Сектора межбан</w:t>
              <w:softHyphen/>
              <w:t>ковских кредитов балансового счета № 30405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Сектора межбан</w:t>
              <w:softHyphen/>
              <w:t>ковских кредитов балансового счета № 30405</w:t>
            </w:r>
          </w:p>
        </w:tc>
        <w:tc>
          <w:tcPr>
            <w:tcW w:w="86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Сектора государственных федеральных ценных бумаг балансового счета № 30405</w:t>
            </w:r>
          </w:p>
        </w:tc>
        <w:tc>
          <w:tcPr>
            <w:tcW w:w="86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Сектора государственных федеральных ценных бумаг балансового счета № 30405</w:t>
            </w:r>
          </w:p>
        </w:tc>
        <w:tc>
          <w:tcPr>
            <w:tcW w:w="65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Номер лицевого счета по секторам рынка балансового счета № 40701</w:t>
            </w:r>
          </w:p>
        </w:tc>
        <w:tc>
          <w:tcPr>
            <w:tcW w:w="65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0"/>
              </w:rPr>
            </w:pPr>
            <w:r>
              <w:rPr>
                <w:rFonts w:cs="Arial" w:ascii="Arial" w:hAnsi="Arial"/>
                <w:sz w:val="10"/>
              </w:rPr>
              <w:t>Остаток по лицевому счету по секторам рынка балансового счета № 40701</w:t>
            </w:r>
          </w:p>
        </w:tc>
      </w:tr>
      <w:tr>
        <w:trPr>
          <w:cantSplit/>
        </w:trPr>
        <w:tc>
          <w:tcPr>
            <w:tcW w:w="74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w:t>
            </w:r>
          </w:p>
        </w:tc>
        <w:tc>
          <w:tcPr>
            <w:tcW w:w="363"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2</w:t>
            </w:r>
          </w:p>
        </w:tc>
        <w:tc>
          <w:tcPr>
            <w:tcW w:w="431"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4</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6</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7</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8</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9</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10</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11</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12</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13</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14</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15</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16</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17</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18</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19</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20</w:t>
            </w:r>
          </w:p>
        </w:tc>
        <w:tc>
          <w:tcPr>
            <w:tcW w:w="6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21</w:t>
            </w:r>
          </w:p>
        </w:tc>
        <w:tc>
          <w:tcPr>
            <w:tcW w:w="86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22</w:t>
            </w:r>
          </w:p>
        </w:tc>
        <w:tc>
          <w:tcPr>
            <w:tcW w:w="86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23</w:t>
            </w:r>
          </w:p>
        </w:tc>
        <w:tc>
          <w:tcPr>
            <w:tcW w:w="65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24</w:t>
            </w:r>
          </w:p>
        </w:tc>
        <w:tc>
          <w:tcPr>
            <w:tcW w:w="65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16"/>
              </w:rPr>
            </w:pPr>
            <w:r>
              <w:rPr>
                <w:rFonts w:cs="Arial" w:ascii="Arial" w:hAnsi="Arial"/>
                <w:sz w:val="16"/>
              </w:rPr>
              <w:t>25</w:t>
            </w:r>
          </w:p>
        </w:tc>
      </w:tr>
      <w:tr>
        <w:trPr>
          <w:cantSplit/>
        </w:trPr>
        <w:tc>
          <w:tcPr>
            <w:tcW w:w="74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36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43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46"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86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86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6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0409705 “Сведения об остатках денежных средств на счетах участников расчетных центров ОРЦБ”</w:t>
      </w:r>
    </w:p>
    <w:p>
      <w:pPr>
        <w:pStyle w:val="MainText"/>
        <w:rPr/>
      </w:pPr>
      <w:r>
        <w:rPr/>
        <w:t>1. Отчетность по форме 0409705 “Сведения об остатках денежных средств на счетах участников расчетных центров ОРЦБ” (далее — Отчет) составляется с учетом нормативного акта Банка России о порядке осуществления расчетов по операциям с финансовыми активами на организованном рынке ценных бумаг.</w:t>
      </w:r>
    </w:p>
    <w:p>
      <w:pPr>
        <w:pStyle w:val="MainText"/>
        <w:rPr/>
      </w:pPr>
      <w:r>
        <w:rPr/>
        <w:t>2. Отчет представляется кредитными организациями, которые выполняют функции расчетных центров на организованном рынке ценных бумаг и других финансовых активов (ОРЦБ), в Департамент обеспечения и контроля операций на финансовых рынках Банка России в электронной форме в формате, установленном Банком России, по состоянию на 10 часов 30 минут по московскому времени дня представления отчетности.</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11341" w:type="dxa"/>
        <w:jc w:val="end"/>
        <w:tblInd w:w="0" w:type="dxa"/>
        <w:tblLayout w:type="fixed"/>
        <w:tblCellMar>
          <w:top w:w="0" w:type="dxa"/>
          <w:start w:w="107" w:type="dxa"/>
          <w:bottom w:w="0" w:type="dxa"/>
          <w:end w:w="107" w:type="dxa"/>
        </w:tblCellMar>
      </w:tblPr>
      <w:tblGrid>
        <w:gridCol w:w="1418"/>
        <w:gridCol w:w="1134"/>
        <w:gridCol w:w="2268"/>
        <w:gridCol w:w="2268"/>
        <w:gridCol w:w="1134"/>
        <w:gridCol w:w="3119"/>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9923" w:type="dxa"/>
            <w:gridSpan w:val="5"/>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c>
          <w:tcPr>
            <w:tcW w:w="3119"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номер лицензии профессионального участника рынка ценных бумаг</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3119"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ПО ЦЕННЫМ БУМАГАМ </w:t>
        <w:br/>
        <w:t>по состоянию на “</w:t>
      </w:r>
      <w:r>
        <w:rPr/>
        <w:t>___” 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jc w:val="end"/>
        <w:rPr/>
      </w:pPr>
      <w:r>
        <w:rPr/>
        <w:t>Код формы по ОКУД 0409711</w:t>
        <w:br/>
        <w:t>Месячная</w:t>
      </w:r>
    </w:p>
    <w:p>
      <w:pPr>
        <w:pStyle w:val="MGlavaCenter"/>
        <w:keepNext w:val="false"/>
        <w:spacing w:before="120" w:after="60"/>
        <w:jc w:val="start"/>
        <w:rPr>
          <w:b w:val="false"/>
        </w:rPr>
      </w:pPr>
      <w:r>
        <w:rPr>
          <w:b w:val="false"/>
        </w:rPr>
        <w:t>Раздел 1. Депозитарные операции</w:t>
      </w:r>
    </w:p>
    <w:p>
      <w:pPr>
        <w:pStyle w:val="MGlavaCenter"/>
        <w:keepNext w:val="false"/>
        <w:keepLines w:val="false"/>
        <w:spacing w:before="60" w:after="60"/>
        <w:jc w:val="start"/>
        <w:rPr>
          <w:b w:val="false"/>
        </w:rPr>
      </w:pPr>
      <w:r>
        <w:rPr>
          <w:b w:val="false"/>
        </w:rPr>
        <w:t>Подраздел 1.1. Счета депо</w:t>
      </w:r>
    </w:p>
    <w:p>
      <w:pPr>
        <w:pStyle w:val="MGlavaCenter"/>
        <w:keepNext w:val="false"/>
        <w:keepLines w:val="false"/>
        <w:spacing w:before="60" w:after="60"/>
        <w:jc w:val="start"/>
        <w:rPr>
          <w:b w:val="false"/>
        </w:rPr>
      </w:pPr>
      <w:r>
        <w:rPr/>
        <w:t>1.1.1. Счета депо клиентов, штук</w:t>
      </w:r>
    </w:p>
    <w:tbl>
      <w:tblPr>
        <w:tblW w:w="16255" w:type="dxa"/>
        <w:jc w:val="center"/>
        <w:tblInd w:w="0" w:type="dxa"/>
        <w:tblLayout w:type="fixed"/>
        <w:tblCellMar>
          <w:top w:w="0" w:type="dxa"/>
          <w:start w:w="28" w:type="dxa"/>
          <w:bottom w:w="0" w:type="dxa"/>
          <w:end w:w="28" w:type="dxa"/>
        </w:tblCellMar>
      </w:tblPr>
      <w:tblGrid>
        <w:gridCol w:w="532"/>
        <w:gridCol w:w="1747"/>
        <w:gridCol w:w="1747"/>
        <w:gridCol w:w="1747"/>
        <w:gridCol w:w="1747"/>
        <w:gridCol w:w="1747"/>
        <w:gridCol w:w="1747"/>
        <w:gridCol w:w="1747"/>
        <w:gridCol w:w="1747"/>
        <w:gridCol w:w="1747"/>
      </w:tblGrid>
      <w:tr>
        <w:trPr>
          <w:cantSplit/>
        </w:trPr>
        <w:tc>
          <w:tcPr>
            <w:tcW w:w="532"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349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Счета для учета ценных бумаг, принадлежащих клиентам депозитария на правах собственности</w:t>
            </w:r>
          </w:p>
        </w:tc>
        <w:tc>
          <w:tcPr>
            <w:tcW w:w="3494"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Междепозитарные счета депо “ЛОРО”, открытые сторонним депозитариям</w:t>
            </w:r>
          </w:p>
        </w:tc>
        <w:tc>
          <w:tcPr>
            <w:tcW w:w="1747"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Счета залогодержателей</w:t>
            </w:r>
          </w:p>
        </w:tc>
        <w:tc>
          <w:tcPr>
            <w:tcW w:w="1747"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Счета доверительных управляющих</w:t>
            </w:r>
          </w:p>
        </w:tc>
        <w:tc>
          <w:tcPr>
            <w:tcW w:w="1747"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Эмиссионные счета</w:t>
            </w:r>
          </w:p>
        </w:tc>
        <w:tc>
          <w:tcPr>
            <w:tcW w:w="1747"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Счета эмитентов</w:t>
            </w:r>
          </w:p>
        </w:tc>
        <w:tc>
          <w:tcPr>
            <w:tcW w:w="1747"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Счета, владельцы которых не установлены</w:t>
            </w:r>
          </w:p>
        </w:tc>
      </w:tr>
      <w:tr>
        <w:trPr>
          <w:cantSplit/>
        </w:trPr>
        <w:tc>
          <w:tcPr>
            <w:tcW w:w="532"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резидентам</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нерезидентам</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резидентам</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нерезидентам</w:t>
            </w:r>
          </w:p>
        </w:tc>
        <w:tc>
          <w:tcPr>
            <w:tcW w:w="174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74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74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74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747"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w:t>
            </w:r>
          </w:p>
        </w:tc>
        <w:tc>
          <w:tcPr>
            <w:tcW w:w="174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w:t>
            </w:r>
          </w:p>
        </w:tc>
      </w:tr>
    </w:tbl>
    <w:p>
      <w:pPr>
        <w:pStyle w:val="MGlavaCenter"/>
        <w:keepNext w:val="false"/>
        <w:keepLines w:val="false"/>
        <w:spacing w:before="120" w:after="60"/>
        <w:jc w:val="start"/>
        <w:rPr>
          <w:b w:val="false"/>
        </w:rPr>
      </w:pPr>
      <w:r>
        <w:rPr/>
        <w:t>1.1.2. Счета депо кредитной организации, штук</w:t>
      </w:r>
    </w:p>
    <w:tbl>
      <w:tblPr>
        <w:tblW w:w="16253" w:type="dxa"/>
        <w:jc w:val="center"/>
        <w:tblInd w:w="0" w:type="dxa"/>
        <w:tblLayout w:type="fixed"/>
        <w:tblCellMar>
          <w:top w:w="0" w:type="dxa"/>
          <w:start w:w="28" w:type="dxa"/>
          <w:bottom w:w="0" w:type="dxa"/>
          <w:end w:w="28" w:type="dxa"/>
        </w:tblCellMar>
      </w:tblPr>
      <w:tblGrid>
        <w:gridCol w:w="533"/>
        <w:gridCol w:w="3685"/>
        <w:gridCol w:w="2407"/>
        <w:gridCol w:w="2407"/>
        <w:gridCol w:w="2407"/>
        <w:gridCol w:w="2407"/>
        <w:gridCol w:w="2407"/>
      </w:tblGrid>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строки</w:t>
            </w:r>
          </w:p>
        </w:tc>
        <w:tc>
          <w:tcPr>
            <w:tcW w:w="36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Счета для учета ценных бумаг, принадлежащих кредитной организации на правах собственности</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Счета залогодержателя</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Счета доверительного управляющего</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Эмиссионные счета</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Счета эмитента</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Иные счета</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36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12</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13</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14</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15</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16</w:t>
            </w:r>
          </w:p>
        </w:tc>
        <w:tc>
          <w:tcPr>
            <w:tcW w:w="24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17</w:t>
            </w:r>
          </w:p>
        </w:tc>
      </w:tr>
    </w:tbl>
    <w:p>
      <w:pPr>
        <w:pStyle w:val="MGlavaCenter"/>
        <w:keepNext w:val="false"/>
        <w:keepLines w:val="false"/>
        <w:spacing w:before="180" w:after="60"/>
        <w:jc w:val="start"/>
        <w:rPr>
          <w:b w:val="false"/>
        </w:rPr>
      </w:pPr>
      <w:r>
        <w:rPr>
          <w:b w:val="false"/>
        </w:rPr>
        <w:t>Подраздел 1.2. Междепозитарные счета</w:t>
      </w:r>
    </w:p>
    <w:p>
      <w:pPr>
        <w:pStyle w:val="MGlavaCenter"/>
        <w:keepNext w:val="false"/>
        <w:keepLines w:val="false"/>
        <w:spacing w:before="60" w:after="60"/>
        <w:jc w:val="start"/>
        <w:rPr>
          <w:b w:val="false"/>
        </w:rPr>
      </w:pPr>
      <w:r>
        <w:rPr/>
        <w:t>1.2.1. Данные об остатках на междепозитарных счетах “ЛОРО”</w:t>
      </w:r>
    </w:p>
    <w:tbl>
      <w:tblPr>
        <w:tblW w:w="16252" w:type="dxa"/>
        <w:jc w:val="center"/>
        <w:tblInd w:w="0" w:type="dxa"/>
        <w:tblLayout w:type="fixed"/>
        <w:tblCellMar>
          <w:top w:w="0" w:type="dxa"/>
          <w:start w:w="28" w:type="dxa"/>
          <w:bottom w:w="0" w:type="dxa"/>
          <w:end w:w="28" w:type="dxa"/>
        </w:tblCellMar>
      </w:tblPr>
      <w:tblGrid>
        <w:gridCol w:w="533"/>
        <w:gridCol w:w="2551"/>
        <w:gridCol w:w="3292"/>
        <w:gridCol w:w="2802"/>
        <w:gridCol w:w="3119"/>
        <w:gridCol w:w="3955"/>
      </w:tblGrid>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строки</w:t>
            </w:r>
          </w:p>
        </w:tc>
        <w:tc>
          <w:tcPr>
            <w:tcW w:w="25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Сокращенное наименование депозитария- корреспондента</w:t>
            </w:r>
          </w:p>
        </w:tc>
        <w:tc>
          <w:tcPr>
            <w:tcW w:w="32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лицензии профессионального участника рынка ценных бумаг — корреспондента</w:t>
            </w:r>
          </w:p>
        </w:tc>
        <w:tc>
          <w:tcPr>
            <w:tcW w:w="28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Признак депозитария-корреспондента</w:t>
            </w:r>
          </w:p>
        </w:tc>
        <w:tc>
          <w:tcPr>
            <w:tcW w:w="31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междепозитарного счета “ЛОРО”, открытого депозитарию-корреспонденту</w:t>
            </w:r>
          </w:p>
        </w:tc>
        <w:tc>
          <w:tcPr>
            <w:tcW w:w="3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Общее количество ценных бумаг на междепозитарном счете “ЛОРО” корреспондента, штук</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18</w:t>
            </w:r>
          </w:p>
        </w:tc>
        <w:tc>
          <w:tcPr>
            <w:tcW w:w="25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19</w:t>
            </w:r>
          </w:p>
        </w:tc>
        <w:tc>
          <w:tcPr>
            <w:tcW w:w="32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20</w:t>
            </w:r>
          </w:p>
        </w:tc>
        <w:tc>
          <w:tcPr>
            <w:tcW w:w="28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21</w:t>
            </w:r>
          </w:p>
        </w:tc>
        <w:tc>
          <w:tcPr>
            <w:tcW w:w="31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22</w:t>
            </w:r>
          </w:p>
        </w:tc>
        <w:tc>
          <w:tcPr>
            <w:tcW w:w="3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23</w:t>
            </w:r>
          </w:p>
        </w:tc>
      </w:tr>
    </w:tbl>
    <w:p>
      <w:pPr>
        <w:pStyle w:val="MGlavaCenter"/>
        <w:keepNext w:val="false"/>
        <w:keepLines w:val="false"/>
        <w:spacing w:before="120" w:after="60"/>
        <w:jc w:val="start"/>
        <w:rPr>
          <w:b w:val="false"/>
        </w:rPr>
      </w:pPr>
      <w:r>
        <w:rPr/>
        <w:t>1.2.2. Данные об остатках на междепозитарных счетах и счетах номинального держателя, открытых кредитной организации в других организациях</w:t>
      </w:r>
    </w:p>
    <w:tbl>
      <w:tblPr>
        <w:tblW w:w="16252" w:type="dxa"/>
        <w:jc w:val="center"/>
        <w:tblInd w:w="0" w:type="dxa"/>
        <w:tblLayout w:type="fixed"/>
        <w:tblCellMar>
          <w:top w:w="0" w:type="dxa"/>
          <w:start w:w="28" w:type="dxa"/>
          <w:bottom w:w="0" w:type="dxa"/>
          <w:end w:w="28" w:type="dxa"/>
        </w:tblCellMar>
      </w:tblPr>
      <w:tblGrid>
        <w:gridCol w:w="533"/>
        <w:gridCol w:w="2551"/>
        <w:gridCol w:w="3292"/>
        <w:gridCol w:w="2802"/>
        <w:gridCol w:w="3119"/>
        <w:gridCol w:w="3955"/>
      </w:tblGrid>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строки</w:t>
            </w:r>
          </w:p>
        </w:tc>
        <w:tc>
          <w:tcPr>
            <w:tcW w:w="25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Сокращенное наименование организации-корреспондента</w:t>
            </w:r>
          </w:p>
        </w:tc>
        <w:tc>
          <w:tcPr>
            <w:tcW w:w="32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лицензии профессионального участника рынка ценных бумаг — корреспондента</w:t>
            </w:r>
          </w:p>
        </w:tc>
        <w:tc>
          <w:tcPr>
            <w:tcW w:w="28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Признак депозитария-корреспондента</w:t>
            </w:r>
          </w:p>
        </w:tc>
        <w:tc>
          <w:tcPr>
            <w:tcW w:w="31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счета, открытого у депозитария-корреспондента</w:t>
            </w:r>
          </w:p>
        </w:tc>
        <w:tc>
          <w:tcPr>
            <w:tcW w:w="3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Общее количество ценных бумаг на междепозитарном счете (счете номинального держателя), штук</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24</w:t>
            </w:r>
          </w:p>
        </w:tc>
        <w:tc>
          <w:tcPr>
            <w:tcW w:w="25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25</w:t>
            </w:r>
          </w:p>
        </w:tc>
        <w:tc>
          <w:tcPr>
            <w:tcW w:w="329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26</w:t>
            </w:r>
          </w:p>
        </w:tc>
        <w:tc>
          <w:tcPr>
            <w:tcW w:w="28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27</w:t>
            </w:r>
          </w:p>
        </w:tc>
        <w:tc>
          <w:tcPr>
            <w:tcW w:w="311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28</w:t>
            </w:r>
          </w:p>
        </w:tc>
        <w:tc>
          <w:tcPr>
            <w:tcW w:w="3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29</w:t>
            </w:r>
          </w:p>
        </w:tc>
      </w:tr>
    </w:tbl>
    <w:p>
      <w:pPr>
        <w:pStyle w:val="MGlavaCenter"/>
        <w:keepNext w:val="false"/>
        <w:keepLines w:val="false"/>
        <w:spacing w:before="180" w:after="60"/>
        <w:jc w:val="start"/>
        <w:rPr>
          <w:b w:val="false"/>
        </w:rPr>
      </w:pPr>
      <w:r>
        <w:rPr>
          <w:b w:val="false"/>
        </w:rPr>
        <w:t>Подраздел 1.3. Список ценных бумаг, учитываемых в депозитарии на счетах депо</w:t>
      </w:r>
    </w:p>
    <w:p>
      <w:pPr>
        <w:pStyle w:val="MGlavaCenter"/>
        <w:keepNext w:val="false"/>
        <w:keepLines w:val="false"/>
        <w:spacing w:before="60" w:after="60"/>
        <w:jc w:val="start"/>
        <w:rPr>
          <w:b w:val="false"/>
        </w:rPr>
      </w:pPr>
      <w:r>
        <w:rPr/>
        <w:t>1.3.1. Ценные бумаги, учитываемые на счетах депо клиентов депозитария</w:t>
      </w:r>
    </w:p>
    <w:tbl>
      <w:tblPr>
        <w:tblW w:w="16189" w:type="dxa"/>
        <w:jc w:val="center"/>
        <w:tblInd w:w="0" w:type="dxa"/>
        <w:tblLayout w:type="fixed"/>
        <w:tblCellMar>
          <w:top w:w="0" w:type="dxa"/>
          <w:start w:w="28" w:type="dxa"/>
          <w:bottom w:w="0" w:type="dxa"/>
          <w:end w:w="28" w:type="dxa"/>
        </w:tblCellMar>
      </w:tblPr>
      <w:tblGrid>
        <w:gridCol w:w="529"/>
        <w:gridCol w:w="991"/>
        <w:gridCol w:w="708"/>
        <w:gridCol w:w="567"/>
        <w:gridCol w:w="1414"/>
        <w:gridCol w:w="570"/>
        <w:gridCol w:w="994"/>
        <w:gridCol w:w="652"/>
        <w:gridCol w:w="873"/>
        <w:gridCol w:w="950"/>
        <w:gridCol w:w="652"/>
        <w:gridCol w:w="884"/>
        <w:gridCol w:w="960"/>
        <w:gridCol w:w="871"/>
        <w:gridCol w:w="971"/>
        <w:gridCol w:w="1015"/>
        <w:gridCol w:w="896"/>
        <w:gridCol w:w="846"/>
        <w:gridCol w:w="846"/>
      </w:tblGrid>
      <w:tr>
        <w:trPr>
          <w:cantSplit/>
        </w:trPr>
        <w:tc>
          <w:tcPr>
            <w:tcW w:w="529"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Номер</w:t>
            </w:r>
          </w:p>
        </w:tc>
        <w:tc>
          <w:tcPr>
            <w:tcW w:w="991"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Наименование</w:t>
            </w:r>
          </w:p>
        </w:tc>
        <w:tc>
          <w:tcPr>
            <w:tcW w:w="708"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Код ИНН</w:t>
            </w:r>
          </w:p>
        </w:tc>
        <w:tc>
          <w:tcPr>
            <w:tcW w:w="567"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Код</w:t>
            </w:r>
          </w:p>
        </w:tc>
        <w:tc>
          <w:tcPr>
            <w:tcW w:w="1414"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Идентификационный</w:t>
            </w:r>
          </w:p>
        </w:tc>
        <w:tc>
          <w:tcPr>
            <w:tcW w:w="570"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Код</w:t>
            </w:r>
          </w:p>
        </w:tc>
        <w:tc>
          <w:tcPr>
            <w:tcW w:w="994"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Номинальная</w:t>
            </w:r>
          </w:p>
        </w:tc>
        <w:tc>
          <w:tcPr>
            <w:tcW w:w="10416" w:type="dxa"/>
            <w:gridSpan w:val="1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Количество ценных бумаг, штук</w:t>
            </w:r>
          </w:p>
        </w:tc>
      </w:tr>
      <w:tr>
        <w:trPr>
          <w:cantSplit/>
        </w:trPr>
        <w:tc>
          <w:tcPr>
            <w:tcW w:w="529" w:type="dxa"/>
            <w:tcBorders>
              <w:start w:val="single" w:sz="6" w:space="0" w:color="000000"/>
              <w:end w:val="single" w:sz="6" w:space="0" w:color="000000"/>
            </w:tcBorders>
          </w:tcPr>
          <w:p>
            <w:pPr>
              <w:pStyle w:val="MainText"/>
              <w:ind w:hanging="0" w:end="0"/>
              <w:jc w:val="center"/>
              <w:rPr>
                <w:sz w:val="13"/>
              </w:rPr>
            </w:pPr>
            <w:r>
              <w:rPr>
                <w:sz w:val="13"/>
              </w:rPr>
              <w:t>строки</w:t>
            </w:r>
          </w:p>
        </w:tc>
        <w:tc>
          <w:tcPr>
            <w:tcW w:w="991" w:type="dxa"/>
            <w:tcBorders>
              <w:start w:val="single" w:sz="6" w:space="0" w:color="000000"/>
              <w:end w:val="single" w:sz="6" w:space="0" w:color="000000"/>
            </w:tcBorders>
          </w:tcPr>
          <w:p>
            <w:pPr>
              <w:pStyle w:val="MainText"/>
              <w:ind w:hanging="0" w:end="0"/>
              <w:jc w:val="center"/>
              <w:rPr>
                <w:sz w:val="13"/>
              </w:rPr>
            </w:pPr>
            <w:r>
              <w:rPr>
                <w:sz w:val="13"/>
              </w:rPr>
              <w:t>эмитента</w:t>
            </w:r>
          </w:p>
        </w:tc>
        <w:tc>
          <w:tcPr>
            <w:tcW w:w="708" w:type="dxa"/>
            <w:tcBorders>
              <w:start w:val="single" w:sz="6" w:space="0" w:color="000000"/>
              <w:end w:val="single" w:sz="6" w:space="0" w:color="000000"/>
            </w:tcBorders>
          </w:tcPr>
          <w:p>
            <w:pPr>
              <w:pStyle w:val="MainText"/>
              <w:ind w:hanging="0" w:end="0"/>
              <w:jc w:val="center"/>
              <w:rPr>
                <w:sz w:val="13"/>
              </w:rPr>
            </w:pPr>
            <w:r>
              <w:rPr>
                <w:sz w:val="13"/>
              </w:rPr>
              <w:t>эмитента</w:t>
            </w:r>
          </w:p>
        </w:tc>
        <w:tc>
          <w:tcPr>
            <w:tcW w:w="567" w:type="dxa"/>
            <w:tcBorders>
              <w:start w:val="single" w:sz="6" w:space="0" w:color="000000"/>
              <w:end w:val="single" w:sz="6" w:space="0" w:color="000000"/>
            </w:tcBorders>
          </w:tcPr>
          <w:p>
            <w:pPr>
              <w:pStyle w:val="MainText"/>
              <w:ind w:hanging="0" w:end="0"/>
              <w:jc w:val="center"/>
              <w:rPr>
                <w:sz w:val="13"/>
              </w:rPr>
            </w:pPr>
            <w:r>
              <w:rPr>
                <w:sz w:val="13"/>
              </w:rPr>
              <w:t>типа</w:t>
            </w:r>
          </w:p>
        </w:tc>
        <w:tc>
          <w:tcPr>
            <w:tcW w:w="1414" w:type="dxa"/>
            <w:tcBorders>
              <w:start w:val="single" w:sz="6" w:space="0" w:color="000000"/>
              <w:end w:val="single" w:sz="6" w:space="0" w:color="000000"/>
            </w:tcBorders>
          </w:tcPr>
          <w:p>
            <w:pPr>
              <w:pStyle w:val="MainText"/>
              <w:ind w:hanging="0" w:end="0"/>
              <w:jc w:val="center"/>
              <w:rPr>
                <w:sz w:val="13"/>
              </w:rPr>
            </w:pPr>
            <w:r>
              <w:rPr>
                <w:sz w:val="13"/>
              </w:rPr>
              <w:t>номер ценной бумаги</w:t>
            </w:r>
          </w:p>
        </w:tc>
        <w:tc>
          <w:tcPr>
            <w:tcW w:w="570" w:type="dxa"/>
            <w:tcBorders>
              <w:start w:val="single" w:sz="6" w:space="0" w:color="000000"/>
              <w:end w:val="single" w:sz="6" w:space="0" w:color="000000"/>
            </w:tcBorders>
          </w:tcPr>
          <w:p>
            <w:pPr>
              <w:pStyle w:val="MainText"/>
              <w:ind w:hanging="0" w:end="0"/>
              <w:jc w:val="center"/>
              <w:rPr>
                <w:sz w:val="13"/>
              </w:rPr>
            </w:pPr>
            <w:r>
              <w:rPr>
                <w:sz w:val="13"/>
              </w:rPr>
              <w:t>валюты</w:t>
            </w:r>
          </w:p>
        </w:tc>
        <w:tc>
          <w:tcPr>
            <w:tcW w:w="994" w:type="dxa"/>
            <w:tcBorders>
              <w:start w:val="single" w:sz="6" w:space="0" w:color="000000"/>
              <w:end w:val="single" w:sz="6" w:space="0" w:color="000000"/>
            </w:tcBorders>
          </w:tcPr>
          <w:p>
            <w:pPr>
              <w:pStyle w:val="MainText"/>
              <w:ind w:hanging="0" w:end="0"/>
              <w:jc w:val="center"/>
              <w:rPr>
                <w:sz w:val="13"/>
              </w:rPr>
            </w:pPr>
            <w:r>
              <w:rPr>
                <w:sz w:val="13"/>
              </w:rPr>
              <w:t>стоимость</w:t>
            </w:r>
          </w:p>
        </w:tc>
        <w:tc>
          <w:tcPr>
            <w:tcW w:w="2475"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на счетах владельцев</w:t>
            </w:r>
          </w:p>
        </w:tc>
        <w:tc>
          <w:tcPr>
            <w:tcW w:w="2496"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на счетах “ЛОРО”</w:t>
            </w:r>
          </w:p>
        </w:tc>
        <w:tc>
          <w:tcPr>
            <w:tcW w:w="184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на счетах залогодержателей</w:t>
            </w:r>
          </w:p>
        </w:tc>
        <w:tc>
          <w:tcPr>
            <w:tcW w:w="1015"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на счетах</w:t>
            </w:r>
          </w:p>
        </w:tc>
        <w:tc>
          <w:tcPr>
            <w:tcW w:w="896"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на</w:t>
            </w:r>
          </w:p>
        </w:tc>
        <w:tc>
          <w:tcPr>
            <w:tcW w:w="846"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на счетах</w:t>
            </w:r>
          </w:p>
        </w:tc>
        <w:tc>
          <w:tcPr>
            <w:tcW w:w="846"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на счетах,</w:t>
            </w:r>
          </w:p>
        </w:tc>
      </w:tr>
      <w:tr>
        <w:trPr>
          <w:cantSplit/>
        </w:trPr>
        <w:tc>
          <w:tcPr>
            <w:tcW w:w="529" w:type="dxa"/>
            <w:tcBorders>
              <w:start w:val="single" w:sz="6" w:space="0" w:color="000000"/>
              <w:end w:val="single" w:sz="6" w:space="0" w:color="000000"/>
            </w:tcBorders>
          </w:tcPr>
          <w:p>
            <w:pPr>
              <w:pStyle w:val="MainText"/>
              <w:snapToGrid w:val="false"/>
              <w:ind w:hanging="0" w:end="0"/>
              <w:jc w:val="center"/>
              <w:rPr>
                <w:sz w:val="13"/>
              </w:rPr>
            </w:pPr>
            <w:r>
              <w:rPr>
                <w:rFonts w:cs="Arial"/>
                <w:sz w:val="13"/>
              </w:rPr>
            </w:r>
          </w:p>
        </w:tc>
        <w:tc>
          <w:tcPr>
            <w:tcW w:w="991" w:type="dxa"/>
            <w:tcBorders>
              <w:start w:val="single" w:sz="6" w:space="0" w:color="000000"/>
              <w:end w:val="single" w:sz="6" w:space="0" w:color="000000"/>
            </w:tcBorders>
          </w:tcPr>
          <w:p>
            <w:pPr>
              <w:pStyle w:val="MainText"/>
              <w:snapToGrid w:val="false"/>
              <w:ind w:hanging="0" w:end="0"/>
              <w:jc w:val="center"/>
              <w:rPr>
                <w:sz w:val="13"/>
              </w:rPr>
            </w:pPr>
            <w:r>
              <w:rPr>
                <w:sz w:val="13"/>
              </w:rPr>
            </w:r>
          </w:p>
        </w:tc>
        <w:tc>
          <w:tcPr>
            <w:tcW w:w="708" w:type="dxa"/>
            <w:tcBorders>
              <w:start w:val="single" w:sz="6" w:space="0" w:color="000000"/>
              <w:end w:val="single" w:sz="6" w:space="0" w:color="000000"/>
            </w:tcBorders>
          </w:tcPr>
          <w:p>
            <w:pPr>
              <w:pStyle w:val="MainText"/>
              <w:snapToGrid w:val="false"/>
              <w:ind w:hanging="0" w:end="0"/>
              <w:jc w:val="center"/>
              <w:rPr>
                <w:sz w:val="13"/>
              </w:rPr>
            </w:pPr>
            <w:r>
              <w:rPr>
                <w:sz w:val="13"/>
              </w:rPr>
            </w:r>
          </w:p>
        </w:tc>
        <w:tc>
          <w:tcPr>
            <w:tcW w:w="567" w:type="dxa"/>
            <w:tcBorders>
              <w:start w:val="single" w:sz="6" w:space="0" w:color="000000"/>
              <w:end w:val="single" w:sz="6" w:space="0" w:color="000000"/>
            </w:tcBorders>
          </w:tcPr>
          <w:p>
            <w:pPr>
              <w:pStyle w:val="MainText"/>
              <w:ind w:hanging="0" w:end="0"/>
              <w:jc w:val="center"/>
              <w:rPr>
                <w:sz w:val="13"/>
              </w:rPr>
            </w:pPr>
            <w:r>
              <w:rPr>
                <w:sz w:val="13"/>
              </w:rPr>
              <w:t>ценной</w:t>
            </w:r>
          </w:p>
        </w:tc>
        <w:tc>
          <w:tcPr>
            <w:tcW w:w="1414" w:type="dxa"/>
            <w:tcBorders>
              <w:start w:val="single" w:sz="6" w:space="0" w:color="000000"/>
              <w:end w:val="single" w:sz="6" w:space="0" w:color="000000"/>
            </w:tcBorders>
          </w:tcPr>
          <w:p>
            <w:pPr>
              <w:pStyle w:val="MainText"/>
              <w:snapToGrid w:val="false"/>
              <w:ind w:hanging="0" w:end="0"/>
              <w:jc w:val="center"/>
              <w:rPr>
                <w:sz w:val="13"/>
              </w:rPr>
            </w:pPr>
            <w:r>
              <w:rPr>
                <w:sz w:val="13"/>
              </w:rPr>
            </w:r>
          </w:p>
        </w:tc>
        <w:tc>
          <w:tcPr>
            <w:tcW w:w="570" w:type="dxa"/>
            <w:tcBorders>
              <w:start w:val="single" w:sz="6" w:space="0" w:color="000000"/>
              <w:end w:val="single" w:sz="6" w:space="0" w:color="000000"/>
            </w:tcBorders>
          </w:tcPr>
          <w:p>
            <w:pPr>
              <w:pStyle w:val="MainText"/>
              <w:ind w:hanging="0" w:end="0"/>
              <w:jc w:val="center"/>
              <w:rPr>
                <w:sz w:val="13"/>
              </w:rPr>
            </w:pPr>
            <w:r>
              <w:rPr>
                <w:sz w:val="13"/>
              </w:rPr>
              <w:t>ценной</w:t>
            </w:r>
          </w:p>
        </w:tc>
        <w:tc>
          <w:tcPr>
            <w:tcW w:w="994" w:type="dxa"/>
            <w:tcBorders>
              <w:start w:val="single" w:sz="6" w:space="0" w:color="000000"/>
              <w:end w:val="single" w:sz="6" w:space="0" w:color="000000"/>
            </w:tcBorders>
          </w:tcPr>
          <w:p>
            <w:pPr>
              <w:pStyle w:val="MainText"/>
              <w:ind w:hanging="0" w:end="0"/>
              <w:jc w:val="center"/>
              <w:rPr>
                <w:sz w:val="13"/>
              </w:rPr>
            </w:pPr>
            <w:r>
              <w:rPr>
                <w:sz w:val="13"/>
              </w:rPr>
              <w:t>ценной бумаги,</w:t>
            </w:r>
          </w:p>
        </w:tc>
        <w:tc>
          <w:tcPr>
            <w:tcW w:w="1525"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резидентов</w:t>
            </w:r>
          </w:p>
        </w:tc>
        <w:tc>
          <w:tcPr>
            <w:tcW w:w="950"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нерезидентов</w:t>
            </w:r>
          </w:p>
        </w:tc>
        <w:tc>
          <w:tcPr>
            <w:tcW w:w="1536"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резидентов</w:t>
            </w:r>
          </w:p>
        </w:tc>
        <w:tc>
          <w:tcPr>
            <w:tcW w:w="960"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нерезидентов</w:t>
            </w:r>
          </w:p>
        </w:tc>
        <w:tc>
          <w:tcPr>
            <w:tcW w:w="871"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резидентов</w:t>
            </w:r>
          </w:p>
        </w:tc>
        <w:tc>
          <w:tcPr>
            <w:tcW w:w="971" w:type="dxa"/>
            <w:tcBorders>
              <w:top w:val="single" w:sz="6" w:space="0" w:color="000000"/>
              <w:start w:val="single" w:sz="6" w:space="0" w:color="000000"/>
              <w:end w:val="single" w:sz="6" w:space="0" w:color="000000"/>
            </w:tcBorders>
          </w:tcPr>
          <w:p>
            <w:pPr>
              <w:pStyle w:val="MainText"/>
              <w:ind w:hanging="0" w:end="0"/>
              <w:jc w:val="center"/>
              <w:rPr>
                <w:sz w:val="13"/>
              </w:rPr>
            </w:pPr>
            <w:r>
              <w:rPr>
                <w:sz w:val="13"/>
              </w:rPr>
              <w:t>нерезидентов</w:t>
            </w:r>
          </w:p>
        </w:tc>
        <w:tc>
          <w:tcPr>
            <w:tcW w:w="1015" w:type="dxa"/>
            <w:tcBorders>
              <w:start w:val="single" w:sz="6" w:space="0" w:color="000000"/>
              <w:end w:val="single" w:sz="6" w:space="0" w:color="000000"/>
            </w:tcBorders>
          </w:tcPr>
          <w:p>
            <w:pPr>
              <w:pStyle w:val="MainText"/>
              <w:ind w:hanging="0" w:end="0"/>
              <w:jc w:val="center"/>
              <w:rPr>
                <w:sz w:val="13"/>
              </w:rPr>
            </w:pPr>
            <w:r>
              <w:rPr>
                <w:sz w:val="13"/>
              </w:rPr>
              <w:t>доверительных</w:t>
            </w:r>
          </w:p>
        </w:tc>
        <w:tc>
          <w:tcPr>
            <w:tcW w:w="896" w:type="dxa"/>
            <w:tcBorders>
              <w:start w:val="single" w:sz="6" w:space="0" w:color="000000"/>
              <w:end w:val="single" w:sz="6" w:space="0" w:color="000000"/>
            </w:tcBorders>
          </w:tcPr>
          <w:p>
            <w:pPr>
              <w:pStyle w:val="MainText"/>
              <w:ind w:hanging="0" w:end="0"/>
              <w:jc w:val="center"/>
              <w:rPr>
                <w:sz w:val="13"/>
              </w:rPr>
            </w:pPr>
            <w:r>
              <w:rPr>
                <w:sz w:val="13"/>
              </w:rPr>
              <w:t>эмиссионных</w:t>
            </w:r>
          </w:p>
        </w:tc>
        <w:tc>
          <w:tcPr>
            <w:tcW w:w="846" w:type="dxa"/>
            <w:tcBorders>
              <w:start w:val="single" w:sz="6" w:space="0" w:color="000000"/>
              <w:end w:val="single" w:sz="6" w:space="0" w:color="000000"/>
            </w:tcBorders>
          </w:tcPr>
          <w:p>
            <w:pPr>
              <w:pStyle w:val="MainText"/>
              <w:ind w:hanging="0" w:end="0"/>
              <w:jc w:val="center"/>
              <w:rPr>
                <w:sz w:val="13"/>
              </w:rPr>
            </w:pPr>
            <w:r>
              <w:rPr>
                <w:sz w:val="13"/>
              </w:rPr>
              <w:t>эмитентов</w:t>
            </w:r>
          </w:p>
        </w:tc>
        <w:tc>
          <w:tcPr>
            <w:tcW w:w="846" w:type="dxa"/>
            <w:tcBorders>
              <w:start w:val="single" w:sz="6" w:space="0" w:color="000000"/>
              <w:end w:val="single" w:sz="6" w:space="0" w:color="000000"/>
            </w:tcBorders>
          </w:tcPr>
          <w:p>
            <w:pPr>
              <w:pStyle w:val="MainText"/>
              <w:ind w:hanging="0" w:end="0"/>
              <w:jc w:val="center"/>
              <w:rPr>
                <w:sz w:val="13"/>
              </w:rPr>
            </w:pPr>
            <w:r>
              <w:rPr>
                <w:sz w:val="13"/>
              </w:rPr>
              <w:t>владельцы</w:t>
            </w:r>
          </w:p>
        </w:tc>
      </w:tr>
      <w:tr>
        <w:trPr>
          <w:cantSplit/>
        </w:trPr>
        <w:tc>
          <w:tcPr>
            <w:tcW w:w="529"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rFonts w:cs="Arial"/>
                <w:sz w:val="13"/>
              </w:rPr>
            </w:r>
          </w:p>
        </w:tc>
        <w:tc>
          <w:tcPr>
            <w:tcW w:w="991"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708"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567" w:type="dxa"/>
            <w:tcBorders>
              <w:start w:val="single" w:sz="6" w:space="0" w:color="000000"/>
              <w:bottom w:val="single" w:sz="6" w:space="0" w:color="000000"/>
              <w:end w:val="single" w:sz="6" w:space="0" w:color="000000"/>
            </w:tcBorders>
          </w:tcPr>
          <w:p>
            <w:pPr>
              <w:pStyle w:val="MainText"/>
              <w:ind w:hanging="0" w:end="0"/>
              <w:jc w:val="center"/>
              <w:rPr>
                <w:sz w:val="13"/>
              </w:rPr>
            </w:pPr>
            <w:r>
              <w:rPr>
                <w:sz w:val="13"/>
              </w:rPr>
              <w:t>бумаги</w:t>
            </w:r>
          </w:p>
        </w:tc>
        <w:tc>
          <w:tcPr>
            <w:tcW w:w="1414"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570" w:type="dxa"/>
            <w:tcBorders>
              <w:start w:val="single" w:sz="6" w:space="0" w:color="000000"/>
              <w:bottom w:val="single" w:sz="6" w:space="0" w:color="000000"/>
              <w:end w:val="single" w:sz="6" w:space="0" w:color="000000"/>
            </w:tcBorders>
          </w:tcPr>
          <w:p>
            <w:pPr>
              <w:pStyle w:val="MainText"/>
              <w:ind w:hanging="0" w:end="0"/>
              <w:jc w:val="center"/>
              <w:rPr>
                <w:sz w:val="13"/>
              </w:rPr>
            </w:pPr>
            <w:r>
              <w:rPr>
                <w:sz w:val="13"/>
              </w:rPr>
              <w:t>бумаги</w:t>
            </w:r>
          </w:p>
        </w:tc>
        <w:tc>
          <w:tcPr>
            <w:tcW w:w="994" w:type="dxa"/>
            <w:tcBorders>
              <w:start w:val="single" w:sz="6" w:space="0" w:color="000000"/>
              <w:bottom w:val="single" w:sz="6" w:space="0" w:color="000000"/>
              <w:end w:val="single" w:sz="6" w:space="0" w:color="000000"/>
            </w:tcBorders>
          </w:tcPr>
          <w:p>
            <w:pPr>
              <w:pStyle w:val="MainText"/>
              <w:ind w:hanging="0" w:end="0"/>
              <w:jc w:val="center"/>
              <w:rPr>
                <w:sz w:val="13"/>
              </w:rPr>
            </w:pPr>
            <w:r>
              <w:rPr>
                <w:sz w:val="13"/>
              </w:rPr>
              <w:t>ед. валюты обязательства</w:t>
            </w:r>
          </w:p>
        </w:tc>
        <w:tc>
          <w:tcPr>
            <w:tcW w:w="6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всего</w:t>
            </w:r>
          </w:p>
        </w:tc>
        <w:tc>
          <w:tcPr>
            <w:tcW w:w="8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из них: кредитные организации</w:t>
            </w:r>
          </w:p>
        </w:tc>
        <w:tc>
          <w:tcPr>
            <w:tcW w:w="950"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6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всего</w:t>
            </w:r>
          </w:p>
        </w:tc>
        <w:tc>
          <w:tcPr>
            <w:tcW w:w="8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из них: кредитные организации</w:t>
            </w:r>
          </w:p>
        </w:tc>
        <w:tc>
          <w:tcPr>
            <w:tcW w:w="960"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871"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971"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1015" w:type="dxa"/>
            <w:tcBorders>
              <w:start w:val="single" w:sz="6" w:space="0" w:color="000000"/>
              <w:bottom w:val="single" w:sz="6" w:space="0" w:color="000000"/>
              <w:end w:val="single" w:sz="6" w:space="0" w:color="000000"/>
            </w:tcBorders>
          </w:tcPr>
          <w:p>
            <w:pPr>
              <w:pStyle w:val="MainText"/>
              <w:ind w:hanging="0" w:end="0"/>
              <w:jc w:val="center"/>
              <w:rPr>
                <w:sz w:val="13"/>
              </w:rPr>
            </w:pPr>
            <w:r>
              <w:rPr>
                <w:sz w:val="13"/>
              </w:rPr>
              <w:t>управляющих</w:t>
            </w:r>
          </w:p>
        </w:tc>
        <w:tc>
          <w:tcPr>
            <w:tcW w:w="896" w:type="dxa"/>
            <w:tcBorders>
              <w:start w:val="single" w:sz="6" w:space="0" w:color="000000"/>
              <w:bottom w:val="single" w:sz="6" w:space="0" w:color="000000"/>
              <w:end w:val="single" w:sz="6" w:space="0" w:color="000000"/>
            </w:tcBorders>
          </w:tcPr>
          <w:p>
            <w:pPr>
              <w:pStyle w:val="MainText"/>
              <w:ind w:hanging="0" w:end="0"/>
              <w:jc w:val="center"/>
              <w:rPr>
                <w:sz w:val="13"/>
              </w:rPr>
            </w:pPr>
            <w:r>
              <w:rPr>
                <w:sz w:val="13"/>
              </w:rPr>
              <w:t>счетах</w:t>
            </w:r>
          </w:p>
        </w:tc>
        <w:tc>
          <w:tcPr>
            <w:tcW w:w="846"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846" w:type="dxa"/>
            <w:tcBorders>
              <w:start w:val="single" w:sz="6" w:space="0" w:color="000000"/>
              <w:bottom w:val="single" w:sz="6" w:space="0" w:color="000000"/>
              <w:end w:val="single" w:sz="6" w:space="0" w:color="000000"/>
            </w:tcBorders>
          </w:tcPr>
          <w:p>
            <w:pPr>
              <w:pStyle w:val="MainText"/>
              <w:ind w:hanging="0" w:end="0"/>
              <w:jc w:val="center"/>
              <w:rPr>
                <w:sz w:val="13"/>
              </w:rPr>
            </w:pPr>
            <w:r>
              <w:rPr>
                <w:sz w:val="13"/>
              </w:rPr>
              <w:t>которых не установлены</w:t>
            </w:r>
          </w:p>
        </w:tc>
      </w:tr>
      <w:tr>
        <w:trPr>
          <w:cantSplit/>
        </w:trPr>
        <w:tc>
          <w:tcPr>
            <w:tcW w:w="5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30</w:t>
            </w:r>
          </w:p>
        </w:tc>
        <w:tc>
          <w:tcPr>
            <w:tcW w:w="99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31</w:t>
            </w:r>
          </w:p>
        </w:tc>
        <w:tc>
          <w:tcPr>
            <w:tcW w:w="7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32</w:t>
            </w:r>
          </w:p>
        </w:tc>
        <w:tc>
          <w:tcPr>
            <w:tcW w:w="5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33</w:t>
            </w:r>
          </w:p>
        </w:tc>
        <w:tc>
          <w:tcPr>
            <w:tcW w:w="141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34</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35</w:t>
            </w:r>
          </w:p>
        </w:tc>
        <w:tc>
          <w:tcPr>
            <w:tcW w:w="9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36</w:t>
            </w:r>
          </w:p>
        </w:tc>
        <w:tc>
          <w:tcPr>
            <w:tcW w:w="6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37</w:t>
            </w:r>
          </w:p>
        </w:tc>
        <w:tc>
          <w:tcPr>
            <w:tcW w:w="8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38</w:t>
            </w:r>
          </w:p>
        </w:tc>
        <w:tc>
          <w:tcPr>
            <w:tcW w:w="95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39</w:t>
            </w:r>
          </w:p>
        </w:tc>
        <w:tc>
          <w:tcPr>
            <w:tcW w:w="6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40</w:t>
            </w:r>
          </w:p>
        </w:tc>
        <w:tc>
          <w:tcPr>
            <w:tcW w:w="8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41</w:t>
            </w:r>
          </w:p>
        </w:tc>
        <w:tc>
          <w:tcPr>
            <w:tcW w:w="9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42</w:t>
            </w:r>
          </w:p>
        </w:tc>
        <w:tc>
          <w:tcPr>
            <w:tcW w:w="87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43</w:t>
            </w:r>
          </w:p>
        </w:tc>
        <w:tc>
          <w:tcPr>
            <w:tcW w:w="97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44</w:t>
            </w:r>
          </w:p>
        </w:tc>
        <w:tc>
          <w:tcPr>
            <w:tcW w:w="10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45</w:t>
            </w:r>
          </w:p>
        </w:tc>
        <w:tc>
          <w:tcPr>
            <w:tcW w:w="89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46</w:t>
            </w:r>
          </w:p>
        </w:tc>
        <w:tc>
          <w:tcPr>
            <w:tcW w:w="8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47</w:t>
            </w:r>
          </w:p>
        </w:tc>
        <w:tc>
          <w:tcPr>
            <w:tcW w:w="84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48</w:t>
            </w:r>
          </w:p>
        </w:tc>
      </w:tr>
    </w:tbl>
    <w:p>
      <w:pPr>
        <w:pStyle w:val="MGlavaCenter"/>
        <w:keepLines w:val="false"/>
        <w:spacing w:before="120" w:after="60"/>
        <w:jc w:val="start"/>
        <w:rPr>
          <w:b w:val="false"/>
        </w:rPr>
      </w:pPr>
      <w:r>
        <w:rPr/>
        <w:t>1.3.2. Ценные бумаги, учитываемые на счетах депо кредитной организации</w:t>
      </w:r>
    </w:p>
    <w:tbl>
      <w:tblPr>
        <w:tblW w:w="16264" w:type="dxa"/>
        <w:jc w:val="center"/>
        <w:tblInd w:w="0" w:type="dxa"/>
        <w:tblLayout w:type="fixed"/>
        <w:tblCellMar>
          <w:top w:w="0" w:type="dxa"/>
          <w:start w:w="28" w:type="dxa"/>
          <w:bottom w:w="0" w:type="dxa"/>
          <w:end w:w="28" w:type="dxa"/>
        </w:tblCellMar>
      </w:tblPr>
      <w:tblGrid>
        <w:gridCol w:w="531"/>
        <w:gridCol w:w="993"/>
        <w:gridCol w:w="710"/>
        <w:gridCol w:w="567"/>
        <w:gridCol w:w="1418"/>
        <w:gridCol w:w="569"/>
        <w:gridCol w:w="993"/>
        <w:gridCol w:w="3403"/>
        <w:gridCol w:w="1416"/>
        <w:gridCol w:w="1416"/>
        <w:gridCol w:w="1416"/>
        <w:gridCol w:w="1416"/>
        <w:gridCol w:w="1416"/>
      </w:tblGrid>
      <w:tr>
        <w:trPr>
          <w:cantSplit/>
        </w:trPr>
        <w:tc>
          <w:tcPr>
            <w:tcW w:w="531" w:type="dxa"/>
            <w:tcBorders>
              <w:top w:val="single" w:sz="6" w:space="0" w:color="000000"/>
              <w:start w:val="single" w:sz="6" w:space="0" w:color="000000"/>
              <w:end w:val="single" w:sz="6" w:space="0" w:color="000000"/>
            </w:tcBorders>
          </w:tcPr>
          <w:p>
            <w:pPr>
              <w:pStyle w:val="MainText"/>
              <w:keepNext w:val="true"/>
              <w:ind w:hanging="0" w:end="0"/>
              <w:jc w:val="center"/>
              <w:rPr>
                <w:sz w:val="13"/>
              </w:rPr>
            </w:pPr>
            <w:r>
              <w:rPr>
                <w:sz w:val="13"/>
              </w:rPr>
              <w:t>Номер</w:t>
            </w:r>
          </w:p>
        </w:tc>
        <w:tc>
          <w:tcPr>
            <w:tcW w:w="993" w:type="dxa"/>
            <w:tcBorders>
              <w:top w:val="single" w:sz="6" w:space="0" w:color="000000"/>
              <w:start w:val="single" w:sz="6" w:space="0" w:color="000000"/>
              <w:end w:val="single" w:sz="6" w:space="0" w:color="000000"/>
            </w:tcBorders>
          </w:tcPr>
          <w:p>
            <w:pPr>
              <w:pStyle w:val="MainText"/>
              <w:keepNext w:val="true"/>
              <w:ind w:hanging="0" w:end="0"/>
              <w:jc w:val="center"/>
              <w:rPr>
                <w:sz w:val="13"/>
              </w:rPr>
            </w:pPr>
            <w:r>
              <w:rPr>
                <w:sz w:val="13"/>
              </w:rPr>
              <w:t>Наименование</w:t>
            </w:r>
          </w:p>
        </w:tc>
        <w:tc>
          <w:tcPr>
            <w:tcW w:w="710" w:type="dxa"/>
            <w:tcBorders>
              <w:top w:val="single" w:sz="6" w:space="0" w:color="000000"/>
              <w:start w:val="single" w:sz="6" w:space="0" w:color="000000"/>
              <w:end w:val="single" w:sz="6" w:space="0" w:color="000000"/>
            </w:tcBorders>
          </w:tcPr>
          <w:p>
            <w:pPr>
              <w:pStyle w:val="MainText"/>
              <w:keepNext w:val="true"/>
              <w:ind w:hanging="0" w:end="0"/>
              <w:jc w:val="center"/>
              <w:rPr>
                <w:sz w:val="13"/>
              </w:rPr>
            </w:pPr>
            <w:r>
              <w:rPr>
                <w:sz w:val="13"/>
              </w:rPr>
              <w:t>Код ИНН</w:t>
            </w:r>
          </w:p>
        </w:tc>
        <w:tc>
          <w:tcPr>
            <w:tcW w:w="567" w:type="dxa"/>
            <w:tcBorders>
              <w:top w:val="single" w:sz="6" w:space="0" w:color="000000"/>
              <w:start w:val="single" w:sz="6" w:space="0" w:color="000000"/>
              <w:end w:val="single" w:sz="6" w:space="0" w:color="000000"/>
            </w:tcBorders>
          </w:tcPr>
          <w:p>
            <w:pPr>
              <w:pStyle w:val="MainText"/>
              <w:keepNext w:val="true"/>
              <w:ind w:hanging="0" w:end="0"/>
              <w:jc w:val="center"/>
              <w:rPr>
                <w:sz w:val="13"/>
              </w:rPr>
            </w:pPr>
            <w:r>
              <w:rPr>
                <w:sz w:val="13"/>
              </w:rPr>
              <w:t>Код</w:t>
            </w:r>
          </w:p>
        </w:tc>
        <w:tc>
          <w:tcPr>
            <w:tcW w:w="1418" w:type="dxa"/>
            <w:tcBorders>
              <w:top w:val="single" w:sz="6" w:space="0" w:color="000000"/>
              <w:start w:val="single" w:sz="6" w:space="0" w:color="000000"/>
              <w:end w:val="single" w:sz="6" w:space="0" w:color="000000"/>
            </w:tcBorders>
          </w:tcPr>
          <w:p>
            <w:pPr>
              <w:pStyle w:val="MainText"/>
              <w:keepNext w:val="true"/>
              <w:ind w:hanging="0" w:end="0"/>
              <w:jc w:val="center"/>
              <w:rPr>
                <w:sz w:val="13"/>
              </w:rPr>
            </w:pPr>
            <w:r>
              <w:rPr>
                <w:sz w:val="13"/>
              </w:rPr>
              <w:t>Идентификационный</w:t>
            </w:r>
          </w:p>
        </w:tc>
        <w:tc>
          <w:tcPr>
            <w:tcW w:w="569" w:type="dxa"/>
            <w:tcBorders>
              <w:top w:val="single" w:sz="6" w:space="0" w:color="000000"/>
              <w:start w:val="single" w:sz="6" w:space="0" w:color="000000"/>
              <w:end w:val="single" w:sz="6" w:space="0" w:color="000000"/>
            </w:tcBorders>
          </w:tcPr>
          <w:p>
            <w:pPr>
              <w:pStyle w:val="MainText"/>
              <w:keepNext w:val="true"/>
              <w:ind w:hanging="0" w:end="0"/>
              <w:jc w:val="center"/>
              <w:rPr>
                <w:sz w:val="13"/>
              </w:rPr>
            </w:pPr>
            <w:r>
              <w:rPr>
                <w:sz w:val="13"/>
              </w:rPr>
              <w:t>Код</w:t>
            </w:r>
          </w:p>
        </w:tc>
        <w:tc>
          <w:tcPr>
            <w:tcW w:w="993" w:type="dxa"/>
            <w:tcBorders>
              <w:top w:val="single" w:sz="6" w:space="0" w:color="000000"/>
              <w:start w:val="single" w:sz="6" w:space="0" w:color="000000"/>
              <w:end w:val="single" w:sz="6" w:space="0" w:color="000000"/>
            </w:tcBorders>
          </w:tcPr>
          <w:p>
            <w:pPr>
              <w:pStyle w:val="MainText"/>
              <w:keepNext w:val="true"/>
              <w:ind w:hanging="0" w:end="0"/>
              <w:jc w:val="center"/>
              <w:rPr>
                <w:sz w:val="13"/>
              </w:rPr>
            </w:pPr>
            <w:r>
              <w:rPr>
                <w:sz w:val="13"/>
              </w:rPr>
              <w:t>Номинальная</w:t>
            </w:r>
          </w:p>
        </w:tc>
        <w:tc>
          <w:tcPr>
            <w:tcW w:w="10483" w:type="dxa"/>
            <w:gridSpan w:val="6"/>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Количество ценных бумаг, штук</w:t>
            </w:r>
          </w:p>
        </w:tc>
      </w:tr>
      <w:tr>
        <w:trPr>
          <w:cantSplit/>
        </w:trPr>
        <w:tc>
          <w:tcPr>
            <w:tcW w:w="531" w:type="dxa"/>
            <w:tcBorders>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строки</w:t>
            </w:r>
          </w:p>
        </w:tc>
        <w:tc>
          <w:tcPr>
            <w:tcW w:w="993" w:type="dxa"/>
            <w:tcBorders>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эмитента</w:t>
            </w:r>
          </w:p>
        </w:tc>
        <w:tc>
          <w:tcPr>
            <w:tcW w:w="710" w:type="dxa"/>
            <w:tcBorders>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эмитента</w:t>
            </w:r>
          </w:p>
        </w:tc>
        <w:tc>
          <w:tcPr>
            <w:tcW w:w="567" w:type="dxa"/>
            <w:tcBorders>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типа ценной бумаги</w:t>
            </w:r>
          </w:p>
        </w:tc>
        <w:tc>
          <w:tcPr>
            <w:tcW w:w="1418" w:type="dxa"/>
            <w:tcBorders>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номер ценной бумаги</w:t>
            </w:r>
          </w:p>
        </w:tc>
        <w:tc>
          <w:tcPr>
            <w:tcW w:w="569" w:type="dxa"/>
            <w:tcBorders>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валюты ценной бумаги</w:t>
            </w:r>
          </w:p>
        </w:tc>
        <w:tc>
          <w:tcPr>
            <w:tcW w:w="993" w:type="dxa"/>
            <w:tcBorders>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стоимость ценной бумаги, ед. валюты обязательства</w:t>
            </w:r>
          </w:p>
        </w:tc>
        <w:tc>
          <w:tcPr>
            <w:tcW w:w="340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на счетах, предназначенных для учета ценных бумаг, принадлежащих кредитной организации на праве собственности</w:t>
            </w:r>
          </w:p>
        </w:tc>
        <w:tc>
          <w:tcPr>
            <w:tcW w:w="14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на счетах залогодержателя</w:t>
            </w:r>
          </w:p>
        </w:tc>
        <w:tc>
          <w:tcPr>
            <w:tcW w:w="14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на счетах доверительного управляющего</w:t>
            </w:r>
          </w:p>
        </w:tc>
        <w:tc>
          <w:tcPr>
            <w:tcW w:w="14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на эмиссионных счетах</w:t>
            </w:r>
          </w:p>
        </w:tc>
        <w:tc>
          <w:tcPr>
            <w:tcW w:w="14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на счетах эмитента</w:t>
            </w:r>
          </w:p>
        </w:tc>
        <w:tc>
          <w:tcPr>
            <w:tcW w:w="14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на иных счетах</w:t>
            </w:r>
          </w:p>
        </w:tc>
      </w:tr>
      <w:tr>
        <w:trPr>
          <w:cantSplit/>
        </w:trPr>
        <w:tc>
          <w:tcPr>
            <w:tcW w:w="5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49</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50</w:t>
            </w:r>
          </w:p>
        </w:tc>
        <w:tc>
          <w:tcPr>
            <w:tcW w:w="7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51</w:t>
            </w:r>
          </w:p>
        </w:tc>
        <w:tc>
          <w:tcPr>
            <w:tcW w:w="5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52</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53</w:t>
            </w:r>
          </w:p>
        </w:tc>
        <w:tc>
          <w:tcPr>
            <w:tcW w:w="5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54</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55</w:t>
            </w:r>
          </w:p>
        </w:tc>
        <w:tc>
          <w:tcPr>
            <w:tcW w:w="340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56</w:t>
            </w:r>
          </w:p>
        </w:tc>
        <w:tc>
          <w:tcPr>
            <w:tcW w:w="14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57</w:t>
            </w:r>
          </w:p>
        </w:tc>
        <w:tc>
          <w:tcPr>
            <w:tcW w:w="14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58</w:t>
            </w:r>
          </w:p>
        </w:tc>
        <w:tc>
          <w:tcPr>
            <w:tcW w:w="14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59</w:t>
            </w:r>
          </w:p>
        </w:tc>
        <w:tc>
          <w:tcPr>
            <w:tcW w:w="14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60</w:t>
            </w:r>
          </w:p>
        </w:tc>
        <w:tc>
          <w:tcPr>
            <w:tcW w:w="14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61</w:t>
            </w:r>
          </w:p>
        </w:tc>
      </w:tr>
    </w:tbl>
    <w:p>
      <w:pPr>
        <w:pStyle w:val="MGlavaCenter"/>
        <w:keepNext w:val="false"/>
        <w:keepLines w:val="false"/>
        <w:spacing w:before="180" w:after="60"/>
        <w:jc w:val="start"/>
        <w:rPr>
          <w:b w:val="false"/>
        </w:rPr>
      </w:pPr>
      <w:r>
        <w:rPr/>
        <w:t>Подраздел 1.4. Филиалы, осуществляющие депозитарные операции с клиентами</w:t>
      </w:r>
    </w:p>
    <w:tbl>
      <w:tblPr>
        <w:tblW w:w="16251" w:type="dxa"/>
        <w:jc w:val="center"/>
        <w:tblInd w:w="0" w:type="dxa"/>
        <w:tblLayout w:type="fixed"/>
        <w:tblCellMar>
          <w:top w:w="0" w:type="dxa"/>
          <w:start w:w="28" w:type="dxa"/>
          <w:bottom w:w="0" w:type="dxa"/>
          <w:end w:w="28" w:type="dxa"/>
        </w:tblCellMar>
      </w:tblPr>
      <w:tblGrid>
        <w:gridCol w:w="534"/>
        <w:gridCol w:w="7507"/>
        <w:gridCol w:w="1837"/>
        <w:gridCol w:w="6373"/>
      </w:tblGrid>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строки</w:t>
            </w:r>
          </w:p>
        </w:tc>
        <w:tc>
          <w:tcPr>
            <w:tcW w:w="75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Наименование регионов, в которых есть филиалы, осуществляющие депозитарные операции с клиентами</w:t>
            </w:r>
          </w:p>
        </w:tc>
        <w:tc>
          <w:tcPr>
            <w:tcW w:w="18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Код региона по ОКАТО</w:t>
            </w:r>
          </w:p>
        </w:tc>
        <w:tc>
          <w:tcPr>
            <w:tcW w:w="63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Количество филиалов, осуществляющих депозитарные операции с клиентами в регионе</w:t>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62</w:t>
            </w:r>
          </w:p>
        </w:tc>
        <w:tc>
          <w:tcPr>
            <w:tcW w:w="750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63</w:t>
            </w:r>
          </w:p>
        </w:tc>
        <w:tc>
          <w:tcPr>
            <w:tcW w:w="18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64</w:t>
            </w:r>
          </w:p>
        </w:tc>
        <w:tc>
          <w:tcPr>
            <w:tcW w:w="637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65</w:t>
            </w:r>
          </w:p>
        </w:tc>
      </w:tr>
    </w:tbl>
    <w:p>
      <w:pPr>
        <w:pStyle w:val="MGlavaCenter"/>
        <w:keepNext w:val="false"/>
        <w:keepLines w:val="false"/>
        <w:spacing w:before="180" w:after="60"/>
        <w:jc w:val="start"/>
        <w:rPr>
          <w:b w:val="false"/>
        </w:rPr>
      </w:pPr>
      <w:r>
        <w:rPr>
          <w:b w:val="false"/>
        </w:rPr>
        <w:t>Раздел 2. Операции с векселями</w:t>
      </w:r>
    </w:p>
    <w:p>
      <w:pPr>
        <w:pStyle w:val="MGlavaCenter"/>
        <w:keepNext w:val="false"/>
        <w:keepLines w:val="false"/>
        <w:spacing w:before="60" w:after="60"/>
        <w:jc w:val="start"/>
        <w:rPr>
          <w:b w:val="false"/>
        </w:rPr>
      </w:pPr>
      <w:r>
        <w:rPr/>
        <w:t>Подраздел 2.1. Учтенные кредитной организацией векселя</w:t>
      </w:r>
    </w:p>
    <w:tbl>
      <w:tblPr>
        <w:tblW w:w="16258" w:type="dxa"/>
        <w:jc w:val="center"/>
        <w:tblInd w:w="0" w:type="dxa"/>
        <w:tblLayout w:type="fixed"/>
        <w:tblCellMar>
          <w:top w:w="0" w:type="dxa"/>
          <w:start w:w="28" w:type="dxa"/>
          <w:bottom w:w="0" w:type="dxa"/>
          <w:end w:w="28" w:type="dxa"/>
        </w:tblCellMar>
      </w:tblPr>
      <w:tblGrid>
        <w:gridCol w:w="524"/>
        <w:gridCol w:w="998"/>
        <w:gridCol w:w="568"/>
        <w:gridCol w:w="990"/>
        <w:gridCol w:w="567"/>
        <w:gridCol w:w="570"/>
        <w:gridCol w:w="570"/>
        <w:gridCol w:w="849"/>
        <w:gridCol w:w="568"/>
        <w:gridCol w:w="852"/>
        <w:gridCol w:w="766"/>
        <w:gridCol w:w="649"/>
        <w:gridCol w:w="849"/>
        <w:gridCol w:w="709"/>
        <w:gridCol w:w="828"/>
        <w:gridCol w:w="875"/>
        <w:gridCol w:w="850"/>
        <w:gridCol w:w="852"/>
        <w:gridCol w:w="850"/>
        <w:gridCol w:w="658"/>
        <w:gridCol w:w="658"/>
        <w:gridCol w:w="658"/>
      </w:tblGrid>
      <w:tr>
        <w:trPr>
          <w:cantSplit/>
        </w:trPr>
        <w:tc>
          <w:tcPr>
            <w:tcW w:w="5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Номер строки</w:t>
            </w:r>
          </w:p>
        </w:tc>
        <w:tc>
          <w:tcPr>
            <w:tcW w:w="99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Векселедатель</w:t>
            </w:r>
          </w:p>
        </w:tc>
        <w:tc>
          <w:tcPr>
            <w:tcW w:w="5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Код типа ценной бумаги</w:t>
            </w:r>
          </w:p>
        </w:tc>
        <w:tc>
          <w:tcPr>
            <w:tcW w:w="9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ИНН векселедателя</w:t>
            </w:r>
          </w:p>
        </w:tc>
        <w:tc>
          <w:tcPr>
            <w:tcW w:w="5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Серия векселя</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Номер векселя</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Номер бланка векселя при его наличии</w:t>
            </w:r>
          </w:p>
        </w:tc>
        <w:tc>
          <w:tcPr>
            <w:tcW w:w="8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Дата составления</w:t>
            </w:r>
          </w:p>
        </w:tc>
        <w:tc>
          <w:tcPr>
            <w:tcW w:w="5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Срок и условия платежа</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Вексельная сумма, в ед. валюты номинала</w:t>
            </w:r>
          </w:p>
        </w:tc>
        <w:tc>
          <w:tcPr>
            <w:tcW w:w="7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Код валюты вексельной суммы</w:t>
            </w:r>
          </w:p>
        </w:tc>
        <w:tc>
          <w:tcPr>
            <w:tcW w:w="6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Дата принятия на баланс</w:t>
            </w:r>
          </w:p>
        </w:tc>
        <w:tc>
          <w:tcPr>
            <w:tcW w:w="8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Основание приобретения (вид и реквизиты)</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Контрагент по сделке</w:t>
            </w:r>
          </w:p>
        </w:tc>
        <w:tc>
          <w:tcPr>
            <w:tcW w:w="8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ИНН контрагента</w:t>
            </w:r>
          </w:p>
        </w:tc>
        <w:tc>
          <w:tcPr>
            <w:tcW w:w="8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Балансовая стоимость (без учета накопленного дисконта (процента), руб.</w:t>
            </w:r>
          </w:p>
        </w:tc>
        <w:tc>
          <w:tcPr>
            <w:tcW w:w="85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Накопленный дисконт (процент), руб.</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Номер балансового счета второго порядка</w:t>
            </w:r>
          </w:p>
        </w:tc>
        <w:tc>
          <w:tcPr>
            <w:tcW w:w="85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Место нахождения векселя</w:t>
            </w:r>
          </w:p>
        </w:tc>
        <w:tc>
          <w:tcPr>
            <w:tcW w:w="6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ИНН юриди-ческого лица, либо физи-ческого лица (при наличии), у которого находится вексель</w:t>
            </w:r>
          </w:p>
        </w:tc>
        <w:tc>
          <w:tcPr>
            <w:tcW w:w="6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Осно-вания нахож-дения векселя в другой органи-зации (вид и реквизиты договора при наличии)</w:t>
            </w:r>
          </w:p>
        </w:tc>
        <w:tc>
          <w:tcPr>
            <w:tcW w:w="6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2"/>
              </w:rPr>
            </w:pPr>
            <w:r>
              <w:rPr>
                <w:sz w:val="12"/>
              </w:rPr>
              <w:t>Приме-чание</w:t>
            </w:r>
          </w:p>
        </w:tc>
      </w:tr>
      <w:tr>
        <w:trPr>
          <w:cantSplit/>
        </w:trPr>
        <w:tc>
          <w:tcPr>
            <w:tcW w:w="5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66</w:t>
            </w:r>
          </w:p>
        </w:tc>
        <w:tc>
          <w:tcPr>
            <w:tcW w:w="99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67</w:t>
            </w:r>
          </w:p>
        </w:tc>
        <w:tc>
          <w:tcPr>
            <w:tcW w:w="5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68</w:t>
            </w:r>
          </w:p>
        </w:tc>
        <w:tc>
          <w:tcPr>
            <w:tcW w:w="9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69</w:t>
            </w:r>
          </w:p>
        </w:tc>
        <w:tc>
          <w:tcPr>
            <w:tcW w:w="56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70</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71</w:t>
            </w:r>
          </w:p>
        </w:tc>
        <w:tc>
          <w:tcPr>
            <w:tcW w:w="5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72</w:t>
            </w:r>
          </w:p>
        </w:tc>
        <w:tc>
          <w:tcPr>
            <w:tcW w:w="8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73</w:t>
            </w:r>
          </w:p>
        </w:tc>
        <w:tc>
          <w:tcPr>
            <w:tcW w:w="5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74</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75</w:t>
            </w:r>
          </w:p>
        </w:tc>
        <w:tc>
          <w:tcPr>
            <w:tcW w:w="7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76</w:t>
            </w:r>
          </w:p>
        </w:tc>
        <w:tc>
          <w:tcPr>
            <w:tcW w:w="6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77</w:t>
            </w:r>
          </w:p>
        </w:tc>
        <w:tc>
          <w:tcPr>
            <w:tcW w:w="8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78</w:t>
            </w:r>
          </w:p>
        </w:tc>
        <w:tc>
          <w:tcPr>
            <w:tcW w:w="70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79</w:t>
            </w:r>
          </w:p>
        </w:tc>
        <w:tc>
          <w:tcPr>
            <w:tcW w:w="8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80</w:t>
            </w:r>
          </w:p>
        </w:tc>
        <w:tc>
          <w:tcPr>
            <w:tcW w:w="8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81</w:t>
            </w:r>
          </w:p>
        </w:tc>
        <w:tc>
          <w:tcPr>
            <w:tcW w:w="85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82</w:t>
            </w:r>
          </w:p>
        </w:tc>
        <w:tc>
          <w:tcPr>
            <w:tcW w:w="8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83</w:t>
            </w:r>
          </w:p>
        </w:tc>
        <w:tc>
          <w:tcPr>
            <w:tcW w:w="85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84</w:t>
            </w:r>
          </w:p>
        </w:tc>
        <w:tc>
          <w:tcPr>
            <w:tcW w:w="6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85</w:t>
            </w:r>
          </w:p>
        </w:tc>
        <w:tc>
          <w:tcPr>
            <w:tcW w:w="6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86</w:t>
            </w:r>
          </w:p>
        </w:tc>
        <w:tc>
          <w:tcPr>
            <w:tcW w:w="65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87</w:t>
            </w:r>
          </w:p>
        </w:tc>
      </w:tr>
    </w:tbl>
    <w:p>
      <w:pPr>
        <w:pStyle w:val="MGlavaCenter"/>
        <w:keepLines w:val="false"/>
        <w:spacing w:before="120" w:after="60"/>
        <w:jc w:val="start"/>
        <w:rPr>
          <w:b w:val="false"/>
        </w:rPr>
      </w:pPr>
      <w:r>
        <w:rPr/>
        <w:t>Подраздел 2.2. Выпущенные кредитной организацией векселя</w:t>
      </w:r>
    </w:p>
    <w:tbl>
      <w:tblPr>
        <w:tblW w:w="16244" w:type="dxa"/>
        <w:jc w:val="center"/>
        <w:tblInd w:w="0" w:type="dxa"/>
        <w:tblLayout w:type="fixed"/>
        <w:tblCellMar>
          <w:top w:w="0" w:type="dxa"/>
          <w:start w:w="28" w:type="dxa"/>
          <w:bottom w:w="0" w:type="dxa"/>
          <w:end w:w="28" w:type="dxa"/>
        </w:tblCellMar>
      </w:tblPr>
      <w:tblGrid>
        <w:gridCol w:w="533"/>
        <w:gridCol w:w="990"/>
        <w:gridCol w:w="848"/>
        <w:gridCol w:w="849"/>
        <w:gridCol w:w="991"/>
        <w:gridCol w:w="1337"/>
        <w:gridCol w:w="1337"/>
        <w:gridCol w:w="1337"/>
        <w:gridCol w:w="1337"/>
        <w:gridCol w:w="1337"/>
        <w:gridCol w:w="1337"/>
        <w:gridCol w:w="1477"/>
        <w:gridCol w:w="1418"/>
        <w:gridCol w:w="1116"/>
      </w:tblGrid>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строки</w:t>
            </w:r>
          </w:p>
        </w:tc>
        <w:tc>
          <w:tcPr>
            <w:tcW w:w="9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Серия векселя</w:t>
            </w:r>
          </w:p>
        </w:tc>
        <w:tc>
          <w:tcPr>
            <w:tcW w:w="8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векселя</w:t>
            </w:r>
          </w:p>
        </w:tc>
        <w:tc>
          <w:tcPr>
            <w:tcW w:w="8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бланка</w:t>
            </w:r>
          </w:p>
        </w:tc>
        <w:tc>
          <w:tcPr>
            <w:tcW w:w="99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Дата составления</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Дата и условия погашения</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Вексельная сумма, ед. валюты номинала</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Код валюты вексельной суммы</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Первый векселедержатель</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ИНН первого векселедержателя</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Состояние векселя на отчетную дату</w:t>
            </w:r>
          </w:p>
        </w:tc>
        <w:tc>
          <w:tcPr>
            <w:tcW w:w="14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Векселедержатель (собственник) (при наличии векселя в кредитной организации)</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ИНН векселедержателя (при наличии)</w:t>
            </w:r>
          </w:p>
        </w:tc>
        <w:tc>
          <w:tcPr>
            <w:tcW w:w="11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Примечание</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88</w:t>
            </w:r>
          </w:p>
        </w:tc>
        <w:tc>
          <w:tcPr>
            <w:tcW w:w="99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89</w:t>
            </w:r>
          </w:p>
        </w:tc>
        <w:tc>
          <w:tcPr>
            <w:tcW w:w="8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90</w:t>
            </w:r>
          </w:p>
        </w:tc>
        <w:tc>
          <w:tcPr>
            <w:tcW w:w="84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91</w:t>
            </w:r>
          </w:p>
        </w:tc>
        <w:tc>
          <w:tcPr>
            <w:tcW w:w="99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92</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93</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94</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95</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96</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97</w:t>
            </w:r>
          </w:p>
        </w:tc>
        <w:tc>
          <w:tcPr>
            <w:tcW w:w="133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98</w:t>
            </w:r>
          </w:p>
        </w:tc>
        <w:tc>
          <w:tcPr>
            <w:tcW w:w="14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99</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100</w:t>
            </w:r>
          </w:p>
        </w:tc>
        <w:tc>
          <w:tcPr>
            <w:tcW w:w="111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101</w:t>
            </w:r>
          </w:p>
        </w:tc>
      </w:tr>
    </w:tbl>
    <w:p>
      <w:pPr>
        <w:pStyle w:val="MGlavaCenter"/>
        <w:keepLines w:val="false"/>
        <w:spacing w:before="120" w:after="60"/>
        <w:jc w:val="start"/>
        <w:rPr>
          <w:b w:val="false"/>
        </w:rPr>
      </w:pPr>
      <w:r>
        <w:rPr/>
        <w:t>Подраздел 2.3. Информация о векселях (кроме выпущенных самой кредитной организацией), принадлежащих сторонним лицам и находящихся в кредитной организации на различных основаниях</w:t>
      </w:r>
    </w:p>
    <w:tbl>
      <w:tblPr>
        <w:tblW w:w="16264" w:type="dxa"/>
        <w:jc w:val="center"/>
        <w:tblInd w:w="0" w:type="dxa"/>
        <w:tblLayout w:type="fixed"/>
        <w:tblCellMar>
          <w:top w:w="0" w:type="dxa"/>
          <w:start w:w="28" w:type="dxa"/>
          <w:bottom w:w="0" w:type="dxa"/>
          <w:end w:w="28" w:type="dxa"/>
        </w:tblCellMar>
      </w:tblPr>
      <w:tblGrid>
        <w:gridCol w:w="534"/>
        <w:gridCol w:w="1048"/>
        <w:gridCol w:w="795"/>
        <w:gridCol w:w="1068"/>
        <w:gridCol w:w="777"/>
        <w:gridCol w:w="848"/>
        <w:gridCol w:w="994"/>
        <w:gridCol w:w="993"/>
        <w:gridCol w:w="1151"/>
        <w:gridCol w:w="1151"/>
        <w:gridCol w:w="960"/>
        <w:gridCol w:w="974"/>
        <w:gridCol w:w="1152"/>
        <w:gridCol w:w="1417"/>
        <w:gridCol w:w="1377"/>
        <w:gridCol w:w="1025"/>
      </w:tblGrid>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строки</w:t>
            </w:r>
          </w:p>
        </w:tc>
        <w:tc>
          <w:tcPr>
            <w:tcW w:w="10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Векселедатель</w:t>
            </w:r>
          </w:p>
        </w:tc>
        <w:tc>
          <w:tcPr>
            <w:tcW w:w="7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Код типа ценной бумаги</w:t>
            </w:r>
          </w:p>
        </w:tc>
        <w:tc>
          <w:tcPr>
            <w:tcW w:w="10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ИНН векселедателя</w:t>
            </w:r>
          </w:p>
        </w:tc>
        <w:tc>
          <w:tcPr>
            <w:tcW w:w="7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Серия векселя</w:t>
            </w:r>
          </w:p>
        </w:tc>
        <w:tc>
          <w:tcPr>
            <w:tcW w:w="8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векселя</w:t>
            </w:r>
          </w:p>
        </w:tc>
        <w:tc>
          <w:tcPr>
            <w:tcW w:w="9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Номер бланка векселя при его наличии</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Дата составления</w:t>
            </w:r>
          </w:p>
        </w:tc>
        <w:tc>
          <w:tcPr>
            <w:tcW w:w="11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Срок и условия платежа</w:t>
            </w:r>
          </w:p>
        </w:tc>
        <w:tc>
          <w:tcPr>
            <w:tcW w:w="11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Вексельная сумма, в ед. валюты номинала</w:t>
            </w:r>
          </w:p>
        </w:tc>
        <w:tc>
          <w:tcPr>
            <w:tcW w:w="9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Код валюты вексельной суммы</w:t>
            </w:r>
          </w:p>
        </w:tc>
        <w:tc>
          <w:tcPr>
            <w:tcW w:w="9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Дата поступления</w:t>
            </w:r>
          </w:p>
        </w:tc>
        <w:tc>
          <w:tcPr>
            <w:tcW w:w="11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Основания (вид и реквизиты договора при наличии)</w:t>
            </w:r>
          </w:p>
        </w:tc>
        <w:tc>
          <w:tcPr>
            <w:tcW w:w="14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Векселедержатель (собственник)</w:t>
            </w:r>
          </w:p>
        </w:tc>
        <w:tc>
          <w:tcPr>
            <w:tcW w:w="13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ИНН векселедержателя (при наличии)</w:t>
            </w:r>
          </w:p>
        </w:tc>
        <w:tc>
          <w:tcPr>
            <w:tcW w:w="102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Примечание</w:t>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102</w:t>
            </w:r>
          </w:p>
        </w:tc>
        <w:tc>
          <w:tcPr>
            <w:tcW w:w="10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103</w:t>
            </w:r>
          </w:p>
        </w:tc>
        <w:tc>
          <w:tcPr>
            <w:tcW w:w="79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104</w:t>
            </w:r>
          </w:p>
        </w:tc>
        <w:tc>
          <w:tcPr>
            <w:tcW w:w="10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105</w:t>
            </w:r>
          </w:p>
        </w:tc>
        <w:tc>
          <w:tcPr>
            <w:tcW w:w="7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106</w:t>
            </w:r>
          </w:p>
        </w:tc>
        <w:tc>
          <w:tcPr>
            <w:tcW w:w="8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107</w:t>
            </w:r>
          </w:p>
        </w:tc>
        <w:tc>
          <w:tcPr>
            <w:tcW w:w="99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108</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109</w:t>
            </w:r>
          </w:p>
        </w:tc>
        <w:tc>
          <w:tcPr>
            <w:tcW w:w="11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110</w:t>
            </w:r>
          </w:p>
        </w:tc>
        <w:tc>
          <w:tcPr>
            <w:tcW w:w="11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111</w:t>
            </w:r>
          </w:p>
        </w:tc>
        <w:tc>
          <w:tcPr>
            <w:tcW w:w="9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112</w:t>
            </w:r>
          </w:p>
        </w:tc>
        <w:tc>
          <w:tcPr>
            <w:tcW w:w="97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113</w:t>
            </w:r>
          </w:p>
        </w:tc>
        <w:tc>
          <w:tcPr>
            <w:tcW w:w="115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114</w:t>
            </w:r>
          </w:p>
        </w:tc>
        <w:tc>
          <w:tcPr>
            <w:tcW w:w="14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115</w:t>
            </w:r>
          </w:p>
        </w:tc>
        <w:tc>
          <w:tcPr>
            <w:tcW w:w="13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116</w:t>
            </w:r>
          </w:p>
        </w:tc>
        <w:tc>
          <w:tcPr>
            <w:tcW w:w="102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117</w:t>
            </w:r>
          </w:p>
        </w:tc>
      </w:tr>
    </w:tbl>
    <w:p>
      <w:pPr>
        <w:pStyle w:val="MainTextBezOtstupa"/>
        <w:tabs>
          <w:tab w:val="clear" w:pos="720"/>
          <w:tab w:val="left" w:pos="4564" w:leader="none"/>
        </w:tabs>
        <w:spacing w:before="120" w:after="0"/>
        <w:rPr/>
      </w:pPr>
      <w:r>
        <w:rPr/>
        <w:t>Руководитель кредитной организации</w:t>
        <w:tab/>
        <w:t>(Ф.И.О.)</w:t>
      </w:r>
    </w:p>
    <w:p>
      <w:pPr>
        <w:pStyle w:val="MainTextBezOtstupa"/>
        <w:tabs>
          <w:tab w:val="clear" w:pos="720"/>
          <w:tab w:val="left" w:pos="4564" w:leader="none"/>
        </w:tabs>
        <w:spacing w:before="57" w:after="0"/>
        <w:rPr/>
      </w:pPr>
      <w:r>
        <w:rPr/>
        <w:t>Главный бухгалтер</w:t>
        <w:tab/>
        <w:t>(Ф.И.О.)</w:t>
      </w:r>
    </w:p>
    <w:p>
      <w:pPr>
        <w:pStyle w:val="MainTextBezOtstupa"/>
        <w:tabs>
          <w:tab w:val="clear" w:pos="720"/>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color w:val="000000"/>
        </w:rPr>
        <w:t>Порядок составления и представления отчетности по форме 0409711 “Отчет по ценным бумагам”</w:t>
      </w:r>
    </w:p>
    <w:p>
      <w:pPr>
        <w:pStyle w:val="MGlavaCenter"/>
        <w:keepLines w:val="false"/>
        <w:spacing w:before="0" w:after="120"/>
        <w:rPr>
          <w:b w:val="false"/>
        </w:rPr>
      </w:pPr>
      <w:r>
        <w:rPr>
          <w:b w:val="false"/>
        </w:rPr>
        <w:t>Раздел I. Порядок представления Отчета</w:t>
      </w:r>
    </w:p>
    <w:p>
      <w:pPr>
        <w:pStyle w:val="MainText"/>
        <w:rPr/>
      </w:pPr>
      <w:r>
        <w:rPr/>
        <w:t>I.1. Кредитные организации (за исключением крупных кредитных организаций с широкой сетью подразделений) ежемесячно представляют отчетность по форме 0409711 “Отчет по ценным бумагам” (далее — Отчет) в территориальные учреждения Банка России по месту их нахождения не позднее 5-го рабочего дня месяца, следующего за отчетным.</w:t>
      </w:r>
    </w:p>
    <w:p>
      <w:pPr>
        <w:pStyle w:val="MainText"/>
        <w:rPr/>
      </w:pPr>
      <w:r>
        <w:rPr/>
        <w:t>Крупные кредитные организации с широкой сетью подразделений представляют Отчет не позднее 11-го рабочего дня месяца, следующего за отчетным.</w:t>
      </w:r>
    </w:p>
    <w:p>
      <w:pPr>
        <w:pStyle w:val="MainText"/>
        <w:rPr/>
      </w:pPr>
      <w:r>
        <w:rPr/>
        <w:t>По состоянию на 1 января Отчет представляется:</w:t>
      </w:r>
    </w:p>
    <w:p>
      <w:pPr>
        <w:pStyle w:val="MainText"/>
        <w:rPr/>
      </w:pPr>
      <w:r>
        <w:rPr/>
        <w:t>кредитными организациями (за исключением крупных кредитных организаций с широкой сетью подразделений) — не позднее 10-го рабочего дня года, следующего за отчетным;</w:t>
      </w:r>
    </w:p>
    <w:p>
      <w:pPr>
        <w:pStyle w:val="MainText"/>
        <w:rPr/>
      </w:pPr>
      <w:r>
        <w:rPr/>
        <w:t>крупными кредитными организациями с широкой сетью подразделений — не позднее 5 февраля года, следующего за отчетным.</w:t>
      </w:r>
    </w:p>
    <w:p>
      <w:pPr>
        <w:pStyle w:val="MainText"/>
        <w:rPr/>
      </w:pPr>
      <w:r>
        <w:rPr/>
        <w:t>I.2. Отчет составляется в целом по кредитной организации. Кредитные организации, не имеющие лицензии профессионального участника рынка ценных бумаг, представляют Отчет по разделу 1 в рамках подразделов 1.1.2 и 1.3.2, а по разделу 2 — в полном объеме. Филиалы кредитных организаций представляют Отчеты по подразделам 1.1.1—1.3.2 раздела 1 (при отсутствии депозитарной лицензии — по подразделам 1.1.2 и 1.3.2) только по запросам территориальных учреждений Банка России с периодичностью и в сроки, определенные для кредитных организаций.</w:t>
      </w:r>
    </w:p>
    <w:p>
      <w:pPr>
        <w:pStyle w:val="MainText"/>
        <w:rPr/>
      </w:pPr>
      <w:r>
        <w:rPr/>
        <w:t>I.3. Под филиалами крупных кредитных организаций с широкой сетью подразделений в рамках настоящего Порядка понимаются территориальные банки.</w:t>
      </w:r>
    </w:p>
    <w:p>
      <w:pPr>
        <w:pStyle w:val="MGlavaCenter"/>
        <w:rPr>
          <w:b w:val="false"/>
        </w:rPr>
      </w:pPr>
      <w:r>
        <w:rPr>
          <w:b w:val="false"/>
        </w:rPr>
        <w:t>Раздел II. Порядок составления Отчета</w:t>
      </w:r>
    </w:p>
    <w:p>
      <w:pPr>
        <w:pStyle w:val="MainText"/>
        <w:rPr/>
      </w:pPr>
      <w:r>
        <w:rPr/>
        <w:t>II.1. Подраздел 1.1.1 раздела 1 составляется в следующем порядке.</w:t>
      </w:r>
    </w:p>
    <w:p>
      <w:pPr>
        <w:pStyle w:val="MainText"/>
        <w:rPr/>
      </w:pPr>
      <w:r>
        <w:rPr/>
        <w:t>В подразделе отражается количество аналитических пассивных счетов депо, открытых клиентам (депонентам) депозитария кредитной организации по состоянию на 1-е число месяца, следующего за отчетным. Счета, закрытые по состоянию на отчетную дату, в Отчет не включаются.</w:t>
      </w:r>
    </w:p>
    <w:p>
      <w:pPr>
        <w:pStyle w:val="MainText"/>
        <w:rPr/>
      </w:pPr>
      <w:r>
        <w:rPr/>
        <w:t>Понятия “резидент” и “нерезидент” используются для составления Отчета в соответствии с валютным законодательством Российской Федерации. Отделения, дочерние общества и организации резидентов, находящиеся на территории других государств и имеющие статус юридического лица, а также структуры Союзного государства Российской Федерации и Республики Беларусь отражаются в Отчете в качестве нерезидентов.</w:t>
      </w:r>
    </w:p>
    <w:p>
      <w:pPr>
        <w:pStyle w:val="MainText"/>
        <w:rPr/>
      </w:pPr>
      <w:r>
        <w:rPr/>
        <w:t>В графе 2 указывается общее количество аналитических пассивных счетов депо, открытых кредитной организацией резидентам (юридическим и физическим лицам) (включая федеральные органы государственной власти и органы государственной власти субъектов Российской Федерации) для учета ценных бумаг, принадлежащих им на праве собственности и отраженных на счетах №№ 98040, 98053, 98070.</w:t>
      </w:r>
    </w:p>
    <w:p>
      <w:pPr>
        <w:pStyle w:val="MainText"/>
        <w:rPr/>
      </w:pPr>
      <w:r>
        <w:rPr/>
        <w:t>В графе 3 указывается общее количество аналитических пассивных счетов депо, открытых кредитной организацией нерезидентам (юридическим и физическим лицам) для учета ценных бумаг, принадлежащих им на праве собственности и отраженных на счетах №№ 98040, 98053, 98070.</w:t>
      </w:r>
    </w:p>
    <w:p>
      <w:pPr>
        <w:pStyle w:val="MainText"/>
        <w:rPr/>
      </w:pPr>
      <w:r>
        <w:rPr/>
        <w:t>В графе 4 указывается общее количество междепозитарных счетов депо “ЛОРО”, открытых кредитной организацией сторонним депозитариям — резидентам для учета ценных бумаг, принадлежащих их клиентам (депонентам) и отраженных на счетах №№ 98053, 98060, 98065, 98070.</w:t>
      </w:r>
    </w:p>
    <w:p>
      <w:pPr>
        <w:pStyle w:val="MainText"/>
        <w:rPr/>
      </w:pPr>
      <w:r>
        <w:rPr/>
        <w:t>В графе 5 указывается общее количество междепозитарных счетов депо “ЛОРО”, открытых кредитной организацией сторонним депозитариям — нерезидентам для учета ценных бумаг, принадлежащих клиентам (депонентам) депозитария-корреспондента и отраженных на счетах №№ 98053, 98060, 98065, 98070.</w:t>
      </w:r>
    </w:p>
    <w:p>
      <w:pPr>
        <w:pStyle w:val="MainText"/>
        <w:rPr/>
      </w:pPr>
      <w:r>
        <w:rPr/>
        <w:t>В графе 6 указывается общее количество счетов депо залогодержателей, открытых для учета ценных бумаг, переданных депонентам в заклад. Ценные бумаги, учитываемые на таких счетах, отражаются на счете № 98070.</w:t>
      </w:r>
    </w:p>
    <w:p>
      <w:pPr>
        <w:pStyle w:val="MainText"/>
        <w:rPr/>
      </w:pPr>
      <w:r>
        <w:rPr/>
        <w:t>В графе 7 указывается общее количество счетов депо доверительных управляющих, открытых для учета ценных бумаг, находящихся у депонента в доверительном управлении. Ценные бумаги, учитываемые на таких счетах, отражаются на счетах №№ 98053, 98055, 98070.</w:t>
      </w:r>
    </w:p>
    <w:p>
      <w:pPr>
        <w:pStyle w:val="MainText"/>
        <w:rPr/>
      </w:pPr>
      <w:r>
        <w:rPr/>
        <w:t>В графе 8 указывается общее количество аналитических эмиссионных счетов депо клиентов. В качестве эмиссионных счетов показываются счета, открываемые эмитенту в головном депозитарии для зачисления полного объема выпуска ценных бумаг при осуществлении эмиссии либо выкупе ценных бумаг эмитентом в целях погашения (аннулирования). Ценные бумаги, учитываемые на таких счетах клиентов, отражаются на счете № 98090.</w:t>
      </w:r>
    </w:p>
    <w:p>
      <w:pPr>
        <w:pStyle w:val="MainText"/>
        <w:rPr/>
      </w:pPr>
      <w:r>
        <w:rPr/>
        <w:t>В графе 9 указывается общее количество аналитических счетов депо эмитентов, в качестве которых отражаются счета, используемые эмитентом при выкупе собственных ценных бумаг с целью их дальнейшей перепродажи. Ценные бумаги, учитываемые на таких счетах, отражаются на счете № 98090.</w:t>
      </w:r>
    </w:p>
    <w:p>
      <w:pPr>
        <w:pStyle w:val="MainText"/>
        <w:rPr/>
      </w:pPr>
      <w:r>
        <w:rPr/>
        <w:t>В графе 10 указывается общее количество счетов депо, где учитываются ценные бумаги, принадлежность которых не установлена, а также счета депо, в отношении владельцев которых отсутствует информация, позволяющая произвести их однозначную идентификацию. Ценные бумаги, учитываемые на таких счетах, отражаются на счете № 98080.</w:t>
      </w:r>
    </w:p>
    <w:p>
      <w:pPr>
        <w:pStyle w:val="MainText"/>
        <w:rPr/>
      </w:pPr>
      <w:r>
        <w:rPr/>
        <w:t>Сумма значений граф 2—10 должна соответствовать общему количеству аналитических пассивных счетов депо, открытых депонентам депозитария кредитной организации (включая счета, открытые клиентам в филиалах кредитной организации).</w:t>
      </w:r>
    </w:p>
    <w:p>
      <w:pPr>
        <w:pStyle w:val="MainText"/>
        <w:rPr/>
      </w:pPr>
      <w:r>
        <w:rPr/>
        <w:t>II.2. Подраздел 1.1.2 раздела 1 составляется в следующем порядке.</w:t>
      </w:r>
    </w:p>
    <w:p>
      <w:pPr>
        <w:pStyle w:val="MainText"/>
        <w:rPr/>
      </w:pPr>
      <w:r>
        <w:rPr/>
        <w:t>В графах 12—16 указывается количество аналитических пассивных счетов депо кредитной организации, открытых для учета ценных бумаг, принадлежащих ей на праве собственности или ином вещном праве (в отношении которых кредитная организация выступает в качестве доверительного управляющего или залогодержателя), а также находящихся на эмиссионных счетах и счетах эмитента. Ценные бумаги, учитываемые на таких счетах, отражаются на синтетических счетах депо № 98050, 98053, 98055, 98070, 98090.</w:t>
      </w:r>
    </w:p>
    <w:p>
      <w:pPr>
        <w:pStyle w:val="MainText"/>
        <w:rPr/>
      </w:pPr>
      <w:r>
        <w:rPr/>
        <w:t>В графе 17 указывается количество иных аналитических пассивных счетов депо кредитной организации, предназначенных для отражения ценных бумаг, принадлежащих кредитной организации на праве собственности, но вложения в которые отсутствуют на счетах основного баланса. Ценные бумаги, учитываемые на таких счетах депо, отражаются на счетах №№ 98050, 98070.</w:t>
      </w:r>
    </w:p>
    <w:p>
      <w:pPr>
        <w:pStyle w:val="MainText"/>
        <w:rPr/>
      </w:pPr>
      <w:r>
        <w:rPr/>
        <w:t>II.3. Подраздел 1.2.1 раздела 1 составляется в следующем порядке.</w:t>
      </w:r>
    </w:p>
    <w:p>
      <w:pPr>
        <w:pStyle w:val="MainText"/>
        <w:rPr/>
      </w:pPr>
      <w:r>
        <w:rPr/>
        <w:t>В графе 19 указывается сокращенное наименование организации, которой в отчитывающейся кредитной организации на основании междепозитарного договора открыт междепозитарный (корреспондентский) счет “ЛОРО” для учета ценных бумаг, принадлежащих клиентам депозитария-корреспондента.</w:t>
      </w:r>
    </w:p>
    <w:p>
      <w:pPr>
        <w:pStyle w:val="MainText"/>
        <w:rPr/>
      </w:pPr>
      <w:r>
        <w:rPr/>
        <w:t>В графе 20 указывается информация о номере лицензии профессионального участника рынка ценных бумаг организации-корреспондента, дающей право на осуществление депозитарной деятельности. Для корреспондентов-нерезидентов данная графа не заполняется.</w:t>
      </w:r>
    </w:p>
    <w:p>
      <w:pPr>
        <w:pStyle w:val="MainText"/>
        <w:rPr/>
      </w:pPr>
      <w:r>
        <w:rPr/>
        <w:t>При заполнении графы 21 используются следующие коды организаций, открывших в кредитной организации междепозитарный счет:</w:t>
      </w:r>
    </w:p>
    <w:p>
      <w:pPr>
        <w:pStyle w:val="MainText"/>
        <w:rPr/>
      </w:pPr>
      <w:r>
        <w:rPr/>
        <w:t>И — нерезидент;</w:t>
      </w:r>
    </w:p>
    <w:p>
      <w:pPr>
        <w:pStyle w:val="MainText"/>
        <w:rPr/>
      </w:pPr>
      <w:r>
        <w:rPr/>
        <w:t>К — депозитарий — кредитная организация;</w:t>
      </w:r>
    </w:p>
    <w:p>
      <w:pPr>
        <w:pStyle w:val="MainText"/>
        <w:rPr/>
      </w:pPr>
      <w:r>
        <w:rPr/>
        <w:t>Н — депозитарий, не являющийся кредитной организацией.</w:t>
      </w:r>
    </w:p>
    <w:p>
      <w:pPr>
        <w:pStyle w:val="MainText"/>
        <w:rPr/>
      </w:pPr>
      <w:r>
        <w:rPr/>
        <w:t>В графе 22 указывается номер междепозитарного (корреспондентского) счета “ЛОРО”, открытого корреспонденту в кодировке отчитывающейся кредитной организации.</w:t>
      </w:r>
    </w:p>
    <w:p>
      <w:pPr>
        <w:pStyle w:val="MainText"/>
        <w:rPr/>
      </w:pPr>
      <w:r>
        <w:rPr/>
        <w:t>В графе 23 должно указываться совокупное количество ценных бумаг, учитываемых на междепозитарных (корреспондентских) счетах “ЛОРО”, открытых кредитной организацией соответствующему депозитарию-корреспонденту для учета ценных бумаг, принадлежащих клиентам депозитария-корреспондента и отражаемых по синтетическим счетам №№ 98053, 98060, 98065, 98070.</w:t>
      </w:r>
    </w:p>
    <w:p>
      <w:pPr>
        <w:pStyle w:val="MainText"/>
        <w:rPr/>
      </w:pPr>
      <w:r>
        <w:rPr/>
        <w:t>Если на междепозитарном (корреспондентском) счете депо “ЛОРО”, открытом в отчитывающейся кредитной организации, не учитывается ни одной ценной бумаги, в этом случае в подразделе 1.2.1 следует заполнить все графы, кроме графы 23.</w:t>
      </w:r>
    </w:p>
    <w:p>
      <w:pPr>
        <w:pStyle w:val="MainText"/>
        <w:rPr/>
      </w:pPr>
      <w:r>
        <w:rPr/>
        <w:t>II.4. Подраздел 1.2.2 раздела 1 составляется в следующем порядке.</w:t>
      </w:r>
    </w:p>
    <w:p>
      <w:pPr>
        <w:pStyle w:val="MainText"/>
        <w:rPr/>
      </w:pPr>
      <w:r>
        <w:rPr/>
        <w:t>В графе 25 указывается сокращенное наименование организации, в которой отчитывающейся кредитной организации открыт междепозитарный (корреспондентский) счет, либо счет номинального держателя для учета ценных бумаг клиентов, фиксация прав на которые осуществляется в депозитарии кредитной организации.</w:t>
      </w:r>
    </w:p>
    <w:p>
      <w:pPr>
        <w:pStyle w:val="MainText"/>
        <w:rPr/>
      </w:pPr>
      <w:r>
        <w:rPr/>
        <w:t>В графе 26 указывается информация о номере лицензии профессионального участника рынка ценных бумаг организации-корреспондента, дающей право на осуществление депозитарной деятельности. Для эмитентов ценных бумаг, самостоятельно ведущих реестр своих акционеров, регистраторов, а также корреспондентов-нерезидентов, данная графа не заполняется.</w:t>
      </w:r>
    </w:p>
    <w:p>
      <w:pPr>
        <w:pStyle w:val="MainText"/>
        <w:rPr/>
      </w:pPr>
      <w:r>
        <w:rPr/>
        <w:t>При заполнении графы 27 используются следующие коды организаций, открывших междепозитарные (корреспондентские) счета и счета номинального держателя в кредитной организации:</w:t>
      </w:r>
    </w:p>
    <w:p>
      <w:pPr>
        <w:pStyle w:val="MainText"/>
        <w:rPr/>
      </w:pPr>
      <w:r>
        <w:rPr/>
        <w:t>Э — эмитент;</w:t>
      </w:r>
    </w:p>
    <w:p>
      <w:pPr>
        <w:pStyle w:val="MainText"/>
        <w:rPr/>
      </w:pPr>
      <w:r>
        <w:rPr/>
        <w:t>И — нерезидент;</w:t>
      </w:r>
    </w:p>
    <w:p>
      <w:pPr>
        <w:pStyle w:val="MainText"/>
        <w:rPr/>
      </w:pPr>
      <w:r>
        <w:rPr/>
        <w:t>К — депозитарий — кредитная организация;</w:t>
      </w:r>
    </w:p>
    <w:p>
      <w:pPr>
        <w:pStyle w:val="MainText"/>
        <w:rPr/>
      </w:pPr>
      <w:r>
        <w:rPr/>
        <w:t>Н — депозитарий, не являющийся кредитной организацией;</w:t>
      </w:r>
    </w:p>
    <w:p>
      <w:pPr>
        <w:pStyle w:val="MainText"/>
        <w:rPr/>
      </w:pPr>
      <w:r>
        <w:rPr/>
        <w:t>Р — реестродержатель.</w:t>
      </w:r>
    </w:p>
    <w:p>
      <w:pPr>
        <w:pStyle w:val="MainText"/>
        <w:rPr/>
      </w:pPr>
      <w:r>
        <w:rPr/>
        <w:t>В графе 28 указывается номер междепозитарного (корреспондентского) счета (счета номинального держателя), открытого отчитывающейся кредитной организации у корреспондента в кодировке корреспондента.</w:t>
      </w:r>
    </w:p>
    <w:p>
      <w:pPr>
        <w:pStyle w:val="MainText"/>
        <w:rPr/>
      </w:pPr>
      <w:r>
        <w:rPr/>
        <w:t>В графе 29 должно указываться совокупное количество ценных бумаг, принадлежащих клиентам депозитария и учитываемых на синтетических счетах: № 98000 (в случае когда отчитывающаяся кредитная организация самостоятельно ведет реестр акционеров и выступает в нем в качестве номинального держателя, а также при нахождении в кредитной организации сертификатов именных эмиссионных ценных бумаг, выпущенных нерезидентами), № 98010, № 98015 без разделения по эмитентам и выпускам.</w:t>
      </w:r>
    </w:p>
    <w:p>
      <w:pPr>
        <w:pStyle w:val="MainText"/>
        <w:rPr/>
      </w:pPr>
      <w:r>
        <w:rPr/>
        <w:t>Если на междепозитарном (корреспондентском) счете и счете номинального держателя, открытых отчитывающейся кредитной организации в других организациях, не учитывается ни одной ценной бумаги, в этом случае в подразделе 1.2.2 следует заполнить все графы, кроме графы 29.</w:t>
      </w:r>
    </w:p>
    <w:p>
      <w:pPr>
        <w:pStyle w:val="MainText"/>
        <w:rPr/>
      </w:pPr>
      <w:r>
        <w:rPr/>
        <w:t>II.5. Подраздел 1.3 раздела 1 составляется в следующем порядке.</w:t>
      </w:r>
    </w:p>
    <w:p>
      <w:pPr>
        <w:pStyle w:val="MainText"/>
        <w:rPr/>
      </w:pPr>
      <w:r>
        <w:rPr/>
        <w:t>В графах 31 и 50 указывается полное или сокращенное наименование эмитента ценных бумаг. Если эмитентом является нерезидент, указывается его сокращенное наименование на английском языке или языке оригинала.</w:t>
      </w:r>
    </w:p>
    <w:p>
      <w:pPr>
        <w:pStyle w:val="MainText"/>
        <w:rPr/>
      </w:pPr>
      <w:r>
        <w:rPr/>
        <w:t>Для депозитарных расписок в графах 31 и 50 указывается наименование эмитента ценных бумаг, лежащих в основе расписок, а не банка, выпустившего расписки.</w:t>
      </w:r>
    </w:p>
    <w:p>
      <w:pPr>
        <w:pStyle w:val="MainText"/>
        <w:rPr/>
      </w:pPr>
      <w:r>
        <w:rPr/>
        <w:t>Для паев паевых инвестиционных фондов — резидентов в графах 31 и 50 указывается наименование управляющей компании, а в скобках — наименование паевого инвестиционного фонда.</w:t>
      </w:r>
    </w:p>
    <w:p>
      <w:pPr>
        <w:pStyle w:val="MainText"/>
        <w:rPr/>
      </w:pPr>
      <w:r>
        <w:rPr/>
        <w:t>Для векселей физических лиц в графах 31 и 50 указываются фамилия и инициалы векселедателя.</w:t>
      </w:r>
    </w:p>
    <w:p>
      <w:pPr>
        <w:pStyle w:val="MainText"/>
        <w:rPr/>
      </w:pPr>
      <w:r>
        <w:rPr/>
        <w:t>Для закладных, эмитентами которых являются физические лица, в графах 31 и 50 приводятся слова “физические лица” и информация в совокупности по всем физическим лицам в разрезе типов счетов депо (собственника, залогодержателя, доверительного управляющего) кредитной организации, а также ее клиентов и кодов валют. Кроме того, в случае если эмитентами закладных являются физические лица — нерезиденты, информация представляется в разрезе кодов стран, резидентами которых они являются.</w:t>
      </w:r>
    </w:p>
    <w:p>
      <w:pPr>
        <w:pStyle w:val="MainText"/>
        <w:rPr/>
      </w:pPr>
      <w:r>
        <w:rPr/>
        <w:t>В графах 32 и 51 для эмитентов-резидентов указываются присвоенные им идентификационные номера налогоплательщиков (далее — ИНН) (10-значный — для юридических лиц и 12-значный — для физических лиц), за исключением закладных физических лиц.</w:t>
      </w:r>
    </w:p>
    <w:p>
      <w:pPr>
        <w:pStyle w:val="MainText"/>
        <w:rPr/>
      </w:pPr>
      <w:r>
        <w:rPr/>
        <w:t>Для закладных, эмитентами которых являются физические лица, в графах 32 и 51 указывается двенадцать нулей.</w:t>
      </w:r>
    </w:p>
    <w:p>
      <w:pPr>
        <w:pStyle w:val="MainText"/>
        <w:rPr/>
      </w:pPr>
      <w:r>
        <w:rPr/>
        <w:t>Для паев паевых инвестиционных фондов — резидентов в графах 32 и 51 указывается ИНН управляющей компании.</w:t>
      </w:r>
    </w:p>
    <w:p>
      <w:pPr>
        <w:pStyle w:val="MainText"/>
        <w:rPr/>
      </w:pPr>
      <w:r>
        <w:rPr/>
        <w:t>Для ценных бумаг, выпущенных нерезидентами, в графах 32 и 51 указывается цифровой код страны, резидентом которой является эмитент данной ценной бумаги, в соответствии с Общероссийским классификатором стран мира (ОКСМ). Если в качестве эмитента выступает международная организация, указывается код “998”, но не код страны, где расположена данная организация. Во всех остальных случаях, когда данные о стране нерезидента отсутствуют, указывается код “999”. Не следует определять страну принадлежности эмитента на основе валюты, в которой номинированы ценные бумаги, а также указывать в качестве страны эмитента ценных бумаг страну, предоставившую гарантии (если только страна выпуска ценных бумаг не совпадает со страной предоставления гарантии), или страну нерезидента, у которого были приобретены соответствующие ценные бумаги (если только страна продавца не совпадает со страной эмитента).</w:t>
      </w:r>
    </w:p>
    <w:p>
      <w:pPr>
        <w:pStyle w:val="MainText"/>
        <w:rPr/>
      </w:pPr>
      <w:r>
        <w:rPr/>
        <w:t>Для депозитарных расписок, выпущенных на ценные бумаги, эмитентами которых являются нерезиденты, в графах 32 и 51 следует указать код страны — эмитента ценной бумаги, лежащей в основе расписки, а не банка, выпустившего расписки. Если эмитентом ценной бумаги, лежащей в основе расписки, является юридическое лицо — резидент, в данной графе указывается присвоенный ему ИНН.</w:t>
      </w:r>
    </w:p>
    <w:p>
      <w:pPr>
        <w:pStyle w:val="MainText"/>
        <w:rPr/>
      </w:pPr>
      <w:r>
        <w:rPr/>
        <w:t>В случае отсутствия данных для заполнения граф 32 и 51 кредитная организация должна указывать в пояснительной записке причину их незаполнения и проставить в соответствующие графы десять нулей — для юридических лиц и двенадцать нулей — для физических лиц.</w:t>
      </w:r>
    </w:p>
    <w:p>
      <w:pPr>
        <w:pStyle w:val="MainText"/>
        <w:rPr/>
      </w:pPr>
      <w:r>
        <w:rPr/>
        <w:t>Информация по иностранным финансовым инструментам, не квалифицированным в качестве ценных бумаг, отражается в Отчете в порядке, аналогичном порядку отражения информации по ценным бумагам.</w:t>
      </w:r>
    </w:p>
    <w:p>
      <w:pPr>
        <w:pStyle w:val="MainText"/>
        <w:rPr/>
      </w:pPr>
      <w:r>
        <w:rPr/>
        <w:t>В графах 33 и 52 указывается тип ценной бумаги с использованием следующих кодов:</w:t>
      </w:r>
    </w:p>
    <w:p>
      <w:pPr>
        <w:pStyle w:val="MainText"/>
        <w:rPr/>
      </w:pPr>
      <w:r>
        <w:rPr/>
        <w:t>BON1 — облигации федеральных органов исполнительной власти и облигации Банка России;</w:t>
      </w:r>
    </w:p>
    <w:p>
      <w:pPr>
        <w:pStyle w:val="MainText"/>
        <w:rPr/>
      </w:pPr>
      <w:r>
        <w:rPr/>
        <w:t>BON2 — облигации органов исполнительной власти субъектов Российской Федерации и муниципальных образований;</w:t>
      </w:r>
    </w:p>
    <w:p>
      <w:pPr>
        <w:pStyle w:val="MainText"/>
        <w:rPr/>
      </w:pPr>
      <w:r>
        <w:rPr/>
        <w:t>BON3 — облигации кредитных организаций — резидентов;</w:t>
      </w:r>
    </w:p>
    <w:p>
      <w:pPr>
        <w:pStyle w:val="MainText"/>
        <w:rPr/>
      </w:pPr>
      <w:r>
        <w:rPr/>
        <w:t>BON4 — облигации прочих резидентов;</w:t>
      </w:r>
    </w:p>
    <w:p>
      <w:pPr>
        <w:pStyle w:val="MainText"/>
        <w:rPr/>
      </w:pPr>
      <w:r>
        <w:rPr/>
        <w:t>BON5 — облигации иностранных государств и облигации иностранных центральных банков;</w:t>
      </w:r>
    </w:p>
    <w:p>
      <w:pPr>
        <w:pStyle w:val="MainText"/>
        <w:rPr/>
      </w:pPr>
      <w:r>
        <w:rPr/>
        <w:t>BON6 — облигации банков-нерезидентов;</w:t>
      </w:r>
    </w:p>
    <w:p>
      <w:pPr>
        <w:pStyle w:val="MainText"/>
        <w:rPr/>
      </w:pPr>
      <w:r>
        <w:rPr/>
        <w:t>BON61 — облигации банков-нерезидентов, не квалифицированные в качестве ценных бумаг;</w:t>
      </w:r>
    </w:p>
    <w:p>
      <w:pPr>
        <w:pStyle w:val="MainText"/>
        <w:rPr/>
      </w:pPr>
      <w:r>
        <w:rPr/>
        <w:t>BON7 — облигации прочих нерезидентов;</w:t>
      </w:r>
    </w:p>
    <w:p>
      <w:pPr>
        <w:pStyle w:val="MainText"/>
        <w:rPr/>
      </w:pPr>
      <w:r>
        <w:rPr/>
        <w:t>BON71 — облигации прочих нерезидентов, не квалифицированные в качестве ценных бумаг;</w:t>
      </w:r>
    </w:p>
    <w:p>
      <w:pPr>
        <w:pStyle w:val="MainText"/>
        <w:rPr/>
      </w:pPr>
      <w:r>
        <w:rPr/>
        <w:t>DS1 — депозитные сертификаты кредитных организаций — резидентов;</w:t>
      </w:r>
    </w:p>
    <w:p>
      <w:pPr>
        <w:pStyle w:val="MainText"/>
        <w:rPr/>
      </w:pPr>
      <w:r>
        <w:rPr/>
        <w:t>DS2 — депозитные сертификаты банков-нерезидентов;</w:t>
      </w:r>
    </w:p>
    <w:p>
      <w:pPr>
        <w:pStyle w:val="MainText"/>
        <w:rPr/>
      </w:pPr>
      <w:r>
        <w:rPr/>
        <w:t>DS21 — депозитные сертификаты банков-нерезидентов, не квалифицированные в качестве ценных бумаг;</w:t>
      </w:r>
    </w:p>
    <w:p>
      <w:pPr>
        <w:pStyle w:val="MainText"/>
        <w:rPr/>
      </w:pPr>
      <w:r>
        <w:rPr/>
        <w:t>SS1 — сберегательные сертификаты кредитных организаций — резидентов;</w:t>
      </w:r>
    </w:p>
    <w:p>
      <w:pPr>
        <w:pStyle w:val="MainText"/>
        <w:rPr/>
      </w:pPr>
      <w:r>
        <w:rPr/>
        <w:t>SS2 — сберегательные сертификаты банков-нерезидентов;</w:t>
      </w:r>
    </w:p>
    <w:p>
      <w:pPr>
        <w:pStyle w:val="MainText"/>
        <w:rPr/>
      </w:pPr>
      <w:r>
        <w:rPr/>
        <w:t>SS21 — сберегательные сертификаты банков-нерезидентов, не квалифицированные в качестве ценных бумаг;</w:t>
      </w:r>
    </w:p>
    <w:p>
      <w:pPr>
        <w:pStyle w:val="MainText"/>
        <w:rPr/>
      </w:pPr>
      <w:r>
        <w:rPr/>
        <w:t>SHS1 — акции кредитных организаций — резидентов (обыкновенные);</w:t>
      </w:r>
    </w:p>
    <w:p>
      <w:pPr>
        <w:pStyle w:val="MainText"/>
        <w:rPr/>
      </w:pPr>
      <w:r>
        <w:rPr/>
        <w:t>SHS2 — акции кредитных организаций — резидентов (привилегированные);</w:t>
      </w:r>
    </w:p>
    <w:p>
      <w:pPr>
        <w:pStyle w:val="MainText"/>
        <w:rPr/>
      </w:pPr>
      <w:r>
        <w:rPr/>
        <w:t>SHS3 — акции прочих резидентов (обыкновенные);</w:t>
      </w:r>
    </w:p>
    <w:p>
      <w:pPr>
        <w:pStyle w:val="MainText"/>
        <w:rPr/>
      </w:pPr>
      <w:r>
        <w:rPr/>
        <w:t>SHS4 — акции прочих резидентов (привилегированные);</w:t>
      </w:r>
    </w:p>
    <w:p>
      <w:pPr>
        <w:pStyle w:val="MainText"/>
        <w:rPr/>
      </w:pPr>
      <w:r>
        <w:rPr/>
        <w:t>SHS5 — акции банков-нерезидентов;</w:t>
      </w:r>
    </w:p>
    <w:p>
      <w:pPr>
        <w:pStyle w:val="MainText"/>
        <w:rPr/>
      </w:pPr>
      <w:r>
        <w:rPr/>
        <w:t>SHS51 — акции банков-нерезидентов, не квалифицированные в качестве ценных бумаг;</w:t>
      </w:r>
    </w:p>
    <w:p>
      <w:pPr>
        <w:pStyle w:val="MainText"/>
        <w:rPr/>
      </w:pPr>
      <w:r>
        <w:rPr/>
        <w:t>SHS6 — прочие акции нерезидентов;</w:t>
      </w:r>
    </w:p>
    <w:p>
      <w:pPr>
        <w:pStyle w:val="MainText"/>
        <w:rPr/>
      </w:pPr>
      <w:r>
        <w:rPr/>
        <w:t>SHS61 — прочие акции нерезидентов, не квалифицированные в качестве ценных бумаг;</w:t>
      </w:r>
    </w:p>
    <w:p>
      <w:pPr>
        <w:pStyle w:val="MainText"/>
        <w:rPr/>
      </w:pPr>
      <w:r>
        <w:rPr/>
        <w:t>SHS7 — паи, доли инвестиционных фондов — нерезидентов;</w:t>
      </w:r>
    </w:p>
    <w:p>
      <w:pPr>
        <w:pStyle w:val="MainText"/>
        <w:rPr/>
      </w:pPr>
      <w:r>
        <w:rPr/>
        <w:t>SHS71 — паи, доли инвестиционных фондов — нерезидентов, не квалифицированные в качестве ценных бумаг;</w:t>
      </w:r>
    </w:p>
    <w:p>
      <w:pPr>
        <w:pStyle w:val="MainText"/>
        <w:rPr/>
      </w:pPr>
      <w:r>
        <w:rPr/>
        <w:t>SHS8 — паи, доли инвестиционных фондов — резидентов;</w:t>
      </w:r>
    </w:p>
    <w:p>
      <w:pPr>
        <w:pStyle w:val="MainText"/>
        <w:rPr/>
      </w:pPr>
      <w:r>
        <w:rPr/>
        <w:t>BIL1 — векселя федеральных органов исполнительной власти;</w:t>
      </w:r>
    </w:p>
    <w:p>
      <w:pPr>
        <w:pStyle w:val="MainText"/>
        <w:rPr/>
      </w:pPr>
      <w:r>
        <w:rPr/>
        <w:t>BIL2 — векселя органов исполнительной власти субъектов Российской Федерации и муниципальных образований;</w:t>
      </w:r>
    </w:p>
    <w:p>
      <w:pPr>
        <w:pStyle w:val="MainText"/>
        <w:rPr/>
      </w:pPr>
      <w:r>
        <w:rPr/>
        <w:t>BIL3 — векселя кредитных организаций — резидентов;</w:t>
      </w:r>
    </w:p>
    <w:p>
      <w:pPr>
        <w:pStyle w:val="MainText"/>
        <w:rPr/>
      </w:pPr>
      <w:r>
        <w:rPr/>
        <w:t>BIL4 — векселя прочих резидентов;</w:t>
      </w:r>
    </w:p>
    <w:p>
      <w:pPr>
        <w:pStyle w:val="MainText"/>
        <w:rPr/>
      </w:pPr>
      <w:r>
        <w:rPr/>
        <w:t>BIL5 — векселя иностранного государства;</w:t>
      </w:r>
    </w:p>
    <w:p>
      <w:pPr>
        <w:pStyle w:val="MainText"/>
        <w:rPr/>
      </w:pPr>
      <w:r>
        <w:rPr/>
        <w:t>BIL6 — векселя банков-нерезидентов;</w:t>
      </w:r>
    </w:p>
    <w:p>
      <w:pPr>
        <w:pStyle w:val="MainText"/>
        <w:rPr/>
      </w:pPr>
      <w:r>
        <w:rPr/>
        <w:t>BIL7 — векселя прочих нерезидентов;</w:t>
      </w:r>
    </w:p>
    <w:p>
      <w:pPr>
        <w:pStyle w:val="MainText"/>
        <w:rPr/>
      </w:pPr>
      <w:r>
        <w:rPr/>
        <w:t>DR — депозитарные расписки;</w:t>
      </w:r>
    </w:p>
    <w:p>
      <w:pPr>
        <w:pStyle w:val="MainText"/>
        <w:rPr/>
      </w:pPr>
      <w:r>
        <w:rPr/>
        <w:t>CON — складское свидетельство;</w:t>
      </w:r>
    </w:p>
    <w:p>
      <w:pPr>
        <w:pStyle w:val="MainText"/>
        <w:rPr/>
      </w:pPr>
      <w:r>
        <w:rPr/>
        <w:t>WTS — варранты;</w:t>
      </w:r>
    </w:p>
    <w:p>
      <w:pPr>
        <w:pStyle w:val="MainText"/>
        <w:rPr/>
      </w:pPr>
      <w:r>
        <w:rPr/>
        <w:t>OPN — опционы;</w:t>
      </w:r>
    </w:p>
    <w:p>
      <w:pPr>
        <w:pStyle w:val="MainText"/>
        <w:rPr/>
      </w:pPr>
      <w:r>
        <w:rPr/>
        <w:t>ENC — закладные;</w:t>
      </w:r>
    </w:p>
    <w:p>
      <w:pPr>
        <w:pStyle w:val="MainText"/>
        <w:rPr/>
      </w:pPr>
      <w:r>
        <w:rPr/>
        <w:t>OTHER — иное.</w:t>
      </w:r>
    </w:p>
    <w:p>
      <w:pPr>
        <w:pStyle w:val="MainText"/>
        <w:rPr/>
      </w:pPr>
      <w:r>
        <w:rPr/>
        <w:t>В графах 34 и 53 для эмиссионных ценных бумаг, выпущенных эмитентами-резидентами, указывается номер государственной регистрации выпуска ценных бумаг. В случае отсутствия информации о номере государственной регистрации, но при наличии международного идентификационного кода ценной бумаги (ISIN) в графах 34 и 53 указывается соответствующий ISIN-код. Для эмиссионных ценных бумаг, выпущенных эмитентами-нерезидентами, указывается ISIN-код ценной бумаги. Если ISIN-код отсутствует, указывается код, присваиваемый национальным регистрационным агентством или другой заменяющей его в этом качестве организацией. Не допускается использование для эмиссионных ценных бумаг внутренних кодов отчитывающейся кредитной организации, а также кодов, присвоенных другими организациями, не являющимися регистрационными.</w:t>
      </w:r>
    </w:p>
    <w:p>
      <w:pPr>
        <w:pStyle w:val="MainText"/>
        <w:rPr/>
      </w:pPr>
      <w:r>
        <w:rPr/>
        <w:t>По неэмиссионным ценным бумагам указанные графы не заполняются.</w:t>
      </w:r>
    </w:p>
    <w:p>
      <w:pPr>
        <w:pStyle w:val="MainText"/>
        <w:rPr/>
      </w:pPr>
      <w:r>
        <w:rPr/>
        <w:t>В графах 35 и 54 указывается цифровой код валюты, в которой выражен номинал ценной бумаги, согласно Общероссийскому классификатору валют (ОКВ).</w:t>
      </w:r>
    </w:p>
    <w:p>
      <w:pPr>
        <w:pStyle w:val="MainText"/>
        <w:rPr/>
      </w:pPr>
      <w:r>
        <w:rPr/>
        <w:t>В графах 36 и 55 указывается номинальная стоимость одной ценной бумаги. Если ценная бумага не имеет номинальной стоимости на законном основании, то указанные графы не заполняются. Номинальная стоимость ценной бумаги указывается в единицах валюты обязательства. Если условиями выпуска эмиссионной ценной бумаги предусмотрено погашение ее номинальной стоимости частями, в данных графах указывается непогашенная часть номинальной стоимости ценной бумаги по состоянию на дату составления Отчета. Если неэмиссионная ценная бумага в качестве обязательного реквизита содержит сумму основного обязательства, которая может изменяться (уменьшаться) в течение периода обращения ценной бумаги в связи с возможностью погашения суммы обязательств по частям, в данных графах указываются суммы основного обязательства, действующие на дату составления Отчета. При этом по неэмиссионным ценным бумагам сумма основного обязательства указывается без учета процентов, штрафов, пеней и тому подобного. Для закладных, эмитентами которых являются физические лица, в графе 55 указывается сумма обязательств, обеспеченных ипотекой по состоянию на дату составления Отчета, в совокупности по эмитентам — физическим лицам, в разрезе счетов депо кредитной организации (собственника, залогодержателя, доверительного управляющего).</w:t>
      </w:r>
    </w:p>
    <w:p>
      <w:pPr>
        <w:pStyle w:val="MainText"/>
        <w:rPr/>
      </w:pPr>
      <w:r>
        <w:rPr/>
        <w:t>II.6. Подраздел 1.3.1 раздела 1 составляется в следующем порядке.</w:t>
      </w:r>
    </w:p>
    <w:p>
      <w:pPr>
        <w:pStyle w:val="MainText"/>
        <w:rPr/>
      </w:pPr>
      <w:r>
        <w:rPr/>
        <w:t>В графах 37—48 отражается информация о количестве ценных бумаг, учитываемых на счетах депо клиентов, открытых в отчитывающейся кредитной организации. Количество ценных бумаг указывается в штуках. Дробные части ценных бумаг указываются с точностью до четвертого знака после запятой. При этом данные по эмиссионным ценным бумагам указываются в разрезе эмитентов и выпусков, а по неэмиссионным ценным бумагам — в разрезе эмитентов, типов ценных бумаг и номиналов.</w:t>
      </w:r>
    </w:p>
    <w:p>
      <w:pPr>
        <w:pStyle w:val="MainText"/>
        <w:rPr/>
      </w:pPr>
      <w:r>
        <w:rPr/>
        <w:t>В графе 37 указывается совокупное количество ценных бумаг, принадлежащих на правах собственности юридическим и физическим лицам, являющимся резидентами, и отражаемых по счетам №№ 98040, 98053, 98070.</w:t>
      </w:r>
    </w:p>
    <w:p>
      <w:pPr>
        <w:pStyle w:val="MainText"/>
        <w:rPr/>
      </w:pPr>
      <w:r>
        <w:rPr/>
        <w:t>В графе 38 указывается совокупное количество ценных бумаг, принадлежащих на правах собственности кредитным организациям — резидентам и отражаемых по счетам №№ 98040, 98053, 98070.</w:t>
      </w:r>
    </w:p>
    <w:p>
      <w:pPr>
        <w:pStyle w:val="MainText"/>
        <w:rPr/>
      </w:pPr>
      <w:r>
        <w:rPr/>
        <w:t>В графе 39 указывается совокупное количество ценных бумаг, принадлежащих на правах собственности юридическим и физическим лицам, являющимся нерезидентами, и отражаемых по счетам №№ 98040, 98053, 98070.</w:t>
      </w:r>
    </w:p>
    <w:p>
      <w:pPr>
        <w:pStyle w:val="MainText"/>
        <w:rPr/>
      </w:pPr>
      <w:r>
        <w:rPr/>
        <w:t>В графе 40 указывается совокупное количество ценных бумаг, учитываемых на счетах “ЛОРО”, открытых кредитной организацией соответствующим депозитариям-корреспондентам, являющимся резидентами, для учета ценных бумаг, принадлежащих клиентам депозитариев-корреспондентов и отражаемых по счетам №№ 98053, 98060, 98065, 98070.</w:t>
      </w:r>
    </w:p>
    <w:p>
      <w:pPr>
        <w:pStyle w:val="MainText"/>
        <w:rPr/>
      </w:pPr>
      <w:r>
        <w:rPr/>
        <w:t>В графе 41 указывается совокупное количество ценных бумаг, учитываемых на счетах “ЛОРО”, открытых кредитной организацией соответствующим депозитариям кредитных организаций — корреспондентам, являющимся резидентами, для учета ценных бумаг, принадлежащих клиентам депозитариев-корреспондентов и отражаемых по счетам №№ 98053, 98060, 98065, 98070.</w:t>
      </w:r>
    </w:p>
    <w:p>
      <w:pPr>
        <w:pStyle w:val="MainText"/>
        <w:rPr/>
      </w:pPr>
      <w:r>
        <w:rPr/>
        <w:t>В графе 42 указывается совокупное количество ценных бумаг, учитываемых на счетах “ЛОРО”, открытых кредитной организацией соответствующим депозитариям-корреспондентам, являющимся нерезидентами, для учета ценных бумаг, принадлежащих клиентам депозитариев-корреспондентов и отражаемых по счетам №№ 98053, 98060, 98065, 98070.</w:t>
      </w:r>
    </w:p>
    <w:p>
      <w:pPr>
        <w:pStyle w:val="MainText"/>
        <w:rPr/>
      </w:pPr>
      <w:r>
        <w:rPr/>
        <w:t>В графах 43 и 44 указывается совокупное количество ценных бумаг, учитываемых соответственно на счетах залогодержателей-резидентов и залогодержателей-нерезидентов и отражаемых по счету № 98070.</w:t>
      </w:r>
    </w:p>
    <w:p>
      <w:pPr>
        <w:pStyle w:val="MainText"/>
        <w:rPr/>
      </w:pPr>
      <w:r>
        <w:rPr/>
        <w:t>В графе 45 указывается совокупное количество ценных бумаг, учитываемых на счетах доверительных управляющих и отражаемых по счетам №№ 98053, 98055, 98070.</w:t>
      </w:r>
    </w:p>
    <w:p>
      <w:pPr>
        <w:pStyle w:val="MainText"/>
        <w:rPr/>
      </w:pPr>
      <w:r>
        <w:rPr/>
        <w:t>В графе 46 указывается количество ценных бумаг, находящихся в размещении, а также изъятых из обращения для погашения или конвертации, учитываемых на эмиссионных счетах клиентов депозитария и отражаемых по счету № 98090.</w:t>
      </w:r>
    </w:p>
    <w:p>
      <w:pPr>
        <w:pStyle w:val="MainText"/>
        <w:rPr/>
      </w:pPr>
      <w:r>
        <w:rPr/>
        <w:t>В графе 47 указывается количество выкупленных эмитентом для перепродажи ценных бумаг, учитываемых на счетах эмитентов, являющихся клиентами депозитария, и отражаемых по счету № 98090.</w:t>
      </w:r>
    </w:p>
    <w:p>
      <w:pPr>
        <w:pStyle w:val="MainText"/>
        <w:rPr/>
      </w:pPr>
      <w:r>
        <w:rPr/>
        <w:t>В графе 48 указывается количество ценных бумаг, владельцы которых не установлены, и отражаемых по счетам №№ 98070, 98080.</w:t>
      </w:r>
    </w:p>
    <w:p>
      <w:pPr>
        <w:pStyle w:val="MainText"/>
        <w:rPr/>
      </w:pPr>
      <w:r>
        <w:rPr/>
        <w:t>II.7. Подраздел 1.3.2 раздела 1 составляется в следующем порядке.</w:t>
      </w:r>
    </w:p>
    <w:p>
      <w:pPr>
        <w:pStyle w:val="MainText"/>
        <w:rPr/>
      </w:pPr>
      <w:r>
        <w:rPr/>
        <w:t>В графах 56—61 отражается информация о количестве ценных бумаг, учитываемых на счетах депо кредитной организации. Количество ценных бумаг указывается в штуках. Дробные акции указываются с точностью до четвертого знака после запятой. При этом данные по эмиссионным ценным бумагам указываются в разрезе эмитентов и выпусков, а по неэмиссионным ценным бумагам — в разрезе эмитентов, типов ценных бумаг и номиналов, за исключением закладных, эмитентами которых являются физические лица.</w:t>
      </w:r>
    </w:p>
    <w:p>
      <w:pPr>
        <w:pStyle w:val="MainText"/>
        <w:rPr/>
      </w:pPr>
      <w:r>
        <w:rPr/>
        <w:t>В графе 56 указывается совокупное количество ценных бумаг, принадлежащих кредитной организации на праве собственности и отражаемых по счетам №№ 98050, 98053, 98070.</w:t>
      </w:r>
    </w:p>
    <w:p>
      <w:pPr>
        <w:pStyle w:val="MainText"/>
        <w:rPr/>
      </w:pPr>
      <w:r>
        <w:rPr/>
        <w:t>В графе 57 указывается совокупное количество ценных бумаг, отражаемых по счету № 98070, в отношении которых кредитная организация является залогодержателем.</w:t>
      </w:r>
    </w:p>
    <w:p>
      <w:pPr>
        <w:pStyle w:val="MainText"/>
        <w:rPr/>
      </w:pPr>
      <w:r>
        <w:rPr/>
        <w:t>В графе 58 указывается совокупное количество ценных бумаг, отражаемых по счетам №№ 98053, 98055, 98070, в отношении которых кредитная организация является доверительным управляющим.</w:t>
      </w:r>
    </w:p>
    <w:p>
      <w:pPr>
        <w:pStyle w:val="MainText"/>
        <w:rPr/>
      </w:pPr>
      <w:r>
        <w:rPr/>
        <w:t>В графе 59 указывается количество ценных бумаг, находящихся в размещении, а также изъятых из обращения для погашения или конвертации, учитываемых на эмиссионных счетах и отражаемых по счету № 98090.</w:t>
      </w:r>
    </w:p>
    <w:p>
      <w:pPr>
        <w:pStyle w:val="MainText"/>
        <w:rPr/>
      </w:pPr>
      <w:r>
        <w:rPr/>
        <w:t>В графе 60 указывается количество выкупленных для перепродажи ценных бумаг, учитываемых на счетах эмитента и отражаемых по счетам №№ 98070, 98090.</w:t>
      </w:r>
    </w:p>
    <w:p>
      <w:pPr>
        <w:pStyle w:val="MainText"/>
        <w:rPr/>
      </w:pPr>
      <w:r>
        <w:rPr/>
        <w:t>В графе 61 указывается совокупное количество ценных бумаг, принадлежащих кредитной организации на праве собственности и находящихся на иных аналитических пассивных счетах депо, вложения в которые не отражены на счетах основного баланса. К таким ценным бумагам относятся:</w:t>
      </w:r>
    </w:p>
    <w:p>
      <w:pPr>
        <w:pStyle w:val="MainText"/>
        <w:rPr/>
      </w:pPr>
      <w:r>
        <w:rPr/>
        <w:t>ценные бумаги, ошибочно зачисленные на счета кредитной организации в вышестоящем учетном институте и подлежащие возврату;</w:t>
      </w:r>
    </w:p>
    <w:p>
      <w:pPr>
        <w:pStyle w:val="MainText"/>
        <w:rPr/>
      </w:pPr>
      <w:r>
        <w:rPr/>
        <w:t>ценные бумаги, обязательства по которым исполнены до момента их возврата эмитенту или его агенту;</w:t>
      </w:r>
    </w:p>
    <w:p>
      <w:pPr>
        <w:pStyle w:val="MainText"/>
        <w:rPr/>
      </w:pPr>
      <w:r>
        <w:rPr/>
        <w:t>ценные бумаги, вложения в которые признаны безнадежными долгами;</w:t>
      </w:r>
    </w:p>
    <w:p>
      <w:pPr>
        <w:pStyle w:val="MainText"/>
        <w:rPr/>
      </w:pPr>
      <w:r>
        <w:rPr/>
        <w:t>закладные, обязательства по которым исполнены (до момента передачи закладных в орган, осуществляющий государственную регистрацию прав по ипотеке), а также закладные, по которым обязательство заемщика перед банком равно нулю в связи с тем, что кредит не выдан;</w:t>
      </w:r>
    </w:p>
    <w:p>
      <w:pPr>
        <w:pStyle w:val="MainText"/>
        <w:rPr/>
      </w:pPr>
      <w:r>
        <w:rPr/>
        <w:t>другие.</w:t>
      </w:r>
    </w:p>
    <w:p>
      <w:pPr>
        <w:pStyle w:val="MainText"/>
        <w:rPr/>
      </w:pPr>
      <w:r>
        <w:rPr/>
        <w:t>При наличии остатков ценных бумаг в данной графе кредитная организация обязана в пояснительной записке указать причину отсутствия вложений в указанные ценные бумаги на счетах основного баланса. Ценные бумаги, учитываемые на таких счетах депо, отражаются кредитной организацией на счетах №№ 98050, 98070.</w:t>
      </w:r>
    </w:p>
    <w:p>
      <w:pPr>
        <w:pStyle w:val="MainText"/>
        <w:rPr/>
      </w:pPr>
      <w:r>
        <w:rPr/>
        <w:t>II.8. Подраздел 1.4 раздела 1 заполняется только кредитными организациями, имеющими филиалы, осуществляющие депозитарные операции с клиентами.</w:t>
      </w:r>
    </w:p>
    <w:p>
      <w:pPr>
        <w:pStyle w:val="MainText"/>
        <w:rPr/>
      </w:pPr>
      <w:r>
        <w:rPr/>
        <w:t>II.9. Подраздел 2.1 раздела 2 составляется в следующем порядке.</w:t>
      </w:r>
    </w:p>
    <w:p>
      <w:pPr>
        <w:pStyle w:val="MainText"/>
        <w:rPr/>
      </w:pPr>
      <w:r>
        <w:rPr/>
        <w:t>В подразделе отражается информация по учтенным кредитной организацией векселям по состоянию на 1-е число месяца, следующего за отчетным.</w:t>
      </w:r>
    </w:p>
    <w:p>
      <w:pPr>
        <w:pStyle w:val="MainText"/>
        <w:rPr/>
      </w:pPr>
      <w:r>
        <w:rPr/>
        <w:t>В графе 68 указывается код типа ценной бумаги в соответствии с кодами, приведенными в пункте II.5 настоящего Порядка.</w:t>
      </w:r>
    </w:p>
    <w:p>
      <w:pPr>
        <w:pStyle w:val="MainText"/>
        <w:rPr/>
      </w:pPr>
      <w:r>
        <w:rPr/>
        <w:t>В графе 69 для векселедателей-резидентов указываются присвоенные им ИНН (десятизначный — для юридических лиц и двенадцатизначный — для физических лиц). При отсутствии данных по физическим лицам указывается двенадцать нулей, по юридическим лицам — десять нулей.</w:t>
      </w:r>
    </w:p>
    <w:p>
      <w:pPr>
        <w:pStyle w:val="MainText"/>
        <w:rPr/>
      </w:pPr>
      <w:r>
        <w:rPr/>
        <w:t>Для ценных бумаг, выпущенных нерезидентами, в графе 69 применяется порядок, изложенный в пункте II.5 настоящего Порядка.</w:t>
      </w:r>
    </w:p>
    <w:p>
      <w:pPr>
        <w:pStyle w:val="MainText"/>
        <w:rPr/>
      </w:pPr>
      <w:r>
        <w:rPr/>
        <w:t>В случае отсутствия данных для заполнения графы 69 кредитная организация должна указывать в пояснительной записке причину ее незаполнения.</w:t>
      </w:r>
    </w:p>
    <w:p>
      <w:pPr>
        <w:pStyle w:val="MainText"/>
        <w:rPr/>
      </w:pPr>
      <w:r>
        <w:rPr/>
        <w:t>В графе 70 указывается серия векселя, присвоенная векселедателем в соответствии с установленным им порядком присвоения серий и номеров выпускаемым векселям. В случае отсутствия серии векселя данная графа не заполняется.</w:t>
      </w:r>
    </w:p>
    <w:p>
      <w:pPr>
        <w:pStyle w:val="MainText"/>
        <w:rPr/>
      </w:pPr>
      <w:r>
        <w:rPr/>
        <w:t>В графе 71 указывается номер векселя, присвоенный ему при выпуске векселедателем. В случае отсутствия номера векселя данная графа не заполняется.</w:t>
      </w:r>
    </w:p>
    <w:p>
      <w:pPr>
        <w:pStyle w:val="MainText"/>
        <w:rPr/>
      </w:pPr>
      <w:r>
        <w:rPr/>
        <w:t>В графе 72 указывается номер бланка векселя при его наличии. В случае отсутствия номера бланка данная графа не заполняется.</w:t>
      </w:r>
    </w:p>
    <w:p>
      <w:pPr>
        <w:pStyle w:val="MainText"/>
        <w:rPr/>
      </w:pPr>
      <w:r>
        <w:rPr/>
        <w:t>В графе 73 указывается дата составления векселя (дата его выпуска векселедателем).</w:t>
      </w:r>
    </w:p>
    <w:p>
      <w:pPr>
        <w:pStyle w:val="MainText"/>
        <w:rPr/>
      </w:pPr>
      <w:r>
        <w:rPr/>
        <w:t>В графе 74 указываются срок и условия платежа по векселю (по предъявлении, по предъявлении, но не ранее определенной даты, по предъявлении, но не ранее определенной даты и не позднее определенной даты, через определенное количество дней с даты выпуска и так далее).</w:t>
      </w:r>
    </w:p>
    <w:p>
      <w:pPr>
        <w:pStyle w:val="MainText"/>
        <w:rPr/>
      </w:pPr>
      <w:r>
        <w:rPr/>
        <w:t>В графе 75 указывается вексельная сумма в единицах валюты номинала. Указанная сумма представляет собой простое и ничем не обусловленное предложение уплатить определенную сумму, указанную на самом векселе.</w:t>
      </w:r>
    </w:p>
    <w:p>
      <w:pPr>
        <w:pStyle w:val="MainText"/>
        <w:rPr/>
      </w:pPr>
      <w:r>
        <w:rPr/>
        <w:t>В графе 76 указывается цифровой код валюты, в которой выражена вексельная сумма, согласно Общероссийскому классификатору валют (ОКВ).</w:t>
      </w:r>
    </w:p>
    <w:p>
      <w:pPr>
        <w:pStyle w:val="MainText"/>
        <w:rPr/>
      </w:pPr>
      <w:r>
        <w:rPr/>
        <w:t>В графе 77 указывается дата принятия на баланс векселя в соответствии с первичными документами кредитной организации (дата постановки на учет).</w:t>
      </w:r>
    </w:p>
    <w:p>
      <w:pPr>
        <w:pStyle w:val="MainText"/>
        <w:rPr/>
      </w:pPr>
      <w:r>
        <w:rPr/>
        <w:t>В графе 78 указывается основание приобретения векселя с указанием реквизитов и даты основополагающего документа (например, договор купли-продажи, договор мены, договор выпуска векселя, заявка, соглашение и так далее).</w:t>
      </w:r>
    </w:p>
    <w:p>
      <w:pPr>
        <w:pStyle w:val="MainText"/>
        <w:rPr/>
      </w:pPr>
      <w:r>
        <w:rPr/>
        <w:t>В графе 79 указывается лицо, у которого приобретен данный вексель.</w:t>
      </w:r>
    </w:p>
    <w:p>
      <w:pPr>
        <w:pStyle w:val="MainText"/>
        <w:rPr/>
      </w:pPr>
      <w:r>
        <w:rPr/>
        <w:t>В графе 80 указывается ИНН контрагента, у которого приобретен вексель (десятизначный — для юридических лиц и двенадцатизначный — для физических лиц). При отсутствии данных по физическим лицам указывается двенадцать нулей, по юридическим лицам — десять нулей. Для контрагентов-нерезидентов в данной графе указывается код страны, резидентом которой является контрагент. В случае отсутствия данных о стране контрагента-нерезидента указывается код “999”.</w:t>
      </w:r>
    </w:p>
    <w:p>
      <w:pPr>
        <w:pStyle w:val="MainText"/>
        <w:rPr/>
      </w:pPr>
      <w:r>
        <w:rPr/>
        <w:t>В графе 81 указывается балансовая стоимость векселя в рублях (без учета накопленного дисконта (процента).</w:t>
      </w:r>
    </w:p>
    <w:p>
      <w:pPr>
        <w:pStyle w:val="MainText"/>
        <w:rPr/>
      </w:pPr>
      <w:r>
        <w:rPr/>
        <w:t>В графе 82 указывается накопленный по векселю дисконт или процент в рублях.</w:t>
      </w:r>
    </w:p>
    <w:p>
      <w:pPr>
        <w:pStyle w:val="MainText"/>
        <w:rPr/>
      </w:pPr>
      <w:r>
        <w:rPr/>
        <w:t>В графе 83 указывается пятизначное значение балансового счета второго порядка (например, 51401, 51402 и так далее), на котором вексель учтен на отчетную дату.</w:t>
      </w:r>
    </w:p>
    <w:p>
      <w:pPr>
        <w:pStyle w:val="MainText"/>
        <w:rPr/>
      </w:pPr>
      <w:r>
        <w:rPr/>
        <w:t>В графе 84 указывается физическое место нахождения векселя, например, “хранилище банка” или “под отчетом у работника банка”. В случае нахождения векселя вне кредитной организации (кроме случая “под отчетом у работника банка”) в графе 84 указываются наименование организации, Ф.И.О. физического лица, у которого на отчетную дату находится данный вексель.</w:t>
      </w:r>
    </w:p>
    <w:p>
      <w:pPr>
        <w:pStyle w:val="MainText"/>
        <w:rPr/>
      </w:pPr>
      <w:r>
        <w:rPr/>
        <w:t>В графе 85 указывается ИНН (десятизначный номер) юридического лица либо двенадцатизначный номер (при наличии) для физического лица, у которого находится вексель, помещенный в данную организацию. При отсутствии данных по физическим лицам указывается двенадцать нулей, по юридическим лицам — десять нулей. Для организаций, относящихся к органам судебной власти и внутренних дел, следует указывать десять нулей. Для юридических лиц — нерезидентов в данной графе указывается код страны, резидентом которой является юридическое лицо. В случае отсутствия данных о стране юридического лица — нерезидента указывается код “999”.</w:t>
      </w:r>
    </w:p>
    <w:p>
      <w:pPr>
        <w:pStyle w:val="MainText"/>
        <w:rPr/>
      </w:pPr>
      <w:r>
        <w:rPr/>
        <w:t>В графе 86 указывается основание нахождения векселя в другой организации, включая вид договора и его реквизиты (например, депозитарный договор, его номер и дата составления). В случае нахождения векселя в отчитывающейся кредитной организации данная графа не заполняется.</w:t>
      </w:r>
    </w:p>
    <w:p>
      <w:pPr>
        <w:pStyle w:val="MainText"/>
        <w:rPr/>
      </w:pPr>
      <w:r>
        <w:rPr/>
        <w:t>В графе 87 указывается иная, по мнению кредитной организации, существенная информация.</w:t>
      </w:r>
    </w:p>
    <w:p>
      <w:pPr>
        <w:pStyle w:val="MainText"/>
        <w:rPr/>
      </w:pPr>
      <w:r>
        <w:rPr/>
        <w:t>II.10. Подраздел 2.2 раздела 2 составляется в следующем порядке.</w:t>
      </w:r>
    </w:p>
    <w:p>
      <w:pPr>
        <w:pStyle w:val="MainText"/>
        <w:rPr/>
      </w:pPr>
      <w:r>
        <w:rPr/>
        <w:t>В подразделе отражается информация по выпущенным кредитной организацией векселям по состоянию на 1-е число месяца.</w:t>
      </w:r>
    </w:p>
    <w:p>
      <w:pPr>
        <w:pStyle w:val="MainText"/>
        <w:rPr/>
      </w:pPr>
      <w:r>
        <w:rPr/>
        <w:t>В графе 89 указывается серия векселя в соответствии с установленным векселедателем порядком присвоения серий и номеров выпущенным векселям. В случае отсутствия серии векселя данная графа не заполняется.</w:t>
      </w:r>
    </w:p>
    <w:p>
      <w:pPr>
        <w:pStyle w:val="MainText"/>
        <w:rPr/>
      </w:pPr>
      <w:r>
        <w:rPr/>
        <w:t>В графе 90 указывается номер векселя, присвоенный ему при выпуске векселедателем, или приравненный к нему номер бланка. В случае отсутствия номера векселя данная графа не заполняется.</w:t>
      </w:r>
    </w:p>
    <w:p>
      <w:pPr>
        <w:pStyle w:val="MainText"/>
        <w:rPr/>
      </w:pPr>
      <w:r>
        <w:rPr/>
        <w:t>В графе 91 указывается номер бланка векселя при его наличии. В случае отсутствия номера бланка указанная графа не заполняется.</w:t>
      </w:r>
    </w:p>
    <w:p>
      <w:pPr>
        <w:pStyle w:val="MainText"/>
        <w:rPr/>
      </w:pPr>
      <w:r>
        <w:rPr/>
        <w:t>В графе 92 указывается дата составления векселя (дата его выпуска векселедателем).</w:t>
      </w:r>
    </w:p>
    <w:p>
      <w:pPr>
        <w:pStyle w:val="MainText"/>
        <w:rPr/>
      </w:pPr>
      <w:r>
        <w:rPr/>
        <w:t>В графе 93 указываются срок и условия платежа по векселю (по предъявлении, по предъявлении, но не ранее определенной даты, по предъявлении, но не ранее определенной даты и не позднее определенной даты, через определенное количество дней с даты выпуска и так далее).</w:t>
      </w:r>
    </w:p>
    <w:p>
      <w:pPr>
        <w:pStyle w:val="MainText"/>
        <w:rPr/>
      </w:pPr>
      <w:r>
        <w:rPr/>
        <w:t>В графе 94 указывается вексельная сумма в единицах валюты номинала. Указанная сумма представляет собой простое и ничем не обусловленное предложение уплатить определенную сумму, указанную на самом векселе.</w:t>
      </w:r>
    </w:p>
    <w:p>
      <w:pPr>
        <w:pStyle w:val="MainText"/>
        <w:rPr/>
      </w:pPr>
      <w:r>
        <w:rPr/>
        <w:t>В графе 95 указывается цифровой код валюты, в которой выражена вексельная сумма, согласно Общероссийскому классификатору валют (ОКВ).</w:t>
      </w:r>
    </w:p>
    <w:p>
      <w:pPr>
        <w:pStyle w:val="MainText"/>
        <w:rPr/>
      </w:pPr>
      <w:r>
        <w:rPr/>
        <w:t>В графе 96 указывается первый векселедержатель (лицо, на которое выписан вексель).</w:t>
      </w:r>
    </w:p>
    <w:p>
      <w:pPr>
        <w:pStyle w:val="MainText"/>
        <w:rPr/>
      </w:pPr>
      <w:r>
        <w:rPr/>
        <w:t>В графе 97 указывается ИНН первого векселедержателя (десятизначный — для юридических лиц и двенадцатизначный — для физических лиц). При отсутствии данных по физическим лицам указывается двенадцать нулей, по юридическим лицам — десять нулей. Для первых векселедержателей-нерезидентов в данной графе указывается код страны, резидентом которой является первый векселедержатель. В случае отсутствия данных о стране первого векселедержателя-нерезидента указывается код “999”.</w:t>
      </w:r>
    </w:p>
    <w:p>
      <w:pPr>
        <w:pStyle w:val="MainText"/>
        <w:rPr/>
      </w:pPr>
      <w:r>
        <w:rPr/>
        <w:t>В графе 98 указывается состояние векселя на 1-е число месяца, следующего за отчетным. Например: “в обращении”, “выкуплен для дальнейшей перепродажи”, “принят в залог”, “принят к погашению”, “принят на хранение”, “депозитарное обслуживание”.</w:t>
      </w:r>
    </w:p>
    <w:p>
      <w:pPr>
        <w:pStyle w:val="MainText"/>
        <w:rPr/>
      </w:pPr>
      <w:r>
        <w:rPr/>
        <w:t>В графе 99 указывается векселедержатель (собственник) векселя, находящегося в самой кредитной организации — векселедателе по различным основаниям (на погашении, на основании заключенных договоров хранения, залога (заклада), депозитарного договора, договора комиссии, агентского договора и другое).</w:t>
      </w:r>
    </w:p>
    <w:p>
      <w:pPr>
        <w:pStyle w:val="MainText"/>
        <w:rPr/>
      </w:pPr>
      <w:r>
        <w:rPr/>
        <w:t>В графе 100 указываются ИНН (десятизначный номер для юридического лица, двенадцатизначный номер для физического лица) владельцев векселей, находящихся по состоянию на 1-е число в кредитной организации — векселедателе, помещенные по различным основаниям. При отсутствии данных по физическим лицам указывается двенадцать нулей, по юридическим лицам — десять нулей. Для векселедержателей-нерезидентов в данной графе указывается код страны, резидентом которой является векселедержатель. В случае отсутствия данных о стране векселедержателя-нерезидента указывается код “999”.</w:t>
      </w:r>
    </w:p>
    <w:p>
      <w:pPr>
        <w:pStyle w:val="MainText"/>
        <w:rPr/>
      </w:pPr>
      <w:r>
        <w:rPr/>
        <w:t>В графе 101 указывается иная, по мнению кредитной организации, существенная информация.</w:t>
      </w:r>
    </w:p>
    <w:p>
      <w:pPr>
        <w:pStyle w:val="MainText"/>
        <w:rPr/>
      </w:pPr>
      <w:r>
        <w:rPr/>
        <w:t>Графы 103—117 заполняются аналогично соответствующим графам подраздела 2.1.</w:t>
      </w:r>
    </w:p>
    <w:p>
      <w:pPr>
        <w:pStyle w:val="MainText"/>
        <w:rPr/>
      </w:pPr>
      <w:r>
        <w:rPr/>
        <w:t>В графе 113 указывается дата поступления в кредитную организацию векселей, принадлежащих третьим лицам, независимо от основания поступления. При этом под датой поступления векселя на отчетную дату следует понимать дату последнего документа, подтверждающего передачу векселя в кредитную организацию.</w:t>
      </w:r>
    </w:p>
    <w:p>
      <w:pPr>
        <w:pStyle w:val="MainText"/>
        <w:rPr/>
      </w:pPr>
      <w:r>
        <w:rPr/>
        <w:t>В графе 117 указывается иная, по мнению кредитной организации, существенная информация.</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 СОСТАВЕ УЧАСТНИКОВ БАНКОВСКОЙ (КОНСОЛИДИРОВАННОЙ) ГРУППЫ </w:t>
        <w:br/>
        <w:t>по состоянию на “</w:t>
      </w:r>
      <w:r>
        <w:rPr/>
        <w:t>___” __________ _____</w:t>
      </w:r>
      <w:r>
        <w:rPr>
          <w:b w:val="false"/>
        </w:rPr>
        <w:t xml:space="preserve"> </w:t>
      </w:r>
      <w:r>
        <w:rPr/>
        <w:t>г.</w:t>
      </w:r>
    </w:p>
    <w:p>
      <w:pPr>
        <w:pStyle w:val="MainTextLine155"/>
        <w:rPr/>
      </w:pPr>
      <w:r>
        <w:rPr/>
        <w:t>Cокращенное фирменное наименование головной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0409801</w:t>
        <w:br/>
        <w:t>На нерегулярной основе (Годовая)</w:t>
      </w:r>
    </w:p>
    <w:tbl>
      <w:tblPr>
        <w:tblW w:w="16252" w:type="dxa"/>
        <w:jc w:val="center"/>
        <w:tblInd w:w="0" w:type="dxa"/>
        <w:tblLayout w:type="fixed"/>
        <w:tblCellMar>
          <w:top w:w="0" w:type="dxa"/>
          <w:start w:w="28" w:type="dxa"/>
          <w:bottom w:w="0" w:type="dxa"/>
          <w:end w:w="28" w:type="dxa"/>
        </w:tblCellMar>
      </w:tblPr>
      <w:tblGrid>
        <w:gridCol w:w="672"/>
        <w:gridCol w:w="1731"/>
        <w:gridCol w:w="1672"/>
        <w:gridCol w:w="1699"/>
        <w:gridCol w:w="1561"/>
        <w:gridCol w:w="1783"/>
        <w:gridCol w:w="2328"/>
        <w:gridCol w:w="1602"/>
        <w:gridCol w:w="1602"/>
        <w:gridCol w:w="1602"/>
      </w:tblGrid>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173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Полное наименование юридического лица — участника группы</w:t>
            </w:r>
          </w:p>
        </w:tc>
        <w:tc>
          <w:tcPr>
            <w:tcW w:w="1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Место нахождения участника группы (адрес)</w:t>
            </w:r>
          </w:p>
        </w:tc>
        <w:tc>
          <w:tcPr>
            <w:tcW w:w="169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Фактическое место нахождения участника группы</w:t>
            </w:r>
          </w:p>
        </w:tc>
        <w:tc>
          <w:tcPr>
            <w:tcW w:w="15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(код) юридического лица</w:t>
            </w:r>
          </w:p>
        </w:tc>
        <w:tc>
          <w:tcPr>
            <w:tcW w:w="178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Организации, имеющие пакет акций (долю участия) в уставном капитале участника или оказывающие иным образом влияние на его деятельность</w:t>
            </w:r>
          </w:p>
        </w:tc>
        <w:tc>
          <w:tcPr>
            <w:tcW w:w="232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Удельный вес акций (долей), принадлежащих головной кредитной организации и (или) участникам группы (процентов), или иные способы влияния на деятельность участников группы</w:t>
            </w:r>
          </w:p>
        </w:tc>
        <w:tc>
          <w:tcPr>
            <w:tcW w:w="16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Балансовая стоимость акций (долей), принадлежащих головной кредитной организации и (или) участникам группы, тыс. руб.</w:t>
            </w:r>
          </w:p>
        </w:tc>
        <w:tc>
          <w:tcPr>
            <w:tcW w:w="16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Метод консолидации</w:t>
            </w:r>
          </w:p>
        </w:tc>
        <w:tc>
          <w:tcPr>
            <w:tcW w:w="16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Вид деятельности</w:t>
            </w:r>
          </w:p>
        </w:tc>
      </w:tr>
      <w:tr>
        <w:trPr>
          <w:tblHeader w:val="true"/>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w:t>
            </w:r>
          </w:p>
        </w:tc>
        <w:tc>
          <w:tcPr>
            <w:tcW w:w="173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2</w:t>
            </w:r>
          </w:p>
        </w:tc>
        <w:tc>
          <w:tcPr>
            <w:tcW w:w="1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3</w:t>
            </w:r>
          </w:p>
        </w:tc>
        <w:tc>
          <w:tcPr>
            <w:tcW w:w="169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4</w:t>
            </w:r>
          </w:p>
        </w:tc>
        <w:tc>
          <w:tcPr>
            <w:tcW w:w="1561"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5</w:t>
            </w:r>
          </w:p>
        </w:tc>
        <w:tc>
          <w:tcPr>
            <w:tcW w:w="1783"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6</w:t>
            </w:r>
          </w:p>
        </w:tc>
        <w:tc>
          <w:tcPr>
            <w:tcW w:w="2328"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7</w:t>
            </w:r>
          </w:p>
        </w:tc>
        <w:tc>
          <w:tcPr>
            <w:tcW w:w="160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8</w:t>
            </w:r>
          </w:p>
        </w:tc>
        <w:tc>
          <w:tcPr>
            <w:tcW w:w="160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9</w:t>
            </w:r>
          </w:p>
        </w:tc>
        <w:tc>
          <w:tcPr>
            <w:tcW w:w="160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10</w:t>
            </w:r>
          </w:p>
        </w:tc>
      </w:tr>
      <w:tr>
        <w:trPr>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0</w:t>
            </w:r>
          </w:p>
        </w:tc>
        <w:tc>
          <w:tcPr>
            <w:tcW w:w="173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7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561"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783"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2328"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start w:val="single" w:sz="6" w:space="0" w:color="000000"/>
              <w:end w:val="single" w:sz="6" w:space="0" w:color="000000"/>
            </w:tcBorders>
          </w:tcPr>
          <w:p>
            <w:pPr>
              <w:pStyle w:val="MainText"/>
              <w:ind w:hanging="0" w:end="0"/>
              <w:jc w:val="center"/>
              <w:rPr>
                <w:sz w:val="16"/>
              </w:rPr>
            </w:pPr>
            <w:r>
              <w:rPr>
                <w:sz w:val="16"/>
              </w:rPr>
              <w:t>1</w:t>
            </w:r>
          </w:p>
        </w:tc>
        <w:tc>
          <w:tcPr>
            <w:tcW w:w="1731"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672"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561"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783"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2328"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start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start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w:t>
            </w:r>
          </w:p>
        </w:tc>
        <w:tc>
          <w:tcPr>
            <w:tcW w:w="173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72"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9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61"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783"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328"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602"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6803" w:leader="none"/>
        </w:tabs>
        <w:spacing w:before="120" w:after="0"/>
        <w:rPr/>
      </w:pPr>
      <w:r>
        <w:rPr/>
        <w:t>Руководитель головной кредитной организации</w:t>
        <w:tab/>
        <w:t>(Ф.И.О.)</w:t>
      </w:r>
    </w:p>
    <w:p>
      <w:pPr>
        <w:pStyle w:val="MainTextLine155"/>
        <w:tabs>
          <w:tab w:val="clear" w:pos="8787"/>
          <w:tab w:val="left" w:pos="6803" w:leader="none"/>
        </w:tabs>
        <w:spacing w:before="57" w:after="0"/>
        <w:rPr/>
      </w:pPr>
      <w:r>
        <w:rPr/>
        <w:t>Главный бухгалтер головной кредитной организации</w:t>
        <w:tab/>
        <w:t>(Ф.И.О.)</w:t>
      </w:r>
    </w:p>
    <w:p>
      <w:pPr>
        <w:pStyle w:val="MainTextBezOtstupa"/>
        <w:spacing w:before="57" w:after="0"/>
        <w:rPr/>
      </w:pPr>
      <w:r>
        <w:rPr/>
        <w:t>М.П.</w:t>
      </w:r>
    </w:p>
    <w:p>
      <w:pPr>
        <w:pStyle w:val="MainTextLine155"/>
        <w:tabs>
          <w:tab w:val="clear" w:pos="8787"/>
          <w:tab w:val="left" w:pos="6803"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0409801 “Отчет о составе участников банковской (консолидированной) группы”</w:t>
      </w:r>
    </w:p>
    <w:p>
      <w:pPr>
        <w:pStyle w:val="MainText"/>
        <w:rPr/>
      </w:pPr>
      <w:r>
        <w:rPr/>
        <w:t>1. Отчетность по форме 0409801 “Отчет о составе участников банковской (консолидированной) группы” (далее — Отчет) составляется головными кредитными организациями банковских (консолидированных) групп и представляется в территориальные учреждения Банка России:</w:t>
      </w:r>
    </w:p>
    <w:p>
      <w:pPr>
        <w:pStyle w:val="MainText"/>
        <w:rPr/>
      </w:pPr>
      <w:r>
        <w:rPr/>
        <w:t>в срок не позднее 8 рабочих дней со дня образования банковской (консолидированной) группы;</w:t>
      </w:r>
    </w:p>
    <w:p>
      <w:pPr>
        <w:pStyle w:val="MainText"/>
        <w:rPr/>
      </w:pPr>
      <w:r>
        <w:rPr/>
        <w:t>по мере внесения сведений (за исключением сведений, обусловленных изменением балансовой стоимости акций (долей) участников группы — нерезидентов, связанным с их переоценкой в иностранной валюте) — не позднее 10 рабочих дней со дня внесения сведений;</w:t>
      </w:r>
    </w:p>
    <w:p>
      <w:pPr>
        <w:pStyle w:val="MainText"/>
        <w:rPr/>
      </w:pPr>
      <w:r>
        <w:rPr/>
        <w:t>по требованию Банка России — не позднее 10 рабочих дней со дня получения письменного требования Банка России;</w:t>
      </w:r>
    </w:p>
    <w:p>
      <w:pPr>
        <w:pStyle w:val="MainText"/>
        <w:rPr/>
      </w:pPr>
      <w:r>
        <w:rPr/>
        <w:t>по состоянию на 1 января — в срок не позднее 2 месяцев года, следующего за отчетным.</w:t>
      </w:r>
    </w:p>
    <w:p>
      <w:pPr>
        <w:pStyle w:val="MainText"/>
        <w:rPr/>
      </w:pPr>
      <w:r>
        <w:rPr/>
        <w:t>Головными кредитными организациями банковских (консолидированных) групп сообщается в Банк России о всех изменениях в составе информации, отраженной в графах 2—10 Отчета, за исключением случаев изменения балансовой стоимости акций (долей) участников, принадлежащих группе, обусловленного колебаниями официальных курсов иностранных валют по отношению к рублю, установленных Банком России.</w:t>
      </w:r>
    </w:p>
    <w:p>
      <w:pPr>
        <w:pStyle w:val="MainText"/>
        <w:rPr/>
      </w:pPr>
      <w:r>
        <w:rPr/>
        <w:t>2. В графе 1 Отчета указываются порядковые номера головной кредитной организации и участников банковской (консолидированной) группы, при этом головной кредитной организации присваивается номер “0”, участникам банковской (консолидированной) группы — номер по порядку.</w:t>
      </w:r>
    </w:p>
    <w:p>
      <w:pPr>
        <w:pStyle w:val="MainText"/>
        <w:rPr/>
      </w:pPr>
      <w:r>
        <w:rPr/>
        <w:t>3. В графе 2 Отчета указывается полное наименование участника банковской (консолидированной) группы:</w:t>
      </w:r>
    </w:p>
    <w:p>
      <w:pPr>
        <w:pStyle w:val="MainText"/>
        <w:rPr/>
      </w:pPr>
      <w:r>
        <w:rPr/>
        <w:t>кредитной организации — резидента — в соответствии с Книгой государственной регистрации кредитных организаций;</w:t>
      </w:r>
    </w:p>
    <w:p>
      <w:pPr>
        <w:pStyle w:val="MainText"/>
        <w:rPr/>
      </w:pPr>
      <w:r>
        <w:rPr/>
        <w:t>кредитной организации — нерезидента — участника системы СВИФТ — в соответствии со справочником СВИФТ;</w:t>
      </w:r>
    </w:p>
    <w:p>
      <w:pPr>
        <w:pStyle w:val="MainText"/>
        <w:rPr/>
      </w:pPr>
      <w:r>
        <w:rPr/>
        <w:t>юридического лица, не являющегося кредитной организацией, — резидента — в соответствии с записью о его регистрации в Едином государственном реестре юридических лиц;</w:t>
      </w:r>
    </w:p>
    <w:p>
      <w:pPr>
        <w:pStyle w:val="MainText"/>
        <w:rPr/>
      </w:pPr>
      <w:r>
        <w:rPr/>
        <w:t>юридического лица — нерезидента, не являющегося кредитной организацией, или являющегося кредитной организацией, но не являющегося участником системы СВИФТ, — в соответствии с наименованием, приведенным в заключенном с ним договоре (соглашении или ином документе).</w:t>
      </w:r>
    </w:p>
    <w:p>
      <w:pPr>
        <w:pStyle w:val="MainText"/>
        <w:rPr/>
      </w:pPr>
      <w:r>
        <w:rPr/>
        <w:t>При этом транскрипция наименования одного и того же участника банковской (консолидированной) группы должна быть неизменной на протяжении всех отчетных периодов составления консолидированной отчетности. В случае изменения наименования участника банковской (консолидированной) группы в Отчете указывается его новое наименование, а в скобках — прежнее.</w:t>
      </w:r>
    </w:p>
    <w:p>
      <w:pPr>
        <w:pStyle w:val="MainText"/>
        <w:rPr/>
      </w:pPr>
      <w:r>
        <w:rPr/>
        <w:t>4. В графе 3 Отчета указывается место нахождения (адрес) участников банковской (консолидированной) группы, указанное в его регистрационных документах (для участника банковской (консолидированной) группы — нерезидента дополнительно указывается код страны его места нахождения в соответствии с Общероссийским классификатором стран мира (ОКСМ).</w:t>
      </w:r>
    </w:p>
    <w:p>
      <w:pPr>
        <w:pStyle w:val="MainText"/>
        <w:rPr/>
      </w:pPr>
      <w:r>
        <w:rPr/>
        <w:t>5. В графе 4 Отчета указывается фактическое место нахождения участника банковской (консолидированной) группы (для участника банковской (консолидированной) группы — нерезидента дополнительно указывается код страны его места нахождения в соответствии с Общероссийским классификатором стран мира (ОКСМ).</w:t>
      </w:r>
    </w:p>
    <w:p>
      <w:pPr>
        <w:pStyle w:val="MainText"/>
        <w:rPr/>
      </w:pPr>
      <w:r>
        <w:rPr/>
        <w:t>6. В графе 5 Отчета по каждому участнику банковской (консолидированной) группы указываются:</w:t>
      </w:r>
    </w:p>
    <w:p>
      <w:pPr>
        <w:pStyle w:val="MainText"/>
        <w:rPr/>
      </w:pPr>
      <w:r>
        <w:rPr/>
        <w:t>для кредитных организаций — резидентов — регистрационный номер кредитной организации в соответствии с Книгой государственной регистрации кредитных организаций;</w:t>
      </w:r>
    </w:p>
    <w:p>
      <w:pPr>
        <w:pStyle w:val="MainText"/>
        <w:rPr/>
      </w:pPr>
      <w:r>
        <w:rPr/>
        <w:t>для кредитных организаций — нерезидентов — участников системы СВИФТ — код по справочнику СВИФТ;</w:t>
      </w:r>
    </w:p>
    <w:p>
      <w:pPr>
        <w:pStyle w:val="MainText"/>
        <w:rPr/>
      </w:pPr>
      <w:r>
        <w:rPr/>
        <w:t>для юридических лиц — резидентов, не являющихся кредитными организациями, — основной государственный регистрационный номер (ОГРН) в соответствии с Единым государственным реестром юридических лиц;</w:t>
      </w:r>
    </w:p>
    <w:p>
      <w:pPr>
        <w:pStyle w:val="MainText"/>
        <w:rPr/>
      </w:pPr>
      <w:r>
        <w:rPr/>
        <w:t>для юридических лиц — нерезидентов, не являющихся кредитными организациями, или являющихся кредитными организациями, но не являющихся участниками системы СВИФТ, — НР.</w:t>
      </w:r>
    </w:p>
    <w:p>
      <w:pPr>
        <w:pStyle w:val="MainText"/>
        <w:rPr/>
      </w:pPr>
      <w:r>
        <w:rPr/>
        <w:t>7. В графе 6 Отчета приводится информация об участнике банковской (консолидированной) группы, оказывающем существенное влияние на решения органов управления других участников банковской (консолидированной) группы. Информация об участии приводится с использованием номеров, присвоенных участнику банковской (консолидированной) группы в графе 1 Отчета.</w:t>
      </w:r>
    </w:p>
    <w:p>
      <w:pPr>
        <w:pStyle w:val="MainText"/>
        <w:rPr/>
      </w:pPr>
      <w:r>
        <w:rPr/>
        <w:t>Если существенное влияние на участника банковской (консолидированной) группы оказывают несколько участников банковской (консолидированной) группы, то информация о них располагается в графе 6 Отчета в столбец.</w:t>
      </w:r>
    </w:p>
    <w:p>
      <w:pPr>
        <w:pStyle w:val="MainText"/>
        <w:rPr/>
      </w:pPr>
      <w:r>
        <w:rPr/>
        <w:t>8. В графе 7 Отчета указывается признак, характеризующий существенное влияние головной кредитной организации и других участников банковской (консолидированной) группы на решения, принимаемые органами управления участника банковской (консолидированной) группы:</w:t>
      </w:r>
    </w:p>
    <w:p>
      <w:pPr>
        <w:pStyle w:val="MainText"/>
        <w:rPr/>
      </w:pPr>
      <w:r>
        <w:rPr/>
        <w:t>удельный вес акций (долей), принадлежащих головной кредитной организации и (или) участникам банковской (консолидированной) группы, в процентах с четырьмя десятичными знаками после запятой;</w:t>
      </w:r>
    </w:p>
    <w:p>
      <w:pPr>
        <w:pStyle w:val="MainText"/>
        <w:rPr/>
      </w:pPr>
      <w:r>
        <w:rPr/>
        <w:t>Д — в соответствии с условиями договора, заключаемого между юридическими лицами, входящими в состав банковской (консолидированной) группы;</w:t>
      </w:r>
    </w:p>
    <w:p>
      <w:pPr>
        <w:pStyle w:val="MainText"/>
        <w:rPr/>
      </w:pPr>
      <w:r>
        <w:rPr/>
        <w:t>ИО — в соответствии с правом назначать единоличный исполнительный орган и (или) более половины состава коллегиального органа либо иного органа управления юридического лица;</w:t>
      </w:r>
    </w:p>
    <w:p>
      <w:pPr>
        <w:pStyle w:val="MainText"/>
        <w:rPr/>
      </w:pPr>
      <w:r>
        <w:rPr/>
        <w:t>СД — в соответствии с возможностью определять избрание более половины состава совета директоров (наблюдательного совета);</w:t>
      </w:r>
    </w:p>
    <w:p>
      <w:pPr>
        <w:pStyle w:val="MainText"/>
        <w:rPr/>
      </w:pPr>
      <w:r>
        <w:rPr/>
        <w:t>И — иные признаки.</w:t>
      </w:r>
    </w:p>
    <w:p>
      <w:pPr>
        <w:pStyle w:val="MainText"/>
        <w:rPr/>
      </w:pPr>
      <w:r>
        <w:rPr/>
        <w:t>При наличии одновременно нескольких признаков существенного влияния головной кредитной организации или других участников на решения органов управления участника банковской (консолидированной) группы признаки в соответствующей строке указываются последовательно, через запятую.</w:t>
      </w:r>
    </w:p>
    <w:p>
      <w:pPr>
        <w:pStyle w:val="MainText"/>
        <w:rPr/>
      </w:pPr>
      <w:r>
        <w:rPr/>
        <w:t>9. В графе 8 отражается балансовая стоимость акций (долей), принадлежащих головной кредитной организации и (или) участникам банковской (консолидированной) группы, отраженная в отчетности головной кредитной организации и (или) участников банковской (консолидированной) группы.</w:t>
      </w:r>
    </w:p>
    <w:p>
      <w:pPr>
        <w:pStyle w:val="MainText"/>
        <w:rPr/>
      </w:pPr>
      <w:r>
        <w:rPr/>
        <w:t>10. В графе 9 Отчета указывается код метода консолидации:</w:t>
      </w:r>
    </w:p>
    <w:p>
      <w:pPr>
        <w:pStyle w:val="MainText"/>
        <w:rPr/>
      </w:pPr>
      <w:r>
        <w:rPr/>
        <w:t>1 — метод полной консолидации;</w:t>
      </w:r>
    </w:p>
    <w:p>
      <w:pPr>
        <w:pStyle w:val="MainText"/>
        <w:rPr/>
      </w:pPr>
      <w:r>
        <w:rPr/>
        <w:t>2 — метод долевого участия;</w:t>
      </w:r>
    </w:p>
    <w:p>
      <w:pPr>
        <w:pStyle w:val="MainText"/>
        <w:rPr/>
      </w:pPr>
      <w:r>
        <w:rPr/>
        <w:t>3 — метод пропорциональной консолидации.</w:t>
      </w:r>
    </w:p>
    <w:p>
      <w:pPr>
        <w:pStyle w:val="MainText"/>
        <w:rPr/>
      </w:pPr>
      <w:r>
        <w:rPr/>
        <w:t>11. В графе 10 указывается основной вид экономической деятельности участника банковской (консолидированной) группы в соответствии с классами, определенными в Общероссийском классификаторе видов экономической деятельности (ОКВЭД).</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КОНСОЛИДИРОВАННЫЙ БАЛАНСОВЫЙ ОТЧЕТ </w:t>
        <w:br/>
        <w:t>на ______ г.</w:t>
      </w:r>
    </w:p>
    <w:p>
      <w:pPr>
        <w:pStyle w:val="MainTextLine155"/>
        <w:rPr/>
      </w:pPr>
      <w:r>
        <w:rPr/>
        <w:t>Cокращенное фирменное наименование головной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0409802</w:t>
        <w:br/>
        <w:t>Квартальная (Годовая)</w:t>
        <w:br/>
        <w:t>тыс. руб.</w:t>
      </w:r>
    </w:p>
    <w:tbl>
      <w:tblPr>
        <w:tblW w:w="16237" w:type="dxa"/>
        <w:jc w:val="center"/>
        <w:tblInd w:w="0" w:type="dxa"/>
        <w:tblLayout w:type="fixed"/>
        <w:tblCellMar>
          <w:top w:w="0" w:type="dxa"/>
          <w:start w:w="28" w:type="dxa"/>
          <w:bottom w:w="0" w:type="dxa"/>
          <w:end w:w="28" w:type="dxa"/>
        </w:tblCellMar>
      </w:tblPr>
      <w:tblGrid>
        <w:gridCol w:w="669"/>
        <w:gridCol w:w="5666"/>
        <w:gridCol w:w="1100"/>
        <w:gridCol w:w="1100"/>
        <w:gridCol w:w="1100"/>
        <w:gridCol w:w="1100"/>
        <w:gridCol w:w="1129"/>
        <w:gridCol w:w="1014"/>
        <w:gridCol w:w="1015"/>
        <w:gridCol w:w="1093"/>
        <w:gridCol w:w="1251"/>
      </w:tblGrid>
      <w:tr>
        <w:trPr>
          <w:tblHeader w:val="true"/>
          <w:cantSplit/>
        </w:trPr>
        <w:tc>
          <w:tcPr>
            <w:tcW w:w="669"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566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Статьи консолидированного балансового отчета</w:t>
            </w:r>
          </w:p>
        </w:tc>
        <w:tc>
          <w:tcPr>
            <w:tcW w:w="110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Балансовый отчет</w:t>
            </w:r>
          </w:p>
        </w:tc>
        <w:tc>
          <w:tcPr>
            <w:tcW w:w="3300"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Показатели участников группы</w:t>
            </w:r>
          </w:p>
        </w:tc>
        <w:tc>
          <w:tcPr>
            <w:tcW w:w="1129"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Промежуточный результат</w:t>
            </w:r>
          </w:p>
        </w:tc>
        <w:tc>
          <w:tcPr>
            <w:tcW w:w="2029"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Корректировки (в том числе взаимные операции)</w:t>
            </w:r>
          </w:p>
        </w:tc>
        <w:tc>
          <w:tcPr>
            <w:tcW w:w="109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Данные на отчетную дату</w:t>
            </w:r>
          </w:p>
        </w:tc>
        <w:tc>
          <w:tcPr>
            <w:tcW w:w="1251"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Данные за соответствующий</w:t>
            </w:r>
          </w:p>
        </w:tc>
      </w:tr>
      <w:tr>
        <w:trPr>
          <w:tblHeader w:val="true"/>
          <w:cantSplit/>
        </w:trPr>
        <w:tc>
          <w:tcPr>
            <w:tcW w:w="669"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566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100"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головной кредитной организации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балансовый отчет участника А</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балансовый отчет участника Б</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балансовый отчет участника ...</w:t>
            </w:r>
          </w:p>
        </w:tc>
        <w:tc>
          <w:tcPr>
            <w:tcW w:w="1129"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(гр. 3 + гр. 4 + гр. 5 + гр. 6 + ...)</w:t>
            </w:r>
          </w:p>
        </w:tc>
        <w:tc>
          <w:tcPr>
            <w:tcW w:w="101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увеличение</w:t>
            </w:r>
          </w:p>
        </w:tc>
        <w:tc>
          <w:tcPr>
            <w:tcW w:w="10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уменьшение</w:t>
            </w:r>
          </w:p>
        </w:tc>
        <w:tc>
          <w:tcPr>
            <w:tcW w:w="1093"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(гр. 7 + гр. 8 – гр. 9)</w:t>
            </w:r>
          </w:p>
        </w:tc>
        <w:tc>
          <w:tcPr>
            <w:tcW w:w="1251"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период прошлого года</w:t>
            </w:r>
          </w:p>
        </w:tc>
      </w:tr>
      <w:tr>
        <w:trPr>
          <w:tblHeader w:val="true"/>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1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01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10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10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125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АКТИВЫ</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Денежные средства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кредитных организаций в центральных банках</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в Центральном банке Российской Федерации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Обязательные резервы</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в кредитных организациях</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оцениваемые по справедливой стоимости через прибыль или убыток</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Чистая ссудная задолженность</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и другие финансовые активы, имеющиеся в наличии для продажи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Инвестиции в зависимые организации</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удерживаемые до погашения</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Положительная деловая репутация</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Основные средства, нематериальные активы и материальные запасы</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активы</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активов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ПАССИВЫ</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Кредиты, депозиты и прочие средства центральных банков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Кредиты, депозиты и прочие средства Центрального банка Российской Федерации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кредитных организаций</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клиентов, не являющихся кредитными организациями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Вклады физических лиц</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Финансовые обязательства, оцениваемые по справедливой стоимости через прибыль или убыток</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Выпущенные долговые обязательства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обязательства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Резервы на возможные потери по условным обязательствам кредитного характера, прочим возможным потерям и операциям с резидентами офшорных зон</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обязательств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III</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ИСТОЧНИКИ СОБСТВЕННЫХ СРЕДСТВ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акционеров (участников)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Собственные акции (доли), выкупленные у акционеров (участников)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Эмиссионный доход</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Резервный фонд</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по справедливой стоимости ценных бумаг, имеющихся в наличии для продажи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основных средств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активов и обязательств участников группы — нерезидентов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Нераспределенная прибыль (непокрытые убытки) прошлых лет</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29</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Доля малых акционеров (участников)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Доля источников собственных средств, принадлежащая малым акционерам (участникам)</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30.2</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 принадлежащая (принадлежащий) малым акционерам (участникам)</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2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источников собственных средств группы и малых акционеров (участников)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IV</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ВНЕБАЛАНСОВЫЕ ОБЯЗАТЕЛЬСТВА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Безотзывные обязательства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6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566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Выданные гарантии и поручительства</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29"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1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0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51"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6803" w:leader="none"/>
        </w:tabs>
        <w:spacing w:before="120" w:after="0"/>
        <w:rPr/>
      </w:pPr>
      <w:r>
        <w:rPr/>
        <w:t>Руководитель головной кредитной организации</w:t>
        <w:tab/>
        <w:t>(Ф.И.О.)</w:t>
      </w:r>
    </w:p>
    <w:p>
      <w:pPr>
        <w:pStyle w:val="MainTextLine155"/>
        <w:tabs>
          <w:tab w:val="clear" w:pos="8787"/>
          <w:tab w:val="left" w:pos="6803" w:leader="none"/>
        </w:tabs>
        <w:spacing w:before="57" w:after="0"/>
        <w:rPr/>
      </w:pPr>
      <w:r>
        <w:rPr/>
        <w:t>Главный бухгалтер головной кредитной организации</w:t>
        <w:tab/>
        <w:t>(Ф.И.О.)</w:t>
      </w:r>
    </w:p>
    <w:p>
      <w:pPr>
        <w:pStyle w:val="MainTextBezOtstupa"/>
        <w:spacing w:before="57" w:after="0"/>
        <w:rPr/>
      </w:pPr>
      <w:r>
        <w:rPr/>
        <w:t>М.П.</w:t>
      </w:r>
    </w:p>
    <w:p>
      <w:pPr>
        <w:pStyle w:val="MainTextLine155"/>
        <w:tabs>
          <w:tab w:val="clear" w:pos="8787"/>
          <w:tab w:val="left" w:pos="6803"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0409802 “Консолидированный балансовый отчет”</w:t>
      </w:r>
    </w:p>
    <w:p>
      <w:pPr>
        <w:pStyle w:val="MainText"/>
        <w:rPr/>
      </w:pPr>
      <w:r>
        <w:rPr/>
        <w:t>1. Отчетность по форме 0409802 “Консолидированный балансовый отчет” (далее — Отчет) составляется головными кредитными организациями банковских (консолидированных) групп в соответствии с Положением Банка России от 30 июля 2002 года № 191-П “О консолидированной отчетности”, зарегистрированным Министерством юстиции Российской Федерации 11 октября 2002 года № 3857, 14 марта 2005 года № 6393, 23 июля 2007 года № 9876 (“Вестник Банка России” от 31 октября 2002 года № 58, от 13 апреля 2005 года № 19, от 2 августа 2007 года № 44), и Положением Банка России от 5 января 2004 года № 246-П “О порядке составления головной кредитной организацией банковской (консолидированной) группы консолидированной отчетности”, зарегистрированным Министерством юстиции Российской Федерации 29 января 2004 года № 5494, 17 марта 2005 года № 6408, 26 июля 2007 года № 9911 (“Вестник Банка России” от 6 февраля 2004 года № 10, от 13 апреля 2005 года № 19, от 2 августа 2007 года № 44) (далее — Положение Банка России № 246-П).</w:t>
      </w:r>
    </w:p>
    <w:p>
      <w:pPr>
        <w:pStyle w:val="MainText"/>
        <w:rPr/>
      </w:pPr>
      <w:r>
        <w:rPr/>
        <w:t>2. При составлении Отчета головная кредитная организация банковской (консолидированной) группы может использовать при включении отчетных данных кредитных организаций — участников банковской (консолидированной) группы алгоритмы формирования статей, приведенные в Порядке составления и представления отчетности по форме 0409806 “Бухгалтерский баланс (публикуемая форма)”. При этом головная кредитная организация банковской (консолидированной) группы вправе осуществлять реклассификацию отдельных балансовых счетов в иные статьи Отчета, чем это определено порядком составления и представления указанной формы отчетности, используя принцип приоритета экономической сущности осуществленных операций над их юридической формой.</w:t>
      </w:r>
    </w:p>
    <w:p>
      <w:pPr>
        <w:pStyle w:val="MainText"/>
        <w:rPr/>
      </w:pPr>
      <w:r>
        <w:rPr/>
        <w:t>Данные участников банковской (консолидированной) группы, не являющихся кредитными организациями, включаются в статьи Отчета в соответствии с порядком, установленным Положением Банка России № 246-П, данные участников банковской (консолидированной) группы — нерезидентов — в соответствии с порядком, установленным в учетной политике банковской (консолидированной) группы.</w:t>
      </w:r>
    </w:p>
    <w:p>
      <w:pPr>
        <w:pStyle w:val="MainText"/>
        <w:rPr/>
      </w:pPr>
      <w:r>
        <w:rPr/>
        <w:t>При формировании Отчета в заголовочной части в графах 4—6 указывается полное наименование участника банковской (консолидированной) группы в соответствии с пунктом 3 Порядка составления и представления отчетности по форме 0409801 “Отчет о составе участников банковской (консолидированной) группы”. При этом транскрипция наименования одного и того же участника банковской (консолидированной) группы должна быть неизменной на протяжении всех отчетных периодов составления консолидированной отчетности. В случае изменения наименования участника банковской (консолидированной) группы в Отчете указывается его новое наименование, а в скобках — прежнее.</w:t>
      </w:r>
    </w:p>
    <w:p>
      <w:pPr>
        <w:pStyle w:val="MainText"/>
        <w:rPr/>
      </w:pPr>
      <w:r>
        <w:rPr/>
        <w:t>3. Отчет представляется в территориальные учреждения Банка России (без заполнения графы 11):</w:t>
      </w:r>
    </w:p>
    <w:p>
      <w:pPr>
        <w:pStyle w:val="MainText"/>
        <w:rPr/>
      </w:pPr>
      <w:r>
        <w:rPr/>
        <w:t>по состоянию на 1 апреля, 1 июля, 1 октября:</w:t>
      </w:r>
    </w:p>
    <w:p>
      <w:pPr>
        <w:pStyle w:val="MainText"/>
        <w:rPr/>
      </w:pPr>
      <w:r>
        <w:rPr/>
        <w:t>головными кредитными организациями банковских (консолидированных) групп (за исключением головных кредитных организаций банковских (консолидированных) групп, являющихся крупными кредитными организациями с широкой сетью подразделений) — не позднее 1-го месяца квартала, следующего за отчетным;</w:t>
      </w:r>
    </w:p>
    <w:p>
      <w:pPr>
        <w:pStyle w:val="MainText"/>
        <w:rPr/>
      </w:pPr>
      <w:r>
        <w:rPr/>
        <w:t>головными кредитными организациями банковских (консолидированных) групп, являющимися крупными кредитными организациями с широкой сетью подразделений, — не позднее 8-го рабочего дня второго месяца квартала, следующего за отчетным;</w:t>
      </w:r>
    </w:p>
    <w:p>
      <w:pPr>
        <w:pStyle w:val="MainText"/>
        <w:rPr/>
      </w:pPr>
      <w:r>
        <w:rPr/>
        <w:t>по состоянию на 1 января — в срок не более 2 месяцев года, следующего за отчетным.</w:t>
      </w:r>
    </w:p>
    <w:p>
      <w:pPr>
        <w:pStyle w:val="MainText"/>
        <w:rPr/>
      </w:pPr>
      <w:r>
        <w:rPr/>
        <w:t>Территориальное учреждение Банка России вправе потребовать от головной кредитной организации банковской (консолидированной) группы представления Отчета на внутриквартальные даты в установленный им срок.</w:t>
      </w:r>
    </w:p>
    <w:p>
      <w:pPr>
        <w:pStyle w:val="MainText"/>
        <w:rPr/>
      </w:pPr>
      <w:r>
        <w:rPr/>
        <w:t>4. Головные кредитные организации банковских (консолидированных) групп представляют по требованию Банка России в течение 10 рабочих дней со дня получения письменного требования Банка России заверенные в установленном порядке копии документов и иную информацию участников банковской (консолидированной) группы, не являющихся кредитными организациями (резидентов и нерезидентов), которые использовались для составления Отчета.</w:t>
      </w:r>
    </w:p>
    <w:p>
      <w:pPr>
        <w:pStyle w:val="MainText"/>
        <w:rPr/>
      </w:pPr>
      <w:r>
        <w:rPr/>
        <w:t>5. Отчет (графы 1, 2, 10, 11) по состоянию на 1 января в соответствии с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годовой публикуемой консолидированной отчетности и подлежит опубликованию. Отчет представляется головными кредитными организациями банковских (консолидированных) групп в территориальные учреждения Банка России, осуществляющие надзор за их деятельностью, не позднее 3 рабочих дней после дня опубликования годовой публикуемой консолидированной отчетности.</w:t>
      </w:r>
    </w:p>
    <w:p>
      <w:pPr>
        <w:pStyle w:val="MainText"/>
        <w:rPr/>
      </w:pPr>
      <w:r>
        <w:rPr/>
        <w:t>Отчет по состоянию на 1 апреля, 1 июля и 1 октября (в случае принятия головной кредитной организацией банковской (консолидированной) группы решения об опубликовании квартальной публикуемой консолидированной отчетности) (графы 1, 2, 10, 11) публикуется головными кредитными организациями банковских (консолидированных) групп и представляется в территориальные учреждения Банка России, осуществляющие надзор за их деятельностью, не позднее 3 рабочих дней после дня его опубликования.</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КОНСОЛИДИРОВАННЫЙ ОТЧЕТ О ПРИБЫЛЯХ И УБЫТКАХ</w:t>
        <w:br/>
        <w:t>за ______ г.</w:t>
      </w:r>
    </w:p>
    <w:p>
      <w:pPr>
        <w:pStyle w:val="MainTextLine155"/>
        <w:rPr/>
      </w:pPr>
      <w:r>
        <w:rPr/>
        <w:t>Cокращенное фирменное наименование головной кредитной организации</w:t>
        <w:tab/>
      </w:r>
    </w:p>
    <w:p>
      <w:pPr>
        <w:pStyle w:val="MainTextLine155"/>
        <w:rPr/>
      </w:pPr>
      <w:r>
        <w:rPr/>
        <w:t>Почтовый адрес</w:t>
        <w:tab/>
      </w:r>
    </w:p>
    <w:p>
      <w:pPr>
        <w:pStyle w:val="MainTextBezOtstupa"/>
        <w:spacing w:before="0" w:after="60"/>
        <w:jc w:val="end"/>
        <w:rPr/>
      </w:pPr>
      <w:r>
        <w:rPr/>
        <w:t>Код формы по ОКУД 0409803</w:t>
        <w:br/>
        <w:t>Квартальная (Годовая)</w:t>
        <w:br/>
        <w:t>тыс. руб.</w:t>
      </w:r>
    </w:p>
    <w:tbl>
      <w:tblPr>
        <w:tblW w:w="16248" w:type="dxa"/>
        <w:jc w:val="center"/>
        <w:tblInd w:w="0" w:type="dxa"/>
        <w:tblLayout w:type="fixed"/>
        <w:tblCellMar>
          <w:top w:w="0" w:type="dxa"/>
          <w:start w:w="28" w:type="dxa"/>
          <w:bottom w:w="0" w:type="dxa"/>
          <w:end w:w="28" w:type="dxa"/>
        </w:tblCellMar>
      </w:tblPr>
      <w:tblGrid>
        <w:gridCol w:w="672"/>
        <w:gridCol w:w="4536"/>
        <w:gridCol w:w="1380"/>
        <w:gridCol w:w="1380"/>
        <w:gridCol w:w="1380"/>
        <w:gridCol w:w="1380"/>
        <w:gridCol w:w="1380"/>
        <w:gridCol w:w="1380"/>
        <w:gridCol w:w="1380"/>
        <w:gridCol w:w="1380"/>
      </w:tblGrid>
      <w:tr>
        <w:trPr>
          <w:tblHeader w:val="true"/>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4536"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Статьи консолидированного отчета о прибылях и убытках</w:t>
            </w:r>
          </w:p>
        </w:tc>
        <w:tc>
          <w:tcPr>
            <w:tcW w:w="138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Показатели головной</w:t>
            </w:r>
          </w:p>
        </w:tc>
        <w:tc>
          <w:tcPr>
            <w:tcW w:w="276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Показатели участников группы</w:t>
            </w:r>
          </w:p>
        </w:tc>
        <w:tc>
          <w:tcPr>
            <w:tcW w:w="138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Промежуточный результат</w:t>
            </w:r>
          </w:p>
        </w:tc>
        <w:tc>
          <w:tcPr>
            <w:tcW w:w="276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Корректировки (в том числе доходы и расходы от взаимных операций)</w:t>
            </w:r>
          </w:p>
        </w:tc>
        <w:tc>
          <w:tcPr>
            <w:tcW w:w="138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Данные на отчетную дату</w:t>
            </w:r>
          </w:p>
        </w:tc>
        <w:tc>
          <w:tcPr>
            <w:tcW w:w="1380"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Данные за соответствующий</w:t>
            </w:r>
          </w:p>
        </w:tc>
      </w:tr>
      <w:tr>
        <w:trPr>
          <w:tblHeader w:val="true"/>
          <w:cantSplit/>
        </w:trPr>
        <w:tc>
          <w:tcPr>
            <w:tcW w:w="672"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rFonts w:cs="Arial"/>
                <w:sz w:val="14"/>
              </w:rPr>
            </w:r>
          </w:p>
        </w:tc>
        <w:tc>
          <w:tcPr>
            <w:tcW w:w="4536" w:type="dxa"/>
            <w:tcBorders>
              <w:start w:val="single" w:sz="6" w:space="0" w:color="000000"/>
              <w:bottom w:val="single" w:sz="6" w:space="0" w:color="000000"/>
              <w:end w:val="single" w:sz="6" w:space="0" w:color="000000"/>
            </w:tcBorders>
          </w:tcPr>
          <w:p>
            <w:pPr>
              <w:pStyle w:val="MainText"/>
              <w:snapToGrid w:val="false"/>
              <w:ind w:hanging="0" w:end="0"/>
              <w:jc w:val="center"/>
              <w:rPr>
                <w:sz w:val="14"/>
              </w:rPr>
            </w:pPr>
            <w:r>
              <w:rPr>
                <w:sz w:val="14"/>
              </w:rPr>
            </w:r>
          </w:p>
        </w:tc>
        <w:tc>
          <w:tcPr>
            <w:tcW w:w="1380"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кредитной организации</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отчет участника А</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отчет участника Б</w:t>
            </w:r>
          </w:p>
        </w:tc>
        <w:tc>
          <w:tcPr>
            <w:tcW w:w="1380"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(гр. 3 + гр. 4 + гр. 5)</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увеличение</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уменьшение</w:t>
            </w:r>
          </w:p>
        </w:tc>
        <w:tc>
          <w:tcPr>
            <w:tcW w:w="1380"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(гр. 6 + гр. 7 – гр. 8)</w:t>
            </w:r>
          </w:p>
        </w:tc>
        <w:tc>
          <w:tcPr>
            <w:tcW w:w="1380" w:type="dxa"/>
            <w:tcBorders>
              <w:start w:val="single" w:sz="6" w:space="0" w:color="000000"/>
              <w:bottom w:val="single" w:sz="6" w:space="0" w:color="000000"/>
              <w:end w:val="single" w:sz="6" w:space="0" w:color="000000"/>
            </w:tcBorders>
          </w:tcPr>
          <w:p>
            <w:pPr>
              <w:pStyle w:val="MainText"/>
              <w:ind w:hanging="0" w:end="0"/>
              <w:jc w:val="center"/>
              <w:rPr>
                <w:sz w:val="14"/>
              </w:rPr>
            </w:pPr>
            <w:r>
              <w:rPr>
                <w:sz w:val="14"/>
              </w:rPr>
              <w:t>период прошлого года</w:t>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Процентные доходы, всего, </w:t>
              <w:br/>
              <w:t>в том числе:</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размещения средств в кредитных организациях</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ссуд, предоставленных клиентам, не являющимся кредитными организациями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оказания услуг по финансовой аренде (лизингу)</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вложений в ценные бумаги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Процентные расходы, всего, </w:t>
              <w:br/>
              <w:t>в том числе:</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привлеченным средствам кредитных организаций</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привлеченным средствам клиентов, не являющихся кредитными организациями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выпущенным долговым обязательствам</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процентные доходы (отрицательная процентная маржа)</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Изменение резерва на возможные потери по ссудам, ссудной и приравненной к ней задолженности, средствам, размещенным на корреспондентских счетах, а также начисленным процентным доходам, всего, </w:t>
              <w:br/>
              <w:t>в том числе:</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начисленным процентным доходам</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процентные доходы (отрицательная процентная маржа) после создания резерва на возможные потери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оцениваемыми по справедливой стоимости через прибыль или убыток</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имеющимися в наличии для продажи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удерживаемыми до погашения</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иностранной валютой</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Чистые доходы от переоценки иностранной валюты, всего, </w:t>
              <w:br/>
              <w:t>в том числе:</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переоценки иностранной валюты участников группы — нерезидентов</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Доходы от участия в капитале других юридических лиц</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Комиссионные доходы</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Комиссионные расходы</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ценным бумагам, имеющимся в наличии для продажи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ценным бумагам, удерживаемым до погашения</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по прочим потерям</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операционные доходы</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(расходы)</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Операционные расходы</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участников группы, не являющихся кредитными организациями, от нефинансовой деятельности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Прибыль (убыток) до налогообложения</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Начисленные (уплаченные) налоги</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Прибыль (убыток) после налогообложения</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Выплаты из прибыли после налогообложения, всего, </w:t>
              <w:br/>
              <w:t>в том числе:</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Распределение между акционерами (участниками) в виде дивидендов</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Отчисления на формирование и пополнение резервного фонда</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Доля прибыли (убытка) зависимых организаций после налогообложения</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 принадлежащая (принадлежащий) группе</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 принадлежащая (принадлежащий) малым акционерам (участникам)</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ind w:hanging="0" w:end="0"/>
              <w:jc w:val="end"/>
              <w:rPr>
                <w:sz w:val="16"/>
              </w:rPr>
            </w:pPr>
            <w:r>
              <w:rPr>
                <w:sz w:val="16"/>
              </w:rPr>
              <w:t>х</w:t>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c>
          <w:tcPr>
            <w:tcW w:w="138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end"/>
              <w:rPr>
                <w:sz w:val="16"/>
              </w:rPr>
            </w:pPr>
            <w:r>
              <w:rPr>
                <w:sz w:val="16"/>
              </w:rPr>
            </w:r>
          </w:p>
        </w:tc>
      </w:tr>
    </w:tbl>
    <w:p>
      <w:pPr>
        <w:pStyle w:val="MainTextLine155"/>
        <w:tabs>
          <w:tab w:val="clear" w:pos="8787"/>
          <w:tab w:val="left" w:pos="6803" w:leader="none"/>
        </w:tabs>
        <w:spacing w:before="120" w:after="0"/>
        <w:rPr/>
      </w:pPr>
      <w:r>
        <w:rPr/>
        <w:t>Руководитель головной кредитной организации</w:t>
        <w:tab/>
        <w:t>(Ф.И.О.)</w:t>
      </w:r>
    </w:p>
    <w:p>
      <w:pPr>
        <w:pStyle w:val="MainTextLine155"/>
        <w:tabs>
          <w:tab w:val="clear" w:pos="8787"/>
          <w:tab w:val="left" w:pos="6803" w:leader="none"/>
        </w:tabs>
        <w:spacing w:before="14" w:after="0"/>
        <w:rPr/>
      </w:pPr>
      <w:r>
        <w:rPr/>
        <w:t>Главный бухгалтер головной кредитной организации</w:t>
        <w:tab/>
        <w:t>(Ф.И.О.)</w:t>
      </w:r>
    </w:p>
    <w:p>
      <w:pPr>
        <w:pStyle w:val="MainTextBezOtstupa"/>
        <w:spacing w:before="14" w:after="0"/>
        <w:rPr/>
      </w:pPr>
      <w:r>
        <w:rPr/>
        <w:t>М.П.</w:t>
      </w:r>
    </w:p>
    <w:p>
      <w:pPr>
        <w:pStyle w:val="MainTextLine155"/>
        <w:tabs>
          <w:tab w:val="clear" w:pos="8787"/>
          <w:tab w:val="left" w:pos="6803" w:leader="none"/>
        </w:tabs>
        <w:spacing w:before="14" w:after="0"/>
        <w:rPr/>
      </w:pPr>
      <w:r>
        <w:rPr/>
        <w:t>Исполнитель</w:t>
        <w:tab/>
        <w:t>(Ф.И.О.)</w:t>
      </w:r>
    </w:p>
    <w:p>
      <w:pPr>
        <w:pStyle w:val="MainTextBezOtstupa"/>
        <w:spacing w:before="14" w:after="0"/>
        <w:rPr/>
      </w:pPr>
      <w:r>
        <w:rPr/>
        <w:t>Телефон:</w:t>
      </w:r>
    </w:p>
    <w:p>
      <w:pPr>
        <w:pStyle w:val="MainTextBezOtstupa"/>
        <w:spacing w:before="14"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0409803 “Консолидированный отчет о прибылях и убытках”</w:t>
      </w:r>
    </w:p>
    <w:p>
      <w:pPr>
        <w:pStyle w:val="MainText"/>
        <w:rPr/>
      </w:pPr>
      <w:r>
        <w:rPr/>
        <w:t>1. Отчетность по форме 0409803 “Консолидированный отчет о прибылях и убытках” (далее — Отчет) составляется головными кредитными организациями банковских (консолидированных) групп в соответствии с Положением Банка России от 30 июля 2002 года № 191-П “О консолидированной отчетности”, зарегистрированным Министерством юстиции Российской Федерации 11 октября 2002 года № 3857, 14 марта 2005 года № 6393, 23 июля 2007 года № 9876 (“Вестник Банка России” от 31 октября 2002 года № 58, от 13 апреля 2005 года № 19, от 2 августа 2007 года № 44), и Положением Банка России от 5 января 2004 года № 246-П “О порядке составления головной кредитной организацией банковской (консолидированной) группы консолидированной отчетности”, зарегистрированным Министерством юстиции Российской Федерации 29 января 2004 года № 5494, 17 марта 2005 года № 6408, 26 июля 2007 года № 9911 (“Вестник Банка России” от 6 февраля 2004 года № 10, от 13 апреля 2005 года № 19, от 2 августа 2007 года № 44) (далее — Положение Банка России № 246-П).</w:t>
      </w:r>
    </w:p>
    <w:p>
      <w:pPr>
        <w:pStyle w:val="MainText"/>
        <w:rPr/>
      </w:pPr>
      <w:r>
        <w:rPr/>
        <w:t>2. При составлении Отчета головная кредитная организация банковской (консолидированной) группы может использовать при включении отчетных данных кредитных организаций — участников банковской (консолидированной) группы алгоритмы формирования статей, приведенные в Порядке составления и представления отчетности по форме 0409807 “Отчет о прибылях и убытках (публикуемая форма)”. При этом головная кредитная организация банковской (консолидированной) группы вправе осуществлять реклассификацию отдельных символов в иные статьи Отчета, чем это определено порядком составления и представления указанной формы отчетности, используя принцип приоритета экономической сущности осуществленных операций над их юридической формой.</w:t>
      </w:r>
    </w:p>
    <w:p>
      <w:pPr>
        <w:pStyle w:val="MainText"/>
        <w:rPr/>
      </w:pPr>
      <w:r>
        <w:rPr/>
        <w:t>Данные участников банковской (консолидированной) группы, не являющихся кредитными организациями, включаются в статьи Отчета в соответствии с порядком, установленным Положением Банка России № 246-П, данные участников банковской (консолидированной) группы — нерезидентов — в соответствии с порядком, установленным в учетной политике банковской (консолидированной) группы.</w:t>
      </w:r>
    </w:p>
    <w:p>
      <w:pPr>
        <w:pStyle w:val="MainText"/>
        <w:rPr/>
      </w:pPr>
      <w:r>
        <w:rPr/>
        <w:t>При формировании Отчета в заголовочной части в графах 4, 5 указывается полное наименование участника банковской (консолидированной) группы в соответствии с пунктом 3 Порядка составления и представления отчетности по форме 0409801 “Отчет о составе участников банковской (консолидированной) группы”. При этом транскрипция наименования одного и того же участника банковской (консолидированной) группы должна быть неизменной на протяжении всех отчетных периодов составления консолидированной отчетности. В случае изменения наименования участника банковской (консолидированной) группы в Отчете указывается его новое наименование, а в скобках — прежнее.</w:t>
      </w:r>
    </w:p>
    <w:p>
      <w:pPr>
        <w:pStyle w:val="MainText"/>
        <w:rPr/>
      </w:pPr>
      <w:r>
        <w:rPr/>
        <w:t>3. Отчет представляется в территориальные учреждения Банка России (без заполнения графы 10):</w:t>
      </w:r>
    </w:p>
    <w:p>
      <w:pPr>
        <w:pStyle w:val="MainText"/>
        <w:rPr/>
      </w:pPr>
      <w:r>
        <w:rPr/>
        <w:t>по состоянию на 1 апреля, 1 июля, 1 октября:</w:t>
      </w:r>
    </w:p>
    <w:p>
      <w:pPr>
        <w:pStyle w:val="MainText"/>
        <w:rPr/>
      </w:pPr>
      <w:r>
        <w:rPr/>
        <w:t>головными кредитными организациями банковских (консолидированных) групп (за исключением головных кредитных организаций банковских (консолидированных) групп, являющихся крупными кредитными организациями с широкой сетью подразделений) — не позднее 1-го месяца квартала, следующего за отчетным;</w:t>
      </w:r>
    </w:p>
    <w:p>
      <w:pPr>
        <w:pStyle w:val="MainText"/>
        <w:rPr/>
      </w:pPr>
      <w:r>
        <w:rPr/>
        <w:t>головными кредитными организациями банковских (консолидированных) групп, являющимися крупными кредитными организациями с широкой сетью подразделений, — не позднее 8-го рабочего дня второго месяца квартала, следующего за отчетным;</w:t>
      </w:r>
    </w:p>
    <w:p>
      <w:pPr>
        <w:pStyle w:val="MainText"/>
        <w:rPr/>
      </w:pPr>
      <w:r>
        <w:rPr/>
        <w:t>по состоянию на 1 января — в срок не более 2 месяцев года, следующего за отчетным.</w:t>
      </w:r>
    </w:p>
    <w:p>
      <w:pPr>
        <w:pStyle w:val="MainText"/>
        <w:rPr/>
      </w:pPr>
      <w:r>
        <w:rPr/>
        <w:t>Территориальное учреждение Банка России вправе потребовать от головной кредитной организации банковской (консолидированной) группы представления Отчета на внутриквартальные даты в установленный им срок.</w:t>
      </w:r>
    </w:p>
    <w:p>
      <w:pPr>
        <w:pStyle w:val="MainText"/>
        <w:rPr/>
      </w:pPr>
      <w:r>
        <w:rPr/>
        <w:t>4. Головные кредитные организации банковских (консолидированных) групп представляют по требованию Банка России в течение 10 рабочих дней со дня получения письменного требования Банка России заверенные в установленном порядке копии документов и иную информацию участников банковской (консолидированной) группы, не являющихся кредитными организациями (резидентов и нерезидентов), которые использовались для составления Отчета.</w:t>
      </w:r>
    </w:p>
    <w:p>
      <w:pPr>
        <w:pStyle w:val="MainText"/>
        <w:rPr/>
      </w:pPr>
      <w:r>
        <w:rPr/>
        <w:t>5. Отчет (графы 1, 2, 9, 10) по состоянию на 1 января в соответствии с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годовой публикуемой консолидированной отчетности и подлежит опубликованию. Отчет представляется головными кредитными организациями банковских (консолидированных) групп в территориальные учреждения Банка России, осуществляющие надзор за их деятельностью, не позднее 3 рабочих дней после дня опубликования годовой публикуемой консолидированной отчетности.</w:t>
      </w:r>
    </w:p>
    <w:p>
      <w:pPr>
        <w:pStyle w:val="MainText"/>
        <w:rPr/>
      </w:pPr>
      <w:r>
        <w:rPr/>
        <w:t>Отчет по состоянию на 1 апреля, 1 июля и 1 октября (в случае принятия головной кредитной организацией банковской (консолидированной) группы решения об опубликовании квартальной публикуемой консолидированной отчетности) (графы 1, 2, 9, 10) публикуется головными кредитными организациями банковских (консолидированных) групп и представляется в территориальные учреждения Банка России, осуществляющие надзор за их деятельностью, не позднее 3 рабочих дней после дня его опубликования.</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ОТЧЕТ ОБ ОБЯЗАТЕЛЬНЫХ НОРМАТИВАХ БАНКОВСКОЙ (КОНСОЛИДИРОВАННОЙ) ГРУППЫ</w:t>
        <w:br/>
        <w:t>по состоянию на “</w:t>
      </w:r>
      <w:r>
        <w:rPr/>
        <w:t>___” __________ _____</w:t>
      </w:r>
      <w:r>
        <w:rPr>
          <w:b w:val="false"/>
        </w:rPr>
        <w:t xml:space="preserve"> </w:t>
      </w:r>
      <w:r>
        <w:rPr/>
        <w:t>г.</w:t>
      </w:r>
    </w:p>
    <w:p>
      <w:pPr>
        <w:pStyle w:val="MainTextLine155"/>
        <w:rPr/>
      </w:pPr>
      <w:r>
        <w:rPr/>
        <w:t>Cокращенное фирменное наименование головной кредитной организации</w:t>
        <w:tab/>
      </w:r>
    </w:p>
    <w:p>
      <w:pPr>
        <w:pStyle w:val="MainTextLine155"/>
        <w:rPr/>
      </w:pPr>
      <w:r>
        <w:rPr/>
        <w:t>Почтовый адрес</w:t>
        <w:tab/>
      </w:r>
    </w:p>
    <w:p>
      <w:pPr>
        <w:pStyle w:val="MainTextBezOtstupa"/>
        <w:spacing w:before="120" w:after="0"/>
        <w:jc w:val="end"/>
        <w:rPr/>
      </w:pPr>
      <w:r>
        <w:rPr/>
        <w:t>Код формы по ОКУД 0409805</w:t>
        <w:br/>
        <w:t>Квартальная (Годовая)</w:t>
        <w:br/>
        <w:t>тыс. руб.</w:t>
      </w:r>
    </w:p>
    <w:p>
      <w:pPr>
        <w:pStyle w:val="MGlavaCenter"/>
        <w:keepNext w:val="false"/>
        <w:spacing w:before="0" w:after="120"/>
        <w:rPr>
          <w:b w:val="false"/>
        </w:rPr>
      </w:pPr>
      <w:r>
        <w:rPr/>
        <w:t>Раздел I. Собственные средства</w:t>
      </w:r>
    </w:p>
    <w:tbl>
      <w:tblPr>
        <w:tblW w:w="10989" w:type="dxa"/>
        <w:jc w:val="center"/>
        <w:tblInd w:w="0" w:type="dxa"/>
        <w:tblLayout w:type="fixed"/>
        <w:tblCellMar>
          <w:top w:w="0" w:type="dxa"/>
          <w:start w:w="28" w:type="dxa"/>
          <w:bottom w:w="0" w:type="dxa"/>
          <w:end w:w="28" w:type="dxa"/>
        </w:tblCellMar>
      </w:tblPr>
      <w:tblGrid>
        <w:gridCol w:w="817"/>
        <w:gridCol w:w="9072"/>
        <w:gridCol w:w="1100"/>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показателя</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Сумма</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1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Подраздел I. Источники собственных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Средства акционеров (участников)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Эмиссионный доход</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Резервный фонд</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Нераспределенная прибыль (непокрытые убытки) прошлых лет, всего, </w:t>
              <w:br/>
              <w:t>в том числе:</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Прирост стоимости имущества за счет переоценки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Неиспользованная прибыль (убыток) за отчетный период, всего, </w:t>
              <w:br/>
              <w:t>в том числе:</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переоценка ценных бумаг, текущая (справедливая) стоимость которых определяется как средневзвешенная цена, раскрываемая организатором торговли на рынке ценных бумаг</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 по подразделу I</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Подраздел II. Статьи, увеличивающие источники собственных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Субординированные кредиты (депозиты, займы, облигационные займы) (по остаточной стоимости)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Подраздел III. Статьи, уменьшающие источники собственных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Незарегистрированный уставный капитал головной кредитной организации, созданной в форме общества с ограниченной ответственностью</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Уставный капитал (его часть) и иные источники собственных средств (их часть), для формирования которых использованы ненадлежащие активы</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Собственные акции (доли), выкупленные у акционеров (участников)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Положительная деловая репутация (по остаточной стоимости)</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Величина недосозданных резервов на возможные потери, в том числе по ссудам и под операции с резидентами офшорных зон</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Просроченная дебиторская задолженность длительностью свыше 30 календарных дней</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Вложения в акции (доли) дочерних, зависимых и совместных организаций</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Субординированные кредиты (депозиты, займы, облигационные займы), предоставленные юридическим лицам</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 по подразделу III</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Всего собственных средств группы</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19</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Собственные средства, принадлежащие малым акционерам (участникам)</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w:t>
            </w:r>
          </w:p>
        </w:tc>
        <w:tc>
          <w:tcPr>
            <w:tcW w:w="907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 собственных средств группы и малых акционеров (участников)</w:t>
            </w:r>
          </w:p>
        </w:tc>
        <w:tc>
          <w:tcPr>
            <w:tcW w:w="11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GlavaCenter"/>
        <w:keepNext w:val="false"/>
        <w:keepLines w:val="false"/>
        <w:spacing w:before="240" w:after="120"/>
        <w:rPr>
          <w:b w:val="false"/>
        </w:rPr>
      </w:pPr>
      <w:r>
        <w:rPr/>
        <w:t>Раздел II. Значения обязательных нормативов</w:t>
      </w:r>
    </w:p>
    <w:tbl>
      <w:tblPr>
        <w:tblW w:w="10990" w:type="dxa"/>
        <w:jc w:val="center"/>
        <w:tblInd w:w="0" w:type="dxa"/>
        <w:tblLayout w:type="fixed"/>
        <w:tblCellMar>
          <w:top w:w="0" w:type="dxa"/>
          <w:start w:w="28" w:type="dxa"/>
          <w:bottom w:w="0" w:type="dxa"/>
          <w:end w:w="28" w:type="dxa"/>
        </w:tblCellMar>
      </w:tblPr>
      <w:tblGrid>
        <w:gridCol w:w="2376"/>
        <w:gridCol w:w="2553"/>
        <w:gridCol w:w="6061"/>
      </w:tblGrid>
      <w:tr>
        <w:trPr>
          <w:cantSplit/>
        </w:trPr>
        <w:tc>
          <w:tcPr>
            <w:tcW w:w="23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Обязательные нормативы</w:t>
            </w:r>
          </w:p>
        </w:tc>
        <w:tc>
          <w:tcPr>
            <w:tcW w:w="255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Значение обязательного норматива</w:t>
            </w:r>
          </w:p>
        </w:tc>
        <w:tc>
          <w:tcPr>
            <w:tcW w:w="606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Значения показателей, используемых для расчета обязательных нормативов (знаменатель (для Н1), числитель (для Н7, Н12)</w:t>
            </w:r>
          </w:p>
        </w:tc>
      </w:tr>
      <w:tr>
        <w:trPr>
          <w:cantSplit/>
        </w:trPr>
        <w:tc>
          <w:tcPr>
            <w:tcW w:w="2376" w:type="dxa"/>
            <w:tcBorders>
              <w:top w:val="single" w:sz="6" w:space="0" w:color="000000"/>
              <w:start w:val="single" w:sz="6" w:space="0" w:color="000000"/>
              <w:end w:val="single" w:sz="6" w:space="0" w:color="000000"/>
            </w:tcBorders>
          </w:tcPr>
          <w:p>
            <w:pPr>
              <w:pStyle w:val="MainText"/>
              <w:ind w:hanging="0" w:end="0"/>
              <w:jc w:val="center"/>
              <w:rPr/>
            </w:pPr>
            <w:r>
              <w:rPr/>
              <w:t>1</w:t>
            </w:r>
          </w:p>
        </w:tc>
        <w:tc>
          <w:tcPr>
            <w:tcW w:w="2553" w:type="dxa"/>
            <w:tcBorders>
              <w:top w:val="single" w:sz="6" w:space="0" w:color="000000"/>
              <w:start w:val="single" w:sz="6" w:space="0" w:color="000000"/>
              <w:end w:val="single" w:sz="6" w:space="0" w:color="000000"/>
            </w:tcBorders>
          </w:tcPr>
          <w:p>
            <w:pPr>
              <w:pStyle w:val="MainText"/>
              <w:ind w:hanging="0" w:end="0"/>
              <w:jc w:val="center"/>
              <w:rPr/>
            </w:pPr>
            <w:r>
              <w:rPr/>
              <w:t>2</w:t>
            </w:r>
          </w:p>
        </w:tc>
        <w:tc>
          <w:tcPr>
            <w:tcW w:w="6061" w:type="dxa"/>
            <w:tcBorders>
              <w:top w:val="single" w:sz="6" w:space="0" w:color="000000"/>
              <w:start w:val="single" w:sz="6" w:space="0" w:color="000000"/>
              <w:end w:val="single" w:sz="6" w:space="0" w:color="000000"/>
            </w:tcBorders>
          </w:tcPr>
          <w:p>
            <w:pPr>
              <w:pStyle w:val="MainText"/>
              <w:ind w:hanging="0" w:end="0"/>
              <w:jc w:val="center"/>
              <w:rPr/>
            </w:pPr>
            <w:r>
              <w:rPr/>
              <w:t>3</w:t>
            </w:r>
          </w:p>
        </w:tc>
      </w:tr>
      <w:tr>
        <w:trPr>
          <w:cantSplit/>
        </w:trPr>
        <w:tc>
          <w:tcPr>
            <w:tcW w:w="2376" w:type="dxa"/>
            <w:tcBorders>
              <w:top w:val="single" w:sz="6" w:space="0" w:color="000000"/>
              <w:start w:val="single" w:sz="6" w:space="0" w:color="000000"/>
              <w:end w:val="single" w:sz="6" w:space="0" w:color="000000"/>
            </w:tcBorders>
          </w:tcPr>
          <w:p>
            <w:pPr>
              <w:pStyle w:val="MainText"/>
              <w:ind w:hanging="0" w:end="0"/>
              <w:jc w:val="center"/>
              <w:rPr/>
            </w:pPr>
            <w:r>
              <w:rPr/>
              <w:t>Н1</w:t>
            </w:r>
          </w:p>
        </w:tc>
        <w:tc>
          <w:tcPr>
            <w:tcW w:w="2553" w:type="dxa"/>
            <w:tcBorders>
              <w:top w:val="single" w:sz="6" w:space="0" w:color="000000"/>
              <w:start w:val="single" w:sz="6" w:space="0" w:color="000000"/>
              <w:end w:val="single" w:sz="6" w:space="0" w:color="000000"/>
            </w:tcBorders>
          </w:tcPr>
          <w:p>
            <w:pPr>
              <w:pStyle w:val="MainText"/>
              <w:snapToGrid w:val="false"/>
              <w:ind w:hanging="0" w:end="0"/>
              <w:jc w:val="center"/>
              <w:rPr/>
            </w:pPr>
            <w:r>
              <w:rPr/>
            </w:r>
          </w:p>
        </w:tc>
        <w:tc>
          <w:tcPr>
            <w:tcW w:w="6061" w:type="dxa"/>
            <w:tcBorders>
              <w:top w:val="single" w:sz="6" w:space="0" w:color="000000"/>
              <w:start w:val="single" w:sz="6" w:space="0" w:color="000000"/>
              <w:end w:val="single" w:sz="6" w:space="0" w:color="000000"/>
            </w:tcBorders>
          </w:tcPr>
          <w:p>
            <w:pPr>
              <w:pStyle w:val="MainText"/>
              <w:snapToGrid w:val="false"/>
              <w:ind w:hanging="0" w:end="0"/>
              <w:jc w:val="center"/>
              <w:rPr/>
            </w:pPr>
            <w:r>
              <w:rPr/>
            </w:r>
          </w:p>
        </w:tc>
      </w:tr>
      <w:tr>
        <w:trPr>
          <w:cantSplit/>
        </w:trPr>
        <w:tc>
          <w:tcPr>
            <w:tcW w:w="2376" w:type="dxa"/>
            <w:tcBorders>
              <w:start w:val="single" w:sz="6" w:space="0" w:color="000000"/>
              <w:end w:val="single" w:sz="6" w:space="0" w:color="000000"/>
            </w:tcBorders>
          </w:tcPr>
          <w:p>
            <w:pPr>
              <w:pStyle w:val="MainText"/>
              <w:ind w:hanging="0" w:end="0"/>
              <w:jc w:val="center"/>
              <w:rPr/>
            </w:pPr>
            <w:r>
              <w:rPr/>
              <w:t>Н7</w:t>
            </w:r>
          </w:p>
        </w:tc>
        <w:tc>
          <w:tcPr>
            <w:tcW w:w="2553" w:type="dxa"/>
            <w:tcBorders>
              <w:start w:val="single" w:sz="6" w:space="0" w:color="000000"/>
              <w:end w:val="single" w:sz="6" w:space="0" w:color="000000"/>
            </w:tcBorders>
          </w:tcPr>
          <w:p>
            <w:pPr>
              <w:pStyle w:val="MainText"/>
              <w:snapToGrid w:val="false"/>
              <w:ind w:hanging="0" w:end="0"/>
              <w:jc w:val="center"/>
              <w:rPr/>
            </w:pPr>
            <w:r>
              <w:rPr/>
            </w:r>
          </w:p>
        </w:tc>
        <w:tc>
          <w:tcPr>
            <w:tcW w:w="6061" w:type="dxa"/>
            <w:tcBorders>
              <w:start w:val="single" w:sz="6" w:space="0" w:color="000000"/>
              <w:end w:val="single" w:sz="6" w:space="0" w:color="000000"/>
            </w:tcBorders>
          </w:tcPr>
          <w:p>
            <w:pPr>
              <w:pStyle w:val="MainText"/>
              <w:snapToGrid w:val="false"/>
              <w:ind w:hanging="0" w:end="0"/>
              <w:jc w:val="center"/>
              <w:rPr/>
            </w:pPr>
            <w:r>
              <w:rPr/>
            </w:r>
          </w:p>
        </w:tc>
      </w:tr>
      <w:tr>
        <w:trPr>
          <w:cantSplit/>
        </w:trPr>
        <w:tc>
          <w:tcPr>
            <w:tcW w:w="2376" w:type="dxa"/>
            <w:tcBorders>
              <w:start w:val="single" w:sz="6" w:space="0" w:color="000000"/>
              <w:bottom w:val="single" w:sz="6" w:space="0" w:color="000000"/>
              <w:end w:val="single" w:sz="6" w:space="0" w:color="000000"/>
            </w:tcBorders>
          </w:tcPr>
          <w:p>
            <w:pPr>
              <w:pStyle w:val="MainText"/>
              <w:ind w:hanging="0" w:end="0"/>
              <w:jc w:val="center"/>
              <w:rPr/>
            </w:pPr>
            <w:r>
              <w:rPr/>
              <w:t>Н12</w:t>
            </w:r>
          </w:p>
        </w:tc>
        <w:tc>
          <w:tcPr>
            <w:tcW w:w="2553" w:type="dxa"/>
            <w:tcBorders>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6061" w:type="dxa"/>
            <w:tcBorders>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GlavaCenter"/>
        <w:keepNext w:val="false"/>
        <w:keepLines w:val="false"/>
        <w:spacing w:before="240" w:after="120"/>
        <w:rPr>
          <w:b w:val="false"/>
        </w:rPr>
      </w:pPr>
      <w:r>
        <w:br w:type="page"/>
      </w:r>
      <w:r>
        <w:rPr/>
        <w:t>Раздел III. Информация о заемщиках (группе связанных заемщиков), по которым (по которой) нарушен обязательный норматив Н6</w:t>
      </w:r>
    </w:p>
    <w:tbl>
      <w:tblPr>
        <w:tblW w:w="10989" w:type="dxa"/>
        <w:jc w:val="center"/>
        <w:tblInd w:w="0" w:type="dxa"/>
        <w:tblLayout w:type="fixed"/>
        <w:tblCellMar>
          <w:top w:w="0" w:type="dxa"/>
          <w:start w:w="28" w:type="dxa"/>
          <w:bottom w:w="0" w:type="dxa"/>
          <w:end w:w="28" w:type="dxa"/>
        </w:tblCellMar>
      </w:tblPr>
      <w:tblGrid>
        <w:gridCol w:w="2943"/>
        <w:gridCol w:w="2682"/>
        <w:gridCol w:w="2682"/>
        <w:gridCol w:w="2682"/>
      </w:tblGrid>
      <w:tr>
        <w:trPr>
          <w:cantSplit/>
        </w:trPr>
        <w:tc>
          <w:tcPr>
            <w:tcW w:w="294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заемщика (группы связанных заемщиков)</w:t>
            </w:r>
          </w:p>
        </w:tc>
        <w:tc>
          <w:tcPr>
            <w:tcW w:w="268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Величина крупных кредитов</w:t>
            </w:r>
          </w:p>
        </w:tc>
        <w:tc>
          <w:tcPr>
            <w:tcW w:w="268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Величина КРЗ</w:t>
            </w:r>
          </w:p>
        </w:tc>
        <w:tc>
          <w:tcPr>
            <w:tcW w:w="268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Числовое значение нарушенного норматива</w:t>
            </w:r>
          </w:p>
        </w:tc>
      </w:tr>
      <w:tr>
        <w:trPr>
          <w:cantSplit/>
        </w:trPr>
        <w:tc>
          <w:tcPr>
            <w:tcW w:w="294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268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268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268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r>
      <w:tr>
        <w:trPr>
          <w:cantSplit/>
        </w:trPr>
        <w:tc>
          <w:tcPr>
            <w:tcW w:w="294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294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294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294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682"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6803" w:leader="none"/>
        </w:tabs>
        <w:spacing w:before="120" w:after="0"/>
        <w:rPr/>
      </w:pPr>
      <w:r>
        <w:rPr/>
        <w:t>Руководитель головной кредитной организации</w:t>
        <w:tab/>
        <w:t>(Ф.И.О.)</w:t>
      </w:r>
    </w:p>
    <w:p>
      <w:pPr>
        <w:pStyle w:val="MainTextLine155"/>
        <w:tabs>
          <w:tab w:val="clear" w:pos="8787"/>
          <w:tab w:val="left" w:pos="6803" w:leader="none"/>
        </w:tabs>
        <w:spacing w:before="57" w:after="0"/>
        <w:rPr/>
      </w:pPr>
      <w:r>
        <w:rPr/>
        <w:t>Главный бухгалтер головной кредитной организации</w:t>
        <w:tab/>
        <w:t>(Ф.И.О.)</w:t>
      </w:r>
    </w:p>
    <w:p>
      <w:pPr>
        <w:pStyle w:val="MainTextBezOtstupa"/>
        <w:spacing w:before="57" w:after="0"/>
        <w:rPr/>
      </w:pPr>
      <w:r>
        <w:rPr/>
        <w:t>М.П.</w:t>
      </w:r>
    </w:p>
    <w:p>
      <w:pPr>
        <w:pStyle w:val="MainTextLine155"/>
        <w:tabs>
          <w:tab w:val="clear" w:pos="8787"/>
          <w:tab w:val="left" w:pos="6803"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0409805 “Отчет об обязательных нормативах банковской (консолидированной) группы”</w:t>
      </w:r>
    </w:p>
    <w:p>
      <w:pPr>
        <w:pStyle w:val="MainText"/>
        <w:rPr/>
      </w:pPr>
      <w:r>
        <w:rPr/>
        <w:t>1. Отчетность по форме 0409805 “Отчет об обязательных нормативах банковской (консолидированной) группы” (далее — Отчет) составляется головными кредитными организациями банковских (консолидированных) групп в соответствии с Положением Банка России от 30 июля 2002 года № 191-П “О консолидированной отчетности”, зарегистрированным Министерством юстиции Российской Федерации 11 октября 2002 года № 3857, 14 марта 2005 года № 6393, 23 июля 2007 года № 9876 (“Вестник Банка России” от 31 октября 2002 года № 58, от 13 апреля 2005 года № 19, от 2 августа 2007 года № 44), и Положением Банка России от 5 января 2004 года № 246-П “О порядке составления головной кредитной организацией банковской (консолидированной) группы консолидированной отчетности”, зарегистрированным Министерством юстиции Российской Федерации 29 января 2004 года № 5494, 17 марта 2005 года № 6408, 26 июля 2007 года № 9911 (“Вестник Банка России” от 6 февраля 2004 года № 10, от 13 апреля 2005 года № 19, от 2 августа 2007 года № 44).</w:t>
      </w:r>
    </w:p>
    <w:p>
      <w:pPr>
        <w:pStyle w:val="MainText"/>
        <w:rPr/>
      </w:pPr>
      <w:r>
        <w:rPr/>
        <w:t>2. При составлении Отчета головная кредитная организация банковской (консолидированной) группы руководствуется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17 июля 2006 года № 8091, 7 марта 2007 года № 9072, 26 июля 2007 года № 9910, 20 декабря 2007 года № 10778, 12 декабря 2008 года № 12840, 19 декабря 2008 года № 12905, 29 июня 2009 года № 14161 (“Вестник Банка России” от 20 марта 2003 года № 15, от 26 июля 2006 года № 41, от 14 марта 2007 года № 14, от 2 августа 2007 года № 44, от 26 декабря 2007 года № 71, от 17 декабря 2008 года № 73, от 24 декабря 2008 года № 74, от 8 июля 2009 года № 40).</w:t>
      </w:r>
    </w:p>
    <w:p>
      <w:pPr>
        <w:pStyle w:val="MainText"/>
        <w:rPr/>
      </w:pPr>
      <w:r>
        <w:rPr/>
        <w:t>3. Для расчета значений обязательных нормативов, отражаемых в разделах II и III Отчета, используются данные строки 18 раздела I Отчета.</w:t>
      </w:r>
    </w:p>
    <w:p>
      <w:pPr>
        <w:pStyle w:val="MainText"/>
        <w:rPr/>
      </w:pPr>
      <w:r>
        <w:rPr/>
        <w:t>4. Отчет представляется в территориальные учреждения Банка России:</w:t>
      </w:r>
    </w:p>
    <w:p>
      <w:pPr>
        <w:pStyle w:val="MainText"/>
        <w:rPr/>
      </w:pPr>
      <w:r>
        <w:rPr/>
        <w:t>по состоянию на 1 апреля, 1 июля, 1 октября:</w:t>
      </w:r>
    </w:p>
    <w:p>
      <w:pPr>
        <w:pStyle w:val="MainText"/>
        <w:rPr/>
      </w:pPr>
      <w:r>
        <w:rPr/>
        <w:t>головными кредитными организациями банковских (консолидированных) групп (за исключением головных кредитных организаций банковских (консолидированных) групп, являющихся крупными кредитными организациями с широкой сетью подразделений), — не позднее 1-го месяца квартала, следующего за отчетным;</w:t>
      </w:r>
    </w:p>
    <w:p>
      <w:pPr>
        <w:pStyle w:val="MainText"/>
        <w:rPr/>
      </w:pPr>
      <w:r>
        <w:rPr/>
        <w:t>головными кредитными организациями банковских (консолидированных) групп, являющимися крупными кредитными организациями с широкой сетью подразделений, — не позднее 8-го рабочего дня второго месяца квартала, следующего за отчетным;</w:t>
      </w:r>
    </w:p>
    <w:p>
      <w:pPr>
        <w:pStyle w:val="MainText"/>
        <w:rPr/>
      </w:pPr>
      <w:r>
        <w:rPr/>
        <w:t>по состоянию на 1 января — в срок не позднее 2 месяцев года, следующего за отчетным.</w:t>
      </w:r>
    </w:p>
    <w:p>
      <w:pPr>
        <w:pStyle w:val="MainText"/>
        <w:rPr/>
      </w:pPr>
      <w:r>
        <w:rPr/>
        <w:t>Территориальное учреждение Банка России вправе потребовать от головной кредитной организации банковской (консолидированной) группы представления Отчета на внутриквартальные даты в установленный им срок.</w:t>
      </w:r>
    </w:p>
    <w:p>
      <w:pPr>
        <w:pStyle w:val="MainText"/>
        <w:rPr/>
      </w:pPr>
      <w:r>
        <w:rPr/>
        <w:t>5. Головные кредитные организации банковских (консолидированных) групп представляют по требованию Банка России в течение 10 рабочих дней со дня получения письменного требования Банка России заверенные в установленном порядке копии документов и иную информацию участников банковской (консолидированной) группы, не являющихся кредитными организациями (резидентов и нерезидентов), которые использовались для составления Отчета.</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БУХГАЛТЕРСКИЙ БАЛАНС </w:t>
        <w:br/>
        <w:t xml:space="preserve">(публикуемая форма) </w:t>
        <w:br/>
        <w:t>на “</w:t>
      </w:r>
      <w:r>
        <w:rPr/>
        <w:t>___” __________ _____</w:t>
      </w:r>
      <w:r>
        <w:rPr>
          <w:b w:val="false"/>
        </w:rPr>
        <w:t xml:space="preserve"> </w:t>
      </w:r>
      <w:r>
        <w:rPr/>
        <w:t>г.</w:t>
      </w:r>
    </w:p>
    <w:p>
      <w:pPr>
        <w:pStyle w:val="MainTextLine155"/>
        <w:tabs>
          <w:tab w:val="clear" w:pos="8787"/>
          <w:tab w:val="right" w:pos="8220" w:leader="underscore"/>
        </w:tabs>
        <w:rPr/>
      </w:pPr>
      <w:r>
        <w:rPr/>
        <w:t>Кредитной организации</w:t>
        <w:tab/>
      </w:r>
    </w:p>
    <w:p>
      <w:pPr>
        <w:pStyle w:val="MainTextBezOtstupa"/>
        <w:spacing w:before="0" w:after="57"/>
        <w:ind w:end="708"/>
        <w:jc w:val="center"/>
        <w:rPr>
          <w:sz w:val="16"/>
        </w:rPr>
      </w:pPr>
      <w:r>
        <w:rPr>
          <w:sz w:val="16"/>
        </w:rPr>
        <w:t>(полное фирменное и сокращенное фирменное наименование)</w:t>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0409806</w:t>
        <w:br/>
        <w:t>Квартальная (Годовая)</w:t>
        <w:br/>
        <w:t>тыс. руб.</w:t>
      </w:r>
    </w:p>
    <w:tbl>
      <w:tblPr>
        <w:tblW w:w="10987" w:type="dxa"/>
        <w:jc w:val="center"/>
        <w:tblInd w:w="0" w:type="dxa"/>
        <w:tblLayout w:type="fixed"/>
        <w:tblCellMar>
          <w:top w:w="0" w:type="dxa"/>
          <w:start w:w="28" w:type="dxa"/>
          <w:bottom w:w="0" w:type="dxa"/>
          <w:end w:w="28" w:type="dxa"/>
        </w:tblCellMar>
      </w:tblPr>
      <w:tblGrid>
        <w:gridCol w:w="817"/>
        <w:gridCol w:w="7370"/>
        <w:gridCol w:w="1344"/>
        <w:gridCol w:w="1456"/>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73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статьи</w:t>
            </w:r>
          </w:p>
        </w:tc>
        <w:tc>
          <w:tcPr>
            <w:tcW w:w="13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Данные на отчетную дату</w:t>
            </w:r>
          </w:p>
        </w:tc>
        <w:tc>
          <w:tcPr>
            <w:tcW w:w="14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Данные на соответствующую отчетную дату прошлого года</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737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34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4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r>
      <w:tr>
        <w:trPr>
          <w:cantSplit/>
        </w:trPr>
        <w:tc>
          <w:tcPr>
            <w:tcW w:w="10987"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 АКТИВЫ</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Денежные средства</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кредитных организаций в Центральном банке Российской Федерации</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Обязательные резервы</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в кредитных организациях</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оцениваемые по справедливой стоимости через прибыль или убыток</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Чистая ссудная задолженность</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и другие финансовые активы, имеющиеся в наличии для продажи</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Инвестиции в дочерние и зависимые организации</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удерживаемые до погашения</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Основные средства, нематериальные активы и материальные запасы</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активы</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активов</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7"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 ПАССИВЫ</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Кредиты, депозиты и прочие средства Центрального банка Российской Федерации</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кредитных организаций</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клиентов, не являющихся кредитными организациями</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Вклады физических лиц</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Финансовые обязательства, оцениваемые по справедливой стоимости через прибыль или убыток</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Выпущенные долговые обязательства</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обязательства</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Резервы на возможные потери по условным обязательствам кредитного характера, прочим возможным потерям и операциям с резидентами офшорных зон</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обязательств</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7"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III. ИСТОЧНИКИ СОБСТВЕННЫХ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акционеров (участников)</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Собственные акции (доли), выкупленные у акционеров (участников)</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Эмиссионный доход</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Резервный фонд</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по справедливой стоимости ценных бумаг, имеющихся в наличии для продажи</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основных средств</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Нераспределенная прибыль (непокрытые убытки) прошлых лет</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источников собственных средств</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0987"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IV. ВНЕБАЛАНСОВЫЕ ОБЯЗАТЕЛЬСТВА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Безотзывные обязательства кредитной организации</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29</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Выданные кредитной организацией гарантии и поручительства</w:t>
            </w:r>
          </w:p>
        </w:tc>
        <w:tc>
          <w:tcPr>
            <w:tcW w:w="134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0409806 “Бухгалтерский баланс (публикуемая форма)”</w:t>
      </w:r>
    </w:p>
    <w:p>
      <w:pPr>
        <w:pStyle w:val="MainText"/>
        <w:rPr/>
      </w:pPr>
      <w:r>
        <w:rPr/>
        <w:t>1. Отчетность по форме 0409806 “Бухгалтерский баланс (публикуемая форма)” (далее — Отчет) по состоянию на 1 января в соответствии с Указанием Банка России от 8 октября 2008 года № 2089-У “О порядке составления кредитными организациями годового отчета”, зарегистрированным Министерством юстиции Российской Федерации 28 ноября 2008 года № 12753 (“Вестник Банка России” от 4 декабря 2008 года № 71), и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годового отчета кредитной организации и подлежит опубликованию. Отчет представляется кредитными организациями (включая небанковские кредитные организации) в территориальные учреждения Банка России, осуществляющие надзор за их деятельностью, не позднее 3 рабочих дней после дня опубликования годового отчета.</w:t>
      </w:r>
    </w:p>
    <w:p>
      <w:pPr>
        <w:pStyle w:val="MainText"/>
        <w:rPr/>
      </w:pPr>
      <w:r>
        <w:rPr/>
        <w:t>Отчет по состоянию на 1 апреля, 1 июля и 1 октября публикуется кредитными организациями (за исключением небанковских кредитных организаций) и представляется в территориальные учреждения Банка России, осуществляющие надзор за их деятельностью, не позднее 3 рабочих дней после дня его опубликования.</w:t>
      </w:r>
    </w:p>
    <w:p>
      <w:pPr>
        <w:pStyle w:val="MainText"/>
        <w:rPr/>
      </w:pPr>
      <w:r>
        <w:rPr/>
        <w:t>2. Отчет составляется на основе “Разработочной таблицы для составления Бухгалтерского баланса (публикуемая форма)” настоящего Порядка (далее — Разработочная таблица).</w:t>
      </w:r>
    </w:p>
    <w:p>
      <w:pPr>
        <w:pStyle w:val="MainText"/>
        <w:rPr/>
      </w:pPr>
      <w:r>
        <w:rPr/>
        <w:t>В случае если остатки по каким-либо балансовым счетам отчетности по форме 0409101 “Оборотная ведомость по счетам бухгалтерского учета кредитной организации” (далее — форма 0409101) за отчетный период не включены в Отчет ввиду их отсутствия в Разработочной таблице, их следует отражать по той статье Отчета, которая по экономическому содержанию соответствует операции, отраженной на этом балансовом счете, либо по статьям “Прочие активы” и “Прочие обязательства” — в зависимости от характеристики счета (активный или пассивный).</w:t>
      </w:r>
    </w:p>
    <w:p>
      <w:pPr>
        <w:pStyle w:val="MainText"/>
        <w:rPr/>
      </w:pPr>
      <w:r>
        <w:rPr/>
        <w:t>При формировании статей Отчета кредитные организации могут осуществлять реклассификацию отдельных балансовых счетов в иные статьи Отчета, чем это определено Разработочной таблицей, используя принцип приоритета экономической сущности осуществленных операций над их юридической формой.</w:t>
      </w:r>
    </w:p>
    <w:p>
      <w:pPr>
        <w:pStyle w:val="MainText"/>
        <w:rPr/>
      </w:pPr>
      <w:r>
        <w:rPr/>
        <w:t>3. Сведения, приведенные в Отчете и сгруппированные в соответствии с Разработочной таблицей, должны соответствовать данным формы 0409101 на соответствующую дату, а по состоянию на 1 января — итоговым данным, отраженным в графе 14 приложения 14 к приложению к Положению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зарегистрированному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w:t>
      </w:r>
    </w:p>
    <w:p>
      <w:pPr>
        <w:pStyle w:val="MainText"/>
        <w:rPr/>
      </w:pPr>
      <w:r>
        <w:rPr/>
        <w:t>В графе 4 Отчета приводятся сопоставимые данные на соответствующую отчетную дату прошлого года.</w:t>
      </w:r>
      <w:r>
        <w:br w:type="page"/>
      </w:r>
    </w:p>
    <w:p>
      <w:pPr>
        <w:pStyle w:val="MGlavaCenter"/>
        <w:spacing w:before="240" w:after="120"/>
        <w:rPr>
          <w:b w:val="false"/>
        </w:rPr>
      </w:pPr>
      <w:r>
        <w:rPr/>
        <w:t xml:space="preserve">РАЗРАБОТОЧНАЯ ТАБЛИЦА ДЛЯ СОСТАВЛЕНИЯ БУХГАЛТЕРСКОГО БАЛАНСА </w:t>
        <w:br/>
        <w:t>(публикуемая форма)</w:t>
      </w:r>
    </w:p>
    <w:tbl>
      <w:tblPr>
        <w:tblW w:w="10989" w:type="dxa"/>
        <w:jc w:val="center"/>
        <w:tblInd w:w="0" w:type="dxa"/>
        <w:tblLayout w:type="fixed"/>
        <w:tblCellMar>
          <w:top w:w="0" w:type="dxa"/>
          <w:start w:w="28" w:type="dxa"/>
          <w:bottom w:w="0" w:type="dxa"/>
          <w:end w:w="28" w:type="dxa"/>
        </w:tblCellMar>
      </w:tblPr>
      <w:tblGrid>
        <w:gridCol w:w="675"/>
        <w:gridCol w:w="3544"/>
        <w:gridCol w:w="6770"/>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статьи бухгалтерского баланса (публикуемая форма)</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Номера балансовых счетов в соответствии с Планом счетов бухгалтерского учета в кредитных организациях и их расшифровок в соответствии с отчетностью по форме 0409110</w:t>
            </w:r>
            <w:r>
              <w:rPr>
                <w:sz w:val="16"/>
                <w:vertAlign w:val="superscript"/>
              </w:rPr>
              <w:t>1</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 АКТИВЫ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Денежные средства</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202 + 20302 + 20303 + 20305 + 204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кредитных организаций в Центральном банке Российской Федерации</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30102 + 30104 + 30106 + 30125 + 30202 + 30204 + 30208 + 30210 + 30215 + 30224 + 30228 + (304 (кроме 30410)</w:t>
            </w:r>
            <w:r>
              <w:rPr>
                <w:sz w:val="16"/>
                <w:vertAlign w:val="superscript"/>
              </w:rPr>
              <w:t>2</w:t>
            </w:r>
            <w:r>
              <w:rPr>
                <w:sz w:val="16"/>
              </w:rPr>
              <w:t> – 30410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Обязательные резервы</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30202 + 30204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в кредитных организациях</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20315 + 20316 + 30110 + 30114 + 30118 + 30119 + 30213 + А/3.2 – А/3.1</w:t>
            </w:r>
            <w:r>
              <w:rPr>
                <w:sz w:val="16"/>
                <w:vertAlign w:val="superscript"/>
              </w:rPr>
              <w:t>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оцениваемые по справедливой стоимости через прибыль или убыток</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501 (А – П) + 506 (А – П) + А50505/4 – А50507/4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Чистая ссудная задолженность</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20311 + 20312 + 20317 + 20318 + 319 + 320 (А – П) + 321 (кроме 32115) + 322 (А – П) + 323 (кроме 32311) + 324 (кроме 32403) + 32902 + (40111 – 40110)</w:t>
            </w:r>
            <w:r>
              <w:rPr>
                <w:sz w:val="16"/>
                <w:vertAlign w:val="superscript"/>
              </w:rPr>
              <w:t>4</w:t>
            </w:r>
            <w:r>
              <w:rPr>
                <w:sz w:val="16"/>
              </w:rPr>
              <w:t> + 40308 + 40310 + 441 (А – П) + 442 (А – П) + 443 (А – П) + 444 (А – П) + 445 (А – П) + 446 (А – П) + 447 (А – П) + 448 (А – П) + 449 (А – П) + 450 (А – П) + 451 (А – П) + 452 (А – П) + 453 (А – П) + 454 (А – П) + 455 (А – П) + 456 (кроме 45615) + 457 (кроме 45715) + 458 (кроме 45818) + 460 (А – П) + 461 (А – П) + 462 (А – П) + 463 (А – П) + 464 (А – П) + 465 (А – П) + 466 (А – П) + 467 (А – П) + 468 (А – П) + 469 (А – П) + 470 (А – П) + 471 (А – П) + 472 (А – П) + 473 (кроме 47308) + 47402 + 47410 + 477 (А – П) + 478 (А – П) + 512 (А – П) + 513 (А – П) + 514 (А – П) + 515 (А – П) + 516 (кроме 51610) + 517 (кроме 51710) + 518 (кроме 51810) + 519 (кроме 51910) + 60315 + А/5.1</w:t>
            </w:r>
            <w:r>
              <w:rPr>
                <w:sz w:val="16"/>
                <w:vertAlign w:val="superscript"/>
              </w:rPr>
              <w:t>3</w:t>
            </w:r>
            <w:r>
              <w:rPr>
                <w:sz w:val="16"/>
              </w:rPr>
              <w:t> + А/5.3 – А/3.2 – A/5.2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и другие финансовые активы, имеющиеся в наличии для продажи</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502 (А – П) + 507 (А – П) + 601 (А – П) + 602 (А – П) + A50505/6.1 – А50507/6.2 + А50719/17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Инвестиции в дочерние и зависимые организации</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601 (А – П) + А/6.4 – А60206/6.3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вложения в ценные бумаги, удерживаемые до погашения</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503 (А – П) + 505 (А – П) – A50505/6.1 + А50507/6.2 + А50319/17 – А 50505/4 + 50507/4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Основные средства, нематериальные активы и материальные запасы</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604 (А – П) – 606 + 607 + 60804 – 60805 + 609 (А – П) + 610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активы</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20308 + 20319 + 20320 + 30211 + (30221 – 30222)</w:t>
            </w:r>
            <w:r>
              <w:rPr>
                <w:sz w:val="16"/>
                <w:vertAlign w:val="superscript"/>
              </w:rPr>
              <w:t>5</w:t>
            </w:r>
            <w:r>
              <w:rPr>
                <w:sz w:val="16"/>
              </w:rPr>
              <w:t> + (30233 – 30232)</w:t>
            </w:r>
            <w:r>
              <w:rPr>
                <w:sz w:val="16"/>
                <w:vertAlign w:val="superscript"/>
              </w:rPr>
              <w:t>5</w:t>
            </w:r>
            <w:r>
              <w:rPr>
                <w:sz w:val="16"/>
              </w:rPr>
              <w:t> + 303</w:t>
            </w:r>
            <w:r>
              <w:rPr>
                <w:sz w:val="16"/>
                <w:vertAlign w:val="superscript"/>
              </w:rPr>
              <w:t>5</w:t>
            </w:r>
            <w:r>
              <w:rPr>
                <w:sz w:val="16"/>
              </w:rPr>
              <w:t> + 30602 + 325 (А – П) + 40311 + (40313 – 40312)</w:t>
            </w:r>
            <w:r>
              <w:rPr>
                <w:sz w:val="16"/>
                <w:vertAlign w:val="superscript"/>
              </w:rPr>
              <w:t>5</w:t>
            </w:r>
            <w:r>
              <w:rPr>
                <w:sz w:val="16"/>
              </w:rPr>
              <w:t> + (40908 – 40907)</w:t>
            </w:r>
            <w:r>
              <w:rPr>
                <w:sz w:val="16"/>
                <w:vertAlign w:val="superscript"/>
              </w:rPr>
              <w:t>5</w:t>
            </w:r>
            <w:r>
              <w:rPr>
                <w:sz w:val="16"/>
              </w:rPr>
              <w:t> + 459 (А – П) + 474 (А) (кроме 47402, 47410) + 479 (А – П) + 509 (А – П) + 52503 + 603(А) (кроме 60315) + 614 – 30226 + А 30226/3.1 + А40109/9.1 – А/5.3 – A/9.2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активов</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1 + стр. 2 + стр. 3 + стр. 4 + стр. 5 + стр. 6 + стр. 7 + стр. 8 + стр. 9</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 ПАССИВЫ</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Кредиты, депозиты и прочие средства Центрального банка Российской Федерации</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312 + 31701 + 31704 + 31801 + 31804 + 32901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кредитных организаций</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20313 + 20314 + 301 (П) (кроме 30126) + 30230 + 30231 + 313 + 314 + 315 + 316 + 31702 + 31703 + 31802 + 31803 + А/12 – А/14.1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клиентов, не являющихся кредитными организациями</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20309 + 20310 + 30214 + 30220 + 30223 + 30227 + 30601 + 30606 + 40101 + 40105 + 40106 + 40107 + (40108 – (40109 – А 40109/5.1 – А 40109/9.1) + (40110 – 40111)</w:t>
            </w:r>
            <w:r>
              <w:rPr>
                <w:sz w:val="16"/>
                <w:vertAlign w:val="superscript"/>
              </w:rPr>
              <w:t>4</w:t>
            </w:r>
            <w:r>
              <w:rPr>
                <w:sz w:val="16"/>
              </w:rPr>
              <w:t> + 40116 + 402 + 403 (П) (кроме 40312) + 404 + 405 + 406 + 407 + 408 + 409 (П) (кроме 40907) + 410 + 411 + 412 + 413 + 414 + 415 + 416 + 417 + 418 + 419 + 420 + 421 + 422 + 423 + 425 + 426 + 427 + 428 + 429 + 430 + 431 + 432 + 433 + 434 + 435 + 436 + 437 + 438 + 439 + 440 + 47401 + 47409 + 47418 + 476 + А/13.2 – А/12 – А/14.2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13.1</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Вклады физических лиц</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40803 + 40813 + 40817 + 40820 + 423 + 426 + 47603 + 47605 + А/13.1 + А/13.2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Финансовые обязательства, оцениваемые по справедливой стоимости через прибыль или убыток</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А/14.1 + А/14.2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Выпущенные долговые обязательства</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520 + 521 + 522 + 523 + 524 (кроме 52402, 52405, 52407) – А/13.2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обязательства</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(30222 – 30221)</w:t>
            </w:r>
            <w:r>
              <w:rPr>
                <w:sz w:val="16"/>
                <w:vertAlign w:val="superscript"/>
              </w:rPr>
              <w:t>5</w:t>
            </w:r>
            <w:r>
              <w:rPr>
                <w:sz w:val="16"/>
              </w:rPr>
              <w:t> + (30232 – 30233)</w:t>
            </w:r>
            <w:r>
              <w:rPr>
                <w:sz w:val="16"/>
                <w:vertAlign w:val="superscript"/>
              </w:rPr>
              <w:t>5</w:t>
            </w:r>
            <w:r>
              <w:rPr>
                <w:sz w:val="16"/>
              </w:rPr>
              <w:t> + 303</w:t>
            </w:r>
            <w:r>
              <w:rPr>
                <w:sz w:val="16"/>
                <w:vertAlign w:val="superscript"/>
              </w:rPr>
              <w:t>5</w:t>
            </w:r>
            <w:r>
              <w:rPr>
                <w:sz w:val="16"/>
              </w:rPr>
              <w:t> + (304 (кроме 30410)</w:t>
            </w:r>
            <w:r>
              <w:rPr>
                <w:sz w:val="16"/>
                <w:vertAlign w:val="superscript"/>
              </w:rPr>
              <w:t>2</w:t>
            </w:r>
            <w:r>
              <w:rPr>
                <w:sz w:val="16"/>
              </w:rPr>
              <w:t> + 30603 + 30604 + (40312 – 40313)</w:t>
            </w:r>
            <w:r>
              <w:rPr>
                <w:sz w:val="16"/>
                <w:vertAlign w:val="superscript"/>
              </w:rPr>
              <w:t>5</w:t>
            </w:r>
            <w:r>
              <w:rPr>
                <w:sz w:val="16"/>
              </w:rPr>
              <w:t> + (40907 – 40908)</w:t>
            </w:r>
            <w:r>
              <w:rPr>
                <w:sz w:val="16"/>
                <w:vertAlign w:val="superscript"/>
              </w:rPr>
              <w:t>5</w:t>
            </w:r>
            <w:r>
              <w:rPr>
                <w:sz w:val="16"/>
              </w:rPr>
              <w:t> + 47403 + 47405 + 47407 + 47411 + 47412 + 47414 + 47416 + 47419 + 47422 + 47426 + 47608 + 47609 + 504 + 52402 + 52405 + 52407 + 52501 + 603 (П) (кроме 60324, 60348) + 60806 + 613 + А102/16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Резервы на возможные потери по условным обязательствам кредитного характера, прочим возможным потерям и операциям с резидентами офшорных зон</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20321 + 30126 + 30607 + 32115 + 32311 + 32403 + 45615 + 45715 + 45818 + 47308 + 47425 + 51610 + 51710 + 51810 + 51910 + 60324 + 60348 + А/17</w:t>
            </w:r>
            <w:r>
              <w:rPr>
                <w:sz w:val="16"/>
                <w:vertAlign w:val="superscript"/>
              </w:rPr>
              <w:t>3</w:t>
            </w:r>
            <w:r>
              <w:rPr>
                <w:sz w:val="16"/>
              </w:rPr>
              <w:t> – А20321/3.1 – А30126/3.1 – А/5.2 – А /9.2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обязательств</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11 + стр. 12 + стр. 13 + стр. 14 + стр. 15 + стр. 16 + стр. 17</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III. ИСТОЧНИКИ СОБСТВЕННЫХ СРЕДСТВ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Средства акционеров (участников)</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102 – А102/16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Собственные акции (доли), выкупленные у акционеров (участников)</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Эмиссионный доход</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10602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Резервный фонд</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10701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по справедливой стоимости ценных бумаг, имеющихся в наличии для продажи</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10603 – 10605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Переоценка основных средств</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10601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Нераспределенная прибыль (непокрытые убытки) прошлых лет</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108 – 109 + (707(П) – 707(А) + 70801 – 70802)</w:t>
            </w:r>
            <w:r>
              <w:rPr>
                <w:sz w:val="16"/>
                <w:vertAlign w:val="superscript"/>
              </w:rPr>
              <w:t>6</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 апреля, 1 июля, 1 октября: </w:t>
              <w:br/>
              <w:t xml:space="preserve">706 (П – А) </w:t>
              <w:br/>
              <w:t xml:space="preserve">По состоянию на 1 января: </w:t>
              <w:br/>
              <w:t>70801 – 70802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Всего источников собственных средств</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19 – стр. 20 + стр. 21 + стр. 22 + стр. 23 + стр. 24 + стр. 25 + стр. 26</w:t>
            </w:r>
          </w:p>
        </w:tc>
      </w:tr>
      <w:tr>
        <w:trPr>
          <w:cantSplit/>
        </w:trPr>
        <w:tc>
          <w:tcPr>
            <w:tcW w:w="10989"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IV. ВНЕБАЛАНСОВЫЕ ОБЯЗАТЕЛЬСТВА</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Безотзывные обязательства кредитной организации</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91003 + 91004 + 91010 + 91314 + 91316 + 91317 + 91705 + 960 + 961 + 962 + 963 + 964 + 965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29</w:t>
            </w:r>
          </w:p>
        </w:tc>
        <w:tc>
          <w:tcPr>
            <w:tcW w:w="354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Выданные кредитной организацией гарантии и поручительства</w:t>
            </w:r>
          </w:p>
        </w:tc>
        <w:tc>
          <w:tcPr>
            <w:tcW w:w="67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91315</w:t>
            </w:r>
          </w:p>
        </w:tc>
      </w:tr>
    </w:tbl>
    <w:p>
      <w:pPr>
        <w:pStyle w:val="SnoskaLineTab"/>
        <w:keepLines w:val="false"/>
        <w:pBdr>
          <w:top w:val="single" w:sz="6" w:space="1" w:color="000000"/>
        </w:pBdr>
        <w:spacing w:before="240" w:after="0"/>
        <w:rPr/>
      </w:pPr>
      <w:r>
        <w:rPr>
          <w:vertAlign w:val="superscript"/>
        </w:rPr>
        <w:t>1</w:t>
      </w:r>
      <w:r>
        <w:rPr/>
        <w:t> В графе 3 Разработочной таблицы приводятся примерные алгоритмы формирования статей Бухгалтерского баланса (публикуемая форма).</w:t>
      </w:r>
    </w:p>
    <w:p>
      <w:pPr>
        <w:pStyle w:val="Snoska"/>
        <w:keepLines w:val="false"/>
        <w:rPr/>
      </w:pPr>
      <w:r>
        <w:rPr>
          <w:vertAlign w:val="superscript"/>
        </w:rPr>
        <w:t>2</w:t>
      </w:r>
      <w:r>
        <w:rPr/>
        <w:t> Балансовый счет № 304 (кроме 30410) включается в статью “Средства кредитных организаций в Центральном банке Российской Федерации”, если складывается активное сальдо, и в статью “Прочие обязательства” — если пассивное.</w:t>
      </w:r>
    </w:p>
    <w:p>
      <w:pPr>
        <w:pStyle w:val="Snoska"/>
        <w:keepLines w:val="false"/>
        <w:rPr/>
      </w:pPr>
      <w:r>
        <w:rPr>
          <w:vertAlign w:val="superscript"/>
        </w:rPr>
        <w:t>3</w:t>
      </w:r>
      <w:r>
        <w:rPr/>
        <w:t> Для формирования статей Бухгалтерского баланса (публикуемая форма) банками используются расшифровки балансовых счетов отчетности по форме 0409110 “Расшифровки отдельных показателей деятельности кредитной организации” (далее — отчетность по форме 0409110), первая цифра кода которых после символа “/” совпадает с номером статьи баланса. Например, запись “А/3.1” означает, что при формировании статьи “Средства в кредитных организациях” используется сумма всех корректировок, оканчивающихся на “/3.1”, то есть: (А20321/3.1 + А30126/3.1 + А30226/3.1). Небанковские кредитные организации для формирования статей Бухгалтерского баланса (публикуемая форма) используют подходы, предусмотренные отчетностью по форме 0409110, для банков.</w:t>
      </w:r>
    </w:p>
    <w:p>
      <w:pPr>
        <w:pStyle w:val="Snoska"/>
        <w:keepLines w:val="false"/>
        <w:rPr/>
      </w:pPr>
      <w:r>
        <w:rPr>
          <w:vertAlign w:val="superscript"/>
        </w:rPr>
        <w:t>4</w:t>
      </w:r>
      <w:r>
        <w:rPr/>
        <w:t> Балансовые счета №№ 40111 и 40110 включаются в статью “Чистая ссудная задолженность”, если складывается активное сальдо, и в статью “Средства клиентов, не являющихся кредитными организациями” — если пассивное.</w:t>
      </w:r>
    </w:p>
    <w:p>
      <w:pPr>
        <w:pStyle w:val="Snoska"/>
        <w:keepLines w:val="false"/>
        <w:rPr/>
      </w:pPr>
      <w:r>
        <w:rPr>
          <w:vertAlign w:val="superscript"/>
        </w:rPr>
        <w:t>5</w:t>
      </w:r>
      <w:r>
        <w:rPr/>
        <w:t> Балансовые счета №№ 30221 и 30222, 30233 и 30232, 303, 40313 и 40312, 40908 и 40907 включаются в статью “Прочие активы”, если складывается активное сальдо, и в статью “Прочие обязательства” — если пассивное.</w:t>
      </w:r>
    </w:p>
    <w:p>
      <w:pPr>
        <w:pStyle w:val="Snoska"/>
        <w:keepLines w:val="false"/>
        <w:rPr/>
      </w:pPr>
      <w:r>
        <w:rPr>
          <w:vertAlign w:val="superscript"/>
        </w:rPr>
        <w:t>6</w:t>
      </w:r>
      <w:r>
        <w:rPr/>
        <w:t> Используется только для Отчета по состоянию на 1 апреля.</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57"/>
        <w:rPr/>
      </w:pPr>
      <w:r>
        <w:rPr>
          <w:color w:val="000000"/>
        </w:rPr>
        <w:t xml:space="preserve">ОТЧЕТ О ПРИБЫЛЯХ И УБЫТКАХ </w:t>
        <w:br/>
        <w:t>(публикуемая форма)</w:t>
        <w:br/>
        <w:t>за “</w:t>
      </w:r>
      <w:r>
        <w:rPr/>
        <w:t>___” __________ _____</w:t>
      </w:r>
      <w:r>
        <w:rPr>
          <w:b w:val="false"/>
        </w:rPr>
        <w:t xml:space="preserve"> </w:t>
      </w:r>
      <w:r>
        <w:rPr/>
        <w:t>г.</w:t>
      </w:r>
    </w:p>
    <w:p>
      <w:pPr>
        <w:pStyle w:val="MainTextLine155"/>
        <w:tabs>
          <w:tab w:val="clear" w:pos="8787"/>
          <w:tab w:val="right" w:pos="8220" w:leader="underscore"/>
        </w:tabs>
        <w:rPr/>
      </w:pPr>
      <w:r>
        <w:rPr/>
        <w:t>Кредитной организации</w:t>
        <w:tab/>
      </w:r>
    </w:p>
    <w:p>
      <w:pPr>
        <w:pStyle w:val="MainTextBezOtstupa"/>
        <w:spacing w:before="0" w:after="57"/>
        <w:ind w:start="397" w:end="850"/>
        <w:jc w:val="center"/>
        <w:rPr>
          <w:sz w:val="16"/>
        </w:rPr>
      </w:pPr>
      <w:r>
        <w:rPr>
          <w:sz w:val="16"/>
        </w:rPr>
        <w:t>(полное фирменное и сокращенное фирменное наименование)</w:t>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0409807</w:t>
        <w:br/>
        <w:t>Квартальная (Годовая)</w:t>
        <w:br/>
        <w:t>тыс. руб.</w:t>
      </w:r>
    </w:p>
    <w:tbl>
      <w:tblPr>
        <w:tblW w:w="10987" w:type="dxa"/>
        <w:jc w:val="center"/>
        <w:tblInd w:w="0" w:type="dxa"/>
        <w:tblLayout w:type="fixed"/>
        <w:tblCellMar>
          <w:top w:w="0" w:type="dxa"/>
          <w:start w:w="28" w:type="dxa"/>
          <w:bottom w:w="0" w:type="dxa"/>
          <w:end w:w="28" w:type="dxa"/>
        </w:tblCellMar>
      </w:tblPr>
      <w:tblGrid>
        <w:gridCol w:w="817"/>
        <w:gridCol w:w="7370"/>
        <w:gridCol w:w="1276"/>
        <w:gridCol w:w="1524"/>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статьи</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Данные за отчетный период</w:t>
            </w:r>
          </w:p>
        </w:tc>
        <w:tc>
          <w:tcPr>
            <w:tcW w:w="15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Данные за соответствующий период прошлого года</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27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52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Процентные доходы,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размещения средств в кредитных организациях</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ссуд, предоставленных клиентам, не являющимся кредитными организациями</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оказания услуг по финансовой аренде (лизингу)</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вложений в ценные бумаги</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Процентные расходы,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привлеченным средствам кредитных организаций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привлеченным средствам клиентов, не являющихся кредитными организациями</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выпущенным долговым обязательствам</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процентные доходы (отрицательная процентная маржа)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Изменение резерва на возможные потери по ссудам, ссудной и приравненной к ней задолженности, средствам, размещенным на корреспондентских счетах, а также начисленным процентным доходам,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начисленным процентным доходам</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процентные доходы (отрицательная процентная маржа) после создания резерва на возможные потери</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оцениваемыми по справедливой стоимости через прибыль или убыток</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имеющимися в наличии для продажи</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удерживаемыми до погашения</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иностранной валютой</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переоценки иностранной валюты</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Доходы от участия в капитале других юридических лиц</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Комиссионные доходы</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Комиссионные расходы</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ценным бумагам, имеющимся в наличии для продажи</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ценным бумагам, удерживаемым до погашения</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по прочим потерям</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операционные доходы</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(расходы)</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Операционные расходы</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Прибыль (убыток) до налогообложения</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Начисленные (уплаченные) налоги</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Прибыль (убыток) после налогообложения</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Выплаты из прибыли после налогообложения, всего, </w:t>
              <w:br/>
              <w:t>в том числе:</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23.1</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Распределение между акционерами (участниками) в виде дивидендов</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23.2</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Отчисления на формирование и пополнение резервного фонда</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737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w:t>
            </w:r>
          </w:p>
        </w:tc>
        <w:tc>
          <w:tcPr>
            <w:tcW w:w="127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2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0409807 “Отчет о прибылях и убытках (публикуемая форма)”</w:t>
      </w:r>
    </w:p>
    <w:p>
      <w:pPr>
        <w:pStyle w:val="MainText"/>
        <w:rPr/>
      </w:pPr>
      <w:r>
        <w:rPr/>
        <w:t>1. Отчетность по форме 0409807 “Отчет о прибылях и убытках (публикуемая форма)” (далее — Отчет) за период с 1 января по 31 декабря отчетного года в соответствии с Указанием Банка России от 8 октября 2008 года № 2089-У “О порядке составления кредитными организациями годового отчета”, зарегистрированным Министерством юстиции Российской Федерации 28 ноября 2008 года № 12753 (“Вестник Банка России” от 4 декабря 2008 года № 71), и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годового отчета кредитной организации и подлежит опубликованию. Отчет представляется кредитными организациями (включая небанковские кредитные организации) в территориальные учреждения Банка России, осуществляющие надзор за их деятельностью, не позднее 3 рабочих дней после дня опубликования годового отчета.</w:t>
      </w:r>
    </w:p>
    <w:p>
      <w:pPr>
        <w:pStyle w:val="MainText"/>
        <w:rPr/>
      </w:pPr>
      <w:r>
        <w:rPr/>
        <w:t>Отчет по состоянию на 1 апреля, 1 июля и 1 октября публикуется кредитными организациями (за исключением небанковских кредитных организаций) и представляется в территориальные учреждения Банка России, осуществляющие надзор за их деятельностью, не позднее 3 рабочих дней после дня его опубликования.</w:t>
      </w:r>
    </w:p>
    <w:p>
      <w:pPr>
        <w:pStyle w:val="MainText"/>
        <w:rPr/>
      </w:pPr>
      <w:r>
        <w:rPr/>
        <w:t>2. Отчет составляется на основе “Разработочной таблицы для составления Отчета о прибылях и убытках (публикуемая форма)” настоящего Порядка (далее — Разработочная таблица).</w:t>
      </w:r>
    </w:p>
    <w:p>
      <w:pPr>
        <w:pStyle w:val="MainText"/>
        <w:rPr/>
      </w:pPr>
      <w:r>
        <w:rPr/>
        <w:t>В случае если остатки по каким-либо символам отчетности по форме 0409102 “Отчет о прибылях и убытках кредитной организации” (далее — отчетность по форме 0409102) за отчетный период не включены в Отчет ввиду их отсутствия в Разработочной таблице, их следует отражать по той статье Отчета, которая по экономическому содержанию соответствует операции по этому символу, либо по статьям “Прочие операционные доходы” или “Операционные расходы”.</w:t>
      </w:r>
    </w:p>
    <w:p>
      <w:pPr>
        <w:pStyle w:val="MainText"/>
        <w:rPr/>
      </w:pPr>
      <w:r>
        <w:rPr/>
        <w:t>При формировании статей Отчета кредитные организации могут осуществлять реклассификацию отдельных символов в иные статьи Отчета, чем это определено Разработочной таблицей, используя принцип приоритета экономической сущности осуществленных операций над их юридической формой.</w:t>
      </w:r>
    </w:p>
    <w:p>
      <w:pPr>
        <w:pStyle w:val="MainText"/>
        <w:rPr/>
      </w:pPr>
      <w:r>
        <w:rPr/>
        <w:t>3. Сведения, приведенные в Отчете и сгруппированные в соответствии с Разработочной таблицей, должны соответствовать данным отчетности по форме 0409102, а по состоянию на 1 января — данным графы 6 регистра (документа) синтетического учета Отчета о прибылях и убытках, составляемого по форме приложения 4 к приложению к Положению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зарегистрированному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w:t>
      </w:r>
    </w:p>
    <w:p>
      <w:pPr>
        <w:pStyle w:val="MainText"/>
        <w:rPr/>
      </w:pPr>
      <w:r>
        <w:rPr/>
        <w:t>В графе 4 Отчета приводятся сопоставимые данные за соответствующий период прошлого года.</w:t>
      </w:r>
      <w:r>
        <w:br w:type="page"/>
      </w:r>
    </w:p>
    <w:p>
      <w:pPr>
        <w:pStyle w:val="MGlavaCenter"/>
        <w:spacing w:before="180" w:after="120"/>
        <w:rPr>
          <w:b w:val="false"/>
        </w:rPr>
      </w:pPr>
      <w:r>
        <w:rPr/>
        <w:t xml:space="preserve">РАЗРАБОТОЧНАЯ ТАБЛИЦА ДЛЯ СОСТАВЛЕНИЯ ОТЧЕТА О ПРИБЫЛЯХ И УБЫТКАХ </w:t>
        <w:br/>
        <w:t>(публикуемая форма)</w:t>
      </w:r>
    </w:p>
    <w:tbl>
      <w:tblPr>
        <w:tblW w:w="10989" w:type="dxa"/>
        <w:jc w:val="center"/>
        <w:tblInd w:w="0" w:type="dxa"/>
        <w:tblLayout w:type="fixed"/>
        <w:tblCellMar>
          <w:top w:w="0" w:type="dxa"/>
          <w:start w:w="28" w:type="dxa"/>
          <w:bottom w:w="0" w:type="dxa"/>
          <w:end w:w="28" w:type="dxa"/>
        </w:tblCellMar>
      </w:tblPr>
      <w:tblGrid>
        <w:gridCol w:w="675"/>
        <w:gridCol w:w="4111"/>
        <w:gridCol w:w="6203"/>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Номер строки</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Наименование статьи отчета о прибылях и убытках (публикуемая форма)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Символы отчетности по форме 0409102 и их расшифровки в соответствии с отчетностью по форме 0409110</w:t>
            </w:r>
            <w:r>
              <w:rPr>
                <w:sz w:val="16"/>
                <w:vertAlign w:val="superscript"/>
              </w:rPr>
              <w:t>1</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Процентные доходы, всего, </w:t>
              <w:br/>
              <w:t>в том числе:</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1.1 + стр. 1.2 + стр. 1.3 + стр. 1.4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размещения средств в кредитных организациях</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11118 + 11119 + 11215 + 11216 + 11217 + 113 + 114 + 11603 + 11607 + S17101/1.1 + S17201/1.1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ссуд, предоставленных клиентам, не являющимся кредитными организациями</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111 (кроме 11118, 11119) + 112 (кроме 11215, 11216, 11217) + 116 (кроме 11603, 11607) + 12401 + S12406/1.2 + S16203/1.2 + 17101 – S17101/1.1 + 17201 – S17201/1.1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оказания услуг по финансовой аренде (лизингу)</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12405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 вложений в ценные бумаги</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115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Процентные расходы, всего, </w:t>
              <w:br/>
              <w:t>в том числе:</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2.1 + стр. 2.2 + стр. 2.3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привлеченным средствам кредитных организаций</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211 (кроме 21104) + 21210 + 21211 + 21315 + 21316 + 21317 + 21415 + 21416 + 21417 + S27101/2.1 + S27201/2.1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привлеченным средствам клиентов, не являющихся кредитными организациями</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21104 + 212 (кроме 21210, 21211) + 213 (кроме 21315, 21316, 21317) + 214 (кроме 21415, 21416, 21417) + 215 + 216 + 217 + 22201 + 27101 – S27101/2.1 + 27201 – S27201/2.1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выпущенным долговым обязательствам</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218</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процентные доходы (отрицательная процентная маржа)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1 – стр. 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ссудам, ссудной и приравненной к ней задолженности, средствам, размещенным на корреспондентских счетах, а также начисленным процентным доходам, всего, в том числе:</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S16305/4 – S25302/4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начисленным процентным доходам</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S16305/4.1 + S16305/4.2 – S25302/4.1 – S25302/4.2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процентные доходы (отрицательная процентная маржа) после создания резерва на возможные потери</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3 + стр. 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оцениваемыми по справедливой стоимости через прибыль или убыток</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S131/6 + S15101/6 + S152/6 + 161 (кроме 16103) – S231/6 – S24101/6 – S242/6 – 251 (кроме 25103)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имеющимися в наличии для продажи</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S131/7 + 15101 – S15101/6 + S152/7 – S231/7 – 24101 + S24101/6 – S242/7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ценными бумагами, удерживаемыми до погашения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131 – S131/6 – S131/7 + S152/8 – 231 + S231/6 + S 231/7 – S242/8</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операций с иностранной валютой</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122 + 15202 + 16103 – 221 – 24202 – 25103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от переоценки иностранной валюты</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15102 – 24102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Доходы от участия в капитале других юридических лиц</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141 + 142 + 143 + 144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Комиссионные доходы</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121 + 123 + 162 – S16203/1.2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Комиссионные расходы</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252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ценным бумагам, имеющимся в наличии для продажи</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S16305/14 – S16305/4.2.1 – S25302/14 + S25302/4.2.1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на возможные потери по ценным бумагам, удерживаемым до погашения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S16305/15 – S16305/4.2.2 – S25302/15 + S25302/4.2.2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Изменение резерва по прочим потерям</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16305 – S16305/4 – S16305/14 – S16305/15 – 25302 + S25302/4 + S25302/14 + S25302/15</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операционные доходы</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124 (кроме 12401, 12405) + 132 + 15103 + 15201 + 15203 + 15204 – S152/6 – S152/7 – S152/8 + 163 (кроме 16305) + 171 (кроме 17101) + 17202 + 17203 + 173 – S12406/1.2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доходы (расходы)</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5 + стр. 6 + стр. 7 + стр. 8 + стр. 9 + стр.10 + стр. 11 + стр.12 – стр. 13 + стр. 14 + стр. 15 + стр. 16 + стр. 17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Операционные расходы</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222 (кроме 22201) + 232 + 24103 + 24201 + 24203 + 24204 – S242/6 – S242/7 – S242/8 + 25301 + 25303 + 261 + 262 + 263 + 264 (кроме 26411) + 271 (кроме 27101) + 272 (кроме 27201) + 273</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Прибыль (убыток) до налогообложения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18 – стр. 19</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Начисленные (уплаченные) налоги</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28101 + 26411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Прибыль (убыток) после налогообложения</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20 – стр. 21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Выплаты из прибыли после налогообложения, всего, </w:t>
              <w:br/>
              <w:t>в том числе:</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23.1 + стр. 23.2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23.1</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Распределение между акционерами (участниками) в виде дивидендов</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32001</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23.2</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Отчисления на формирование и пополнение резервного фонда</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32002</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4111"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Неиспользованная прибыль (убыток) за отчетный период</w:t>
            </w:r>
          </w:p>
        </w:tc>
        <w:tc>
          <w:tcPr>
            <w:tcW w:w="62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Стр. 22 – стр. 23</w:t>
            </w:r>
          </w:p>
        </w:tc>
      </w:tr>
    </w:tbl>
    <w:p>
      <w:pPr>
        <w:pStyle w:val="Snoska"/>
        <w:keepNext w:val="true"/>
        <w:pBdr>
          <w:top w:val="single" w:sz="6" w:space="1" w:color="000000"/>
        </w:pBdr>
        <w:spacing w:before="120" w:after="0"/>
        <w:ind w:start="-170" w:end="-170"/>
        <w:rPr/>
      </w:pPr>
      <w:r>
        <w:rPr>
          <w:vertAlign w:val="superscript"/>
        </w:rPr>
        <w:t>1</w:t>
      </w:r>
      <w:r>
        <w:rPr/>
        <w:t> В графе 3 Разработочной таблицы приводятся примерные алгоритмы формирования статей Отчета о прибылях и убытках (публикуемая форма).</w:t>
      </w:r>
    </w:p>
    <w:p>
      <w:pPr>
        <w:pStyle w:val="Snoska"/>
        <w:keepLines w:val="false"/>
        <w:ind w:start="-170" w:end="-170"/>
        <w:rPr/>
      </w:pPr>
      <w:r>
        <w:rPr/>
        <w:t>Для формирования статей Отчета о прибылях и убытках (публикуемая форма) банками используются расшифровки символов отчетности по форме 0409110 “Расшифровки отдельных показателей деятельности кредитной организации” (далее — отчетность по форме 0409110). Небанковские кредитные организации для формирования статей Отчета о прибылях и убытках (публикуемая форма) используют подходы, предусмотренные отчетностью по форме 0409110, для банков.</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ОБ УРОВНЕ ДОСТАТОЧНОСТИ КАПИТАЛА, </w:t>
        <w:br/>
        <w:t xml:space="preserve">ВЕЛИЧИНЕ РЕЗЕРВОВ НА ПОКРЫТИЕ СОМНИТЕЛЬНЫХ ССУД И ИНЫХ АКТИВОВ </w:t>
        <w:br/>
        <w:t xml:space="preserve">(публикуемая форма) </w:t>
        <w:br/>
        <w:t xml:space="preserve">по состоянию на 1 </w:t>
      </w:r>
      <w:r>
        <w:rPr/>
        <w:t>__________ _____</w:t>
      </w:r>
      <w:r>
        <w:rPr>
          <w:b w:val="false"/>
        </w:rPr>
        <w:t xml:space="preserve"> </w:t>
      </w:r>
      <w:r>
        <w:rPr/>
        <w:t>г.</w:t>
      </w:r>
    </w:p>
    <w:p>
      <w:pPr>
        <w:pStyle w:val="MainTextLine155"/>
        <w:tabs>
          <w:tab w:val="clear" w:pos="8787"/>
          <w:tab w:val="right" w:pos="8220" w:leader="underscore"/>
        </w:tabs>
        <w:rPr/>
      </w:pPr>
      <w:r>
        <w:rPr/>
        <w:t>Кредитной организации</w:t>
        <w:tab/>
      </w:r>
    </w:p>
    <w:p>
      <w:pPr>
        <w:pStyle w:val="MainTextBezOtstupa"/>
        <w:spacing w:before="0" w:after="57"/>
        <w:ind w:start="397" w:end="850"/>
        <w:jc w:val="center"/>
        <w:rPr>
          <w:sz w:val="16"/>
        </w:rPr>
      </w:pPr>
      <w:r>
        <w:rPr>
          <w:sz w:val="16"/>
        </w:rPr>
        <w:t>(полное фирменное и сокращенное фирменное наименование)</w:t>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0409808</w:t>
        <w:br/>
        <w:t>Квартальная (Годовая)</w:t>
      </w:r>
    </w:p>
    <w:tbl>
      <w:tblPr>
        <w:tblW w:w="10988" w:type="dxa"/>
        <w:jc w:val="center"/>
        <w:tblInd w:w="0" w:type="dxa"/>
        <w:tblLayout w:type="fixed"/>
        <w:tblCellMar>
          <w:top w:w="0" w:type="dxa"/>
          <w:start w:w="28" w:type="dxa"/>
          <w:bottom w:w="0" w:type="dxa"/>
          <w:end w:w="28" w:type="dxa"/>
        </w:tblCellMar>
      </w:tblPr>
      <w:tblGrid>
        <w:gridCol w:w="815"/>
        <w:gridCol w:w="5955"/>
        <w:gridCol w:w="1406"/>
        <w:gridCol w:w="1406"/>
        <w:gridCol w:w="1406"/>
      </w:tblGrid>
      <w:tr>
        <w:trPr>
          <w:tblHeader w:val="true"/>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показателя</w:t>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Данные на начало отчетного года</w:t>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Прирост (+) / снижение (–) за отчетный период</w:t>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Данные на отчетную дату</w:t>
            </w:r>
          </w:p>
        </w:tc>
      </w:tr>
      <w:tr>
        <w:trPr>
          <w:tblHeader w:val="true"/>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Собственные средства (капитал) (тыс. руб.), всего, </w:t>
              <w:br/>
              <w:t>в том числе:</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Уставный капитал кредитной организации, </w:t>
              <w:br/>
              <w:t>в том числе:</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1.1.1</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Номинальная стоимость зарегистрированных обыкновенных акций (долей)</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1.1.2</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Номинальная стоимость зарегистрированных привилегированных акций</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Собственные акции (доли), выкупленные у акционеров (участников)</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Эмиссионный доход</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Резервный фонд кредитной организации</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Финансовый результат деятельности, принимаемый в расчет собственных средств (капитала):</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1.5.1</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прошлых лет</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1.5.2</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отчетного года</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Нематериальные активы</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Субординированный кредит (заем, депозит, облигационный заем)</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Источники (часть источников) дополнительного капитала, для формирования которых инвесторами использованы ненадлежащие активы</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Нормативное значение достаточности собственных средств (капитала) (процентов)</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Х</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Фактическое значение достаточности собственных средств (капитала) (процентов)</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Х</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Фактически сформированные резервы на возможные потери (тыс. руб.), всего, </w:t>
              <w:br/>
              <w:t>в том числе:</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4.1</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ссудам, ссудной и приравненной к ней задолженности</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4.2</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иным активам, по которым существует риск понесения потерь, и прочим потерям</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4.3</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 условным обязательствам кредитного характера, отраженным на внебалансовых счетах, и срочным сделкам</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4.4</w:t>
            </w:r>
          </w:p>
        </w:tc>
        <w:tc>
          <w:tcPr>
            <w:tcW w:w="595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под операции с резидентами офшорных зон</w:t>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40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BezOtstupa"/>
        <w:spacing w:before="240" w:after="0"/>
        <w:rPr/>
      </w:pPr>
      <w:r>
        <w:br w:type="page"/>
      </w:r>
      <w:r>
        <w:rPr/>
        <w:t>Раздел “Справочно”:</w:t>
      </w:r>
    </w:p>
    <w:p>
      <w:pPr>
        <w:pStyle w:val="BulletsMain"/>
        <w:tabs>
          <w:tab w:val="clear" w:pos="567"/>
          <w:tab w:val="left" w:pos="283" w:leader="none"/>
        </w:tabs>
        <w:spacing w:before="113" w:after="0"/>
        <w:ind w:start="283" w:end="0"/>
        <w:rPr/>
      </w:pPr>
      <w:r>
        <w:rPr/>
        <w:t>1.</w:t>
        <w:tab/>
        <w:t>Формирование (доначисление) резерва на возможные потери по ссудам, ссудной и приравненной к ней задолженности в отчетном периоде (тыс. руб.), всего _________, в том числе вследствие:</w:t>
      </w:r>
    </w:p>
    <w:p>
      <w:pPr>
        <w:pStyle w:val="BulletsInBullets"/>
        <w:tabs>
          <w:tab w:val="clear" w:pos="850"/>
          <w:tab w:val="left" w:pos="737" w:leader="none"/>
        </w:tabs>
        <w:ind w:hanging="454" w:start="737" w:end="0"/>
        <w:rPr>
          <w:rFonts w:ascii="Arial" w:hAnsi="Arial" w:cs="Arial"/>
        </w:rPr>
      </w:pPr>
      <w:r>
        <w:rPr>
          <w:rFonts w:cs="Arial" w:ascii="Arial" w:hAnsi="Arial"/>
        </w:rPr>
        <w:t>1.1.</w:t>
        <w:tab/>
        <w:t>выдачи ссуд _________;</w:t>
      </w:r>
    </w:p>
    <w:p>
      <w:pPr>
        <w:pStyle w:val="BulletsInBullets"/>
        <w:tabs>
          <w:tab w:val="clear" w:pos="850"/>
          <w:tab w:val="left" w:pos="737" w:leader="none"/>
        </w:tabs>
        <w:ind w:hanging="454" w:start="737" w:end="0"/>
        <w:rPr>
          <w:rFonts w:ascii="Arial" w:hAnsi="Arial" w:cs="Arial"/>
        </w:rPr>
      </w:pPr>
      <w:r>
        <w:rPr>
          <w:rFonts w:cs="Arial" w:ascii="Arial" w:hAnsi="Arial"/>
        </w:rPr>
        <w:t>1.2.</w:t>
        <w:tab/>
        <w:t>изменения качества ссуд _________;</w:t>
      </w:r>
    </w:p>
    <w:p>
      <w:pPr>
        <w:pStyle w:val="BulletsInBullets"/>
        <w:tabs>
          <w:tab w:val="clear" w:pos="850"/>
          <w:tab w:val="left" w:pos="737" w:leader="none"/>
        </w:tabs>
        <w:ind w:hanging="454" w:start="737" w:end="0"/>
        <w:rPr>
          <w:rFonts w:ascii="Arial" w:hAnsi="Arial" w:cs="Arial"/>
        </w:rPr>
      </w:pPr>
      <w:r>
        <w:rPr>
          <w:rFonts w:cs="Arial" w:ascii="Arial" w:hAnsi="Arial"/>
        </w:rPr>
        <w:t>1.3.</w:t>
        <w:tab/>
        <w:t>изменения официального курса иностранной валюты по отношению к рублю, установленного Банком России, _________;</w:t>
      </w:r>
    </w:p>
    <w:p>
      <w:pPr>
        <w:pStyle w:val="BulletsInBullets"/>
        <w:tabs>
          <w:tab w:val="clear" w:pos="850"/>
          <w:tab w:val="left" w:pos="737" w:leader="none"/>
        </w:tabs>
        <w:ind w:hanging="454" w:start="737" w:end="0"/>
        <w:rPr>
          <w:rFonts w:ascii="Arial" w:hAnsi="Arial" w:cs="Arial"/>
        </w:rPr>
      </w:pPr>
      <w:r>
        <w:rPr>
          <w:rFonts w:cs="Arial" w:ascii="Arial" w:hAnsi="Arial"/>
        </w:rPr>
        <w:t>1.4.</w:t>
        <w:tab/>
        <w:t>иных причин _________.</w:t>
      </w:r>
    </w:p>
    <w:p>
      <w:pPr>
        <w:pStyle w:val="BulletsMain"/>
        <w:tabs>
          <w:tab w:val="clear" w:pos="567"/>
          <w:tab w:val="left" w:pos="283" w:leader="none"/>
        </w:tabs>
        <w:spacing w:before="113" w:after="0"/>
        <w:ind w:start="283" w:end="0"/>
        <w:rPr/>
      </w:pPr>
      <w:r>
        <w:rPr/>
        <w:t>2.</w:t>
        <w:tab/>
        <w:t>Восстановление (уменьшение) резерва на возможные потери по ссудам, ссудной и приравненной к ней задолженности в отчетном периоде (тыс. руб.), всего _________, в том числе вследствие:</w:t>
      </w:r>
    </w:p>
    <w:p>
      <w:pPr>
        <w:pStyle w:val="BulletsInBullets"/>
        <w:tabs>
          <w:tab w:val="clear" w:pos="850"/>
          <w:tab w:val="left" w:pos="737" w:leader="none"/>
        </w:tabs>
        <w:ind w:hanging="454" w:start="737" w:end="0"/>
        <w:rPr>
          <w:rFonts w:ascii="Arial" w:hAnsi="Arial" w:cs="Arial"/>
        </w:rPr>
      </w:pPr>
      <w:r>
        <w:rPr>
          <w:rFonts w:cs="Arial" w:ascii="Arial" w:hAnsi="Arial"/>
        </w:rPr>
        <w:t>2.1.</w:t>
        <w:tab/>
        <w:t>списания безнадежных ссуд _________;</w:t>
      </w:r>
    </w:p>
    <w:p>
      <w:pPr>
        <w:pStyle w:val="BulletsInBullets"/>
        <w:tabs>
          <w:tab w:val="clear" w:pos="850"/>
          <w:tab w:val="left" w:pos="737" w:leader="none"/>
        </w:tabs>
        <w:ind w:hanging="454" w:start="737" w:end="0"/>
        <w:rPr>
          <w:rFonts w:ascii="Arial" w:hAnsi="Arial" w:cs="Arial"/>
        </w:rPr>
      </w:pPr>
      <w:r>
        <w:rPr>
          <w:rFonts w:cs="Arial" w:ascii="Arial" w:hAnsi="Arial"/>
        </w:rPr>
        <w:t>2.2.</w:t>
        <w:tab/>
        <w:t>погашения ссуд _________;</w:t>
      </w:r>
    </w:p>
    <w:p>
      <w:pPr>
        <w:pStyle w:val="BulletsInBullets"/>
        <w:tabs>
          <w:tab w:val="clear" w:pos="850"/>
          <w:tab w:val="left" w:pos="737" w:leader="none"/>
        </w:tabs>
        <w:ind w:hanging="454" w:start="737" w:end="0"/>
        <w:rPr>
          <w:rFonts w:ascii="Arial" w:hAnsi="Arial" w:cs="Arial"/>
        </w:rPr>
      </w:pPr>
      <w:r>
        <w:rPr>
          <w:rFonts w:cs="Arial" w:ascii="Arial" w:hAnsi="Arial"/>
        </w:rPr>
        <w:t>2.3.</w:t>
        <w:tab/>
        <w:t>изменения качества ссуд _________;</w:t>
      </w:r>
    </w:p>
    <w:p>
      <w:pPr>
        <w:pStyle w:val="BulletsInBullets"/>
        <w:tabs>
          <w:tab w:val="clear" w:pos="850"/>
          <w:tab w:val="left" w:pos="737" w:leader="none"/>
        </w:tabs>
        <w:ind w:hanging="454" w:start="737" w:end="0"/>
        <w:rPr>
          <w:rFonts w:ascii="Arial" w:hAnsi="Arial" w:cs="Arial"/>
        </w:rPr>
      </w:pPr>
      <w:r>
        <w:rPr>
          <w:rFonts w:cs="Arial" w:ascii="Arial" w:hAnsi="Arial"/>
        </w:rPr>
        <w:t>2.4.</w:t>
        <w:tab/>
        <w:t>изменения официального курса иностранной валюты по отношению к рублю, установленного Банком России, _________;</w:t>
      </w:r>
    </w:p>
    <w:p>
      <w:pPr>
        <w:pStyle w:val="BulletsInBullets"/>
        <w:tabs>
          <w:tab w:val="clear" w:pos="850"/>
          <w:tab w:val="left" w:pos="737" w:leader="none"/>
        </w:tabs>
        <w:ind w:hanging="454" w:start="737" w:end="0"/>
        <w:rPr>
          <w:rFonts w:ascii="Arial" w:hAnsi="Arial" w:cs="Arial"/>
        </w:rPr>
      </w:pPr>
      <w:r>
        <w:rPr>
          <w:rFonts w:cs="Arial" w:ascii="Arial" w:hAnsi="Arial"/>
        </w:rPr>
        <w:t>2.5.</w:t>
        <w:tab/>
        <w:t>иных причин _________.</w:t>
      </w:r>
    </w:p>
    <w:p>
      <w:pPr>
        <w:pStyle w:val="MainTextLine155"/>
        <w:tabs>
          <w:tab w:val="clear" w:pos="8787"/>
          <w:tab w:val="left" w:pos="4564" w:leader="none"/>
        </w:tabs>
        <w:spacing w:before="24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spacing w:before="0" w:after="120"/>
        <w:rPr/>
      </w:pPr>
      <w:r>
        <w:rPr/>
        <w:t>Порядок составления и представления отчетности по форме 0409808 “Отчет об уровне достаточности капитала, величине резервов на покрытие сомнительных ссуд и иных активов (публикуемая форма)”</w:t>
      </w:r>
    </w:p>
    <w:p>
      <w:pPr>
        <w:pStyle w:val="MainText"/>
        <w:rPr/>
      </w:pPr>
      <w:r>
        <w:rPr/>
        <w:t>1. Отчетность по форме 0409808 “Отчет об уровне достаточности капитала, величине резервов на покрытие сомнительных ссуд и иных активов (публикуемая форма)” (далее — Отчет) по состоянию на 1 января в соответствии с Указанием Банка России от 8 октября 2008 года № 2089-У “О порядке составления кредитными организациями годового отчета”, зарегистрированным Министерством юстиции Российской Федерации 28 ноября 2008 года № 12753 (“Вестник Банка России” от 4 декабря 2008 года № 71) (далее — Указание Банка России № 2089-У), и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годового отчета кредитной организации и подлежит опубликованию. Отчет представляется кредитными организациями (включая небанковские кредитные организации) в территориальные учреждения Банка России, осуществляющие надзор за их деятельностью, не позднее 3 рабочих дней после дня опубликования годового отчета.</w:t>
      </w:r>
    </w:p>
    <w:p>
      <w:pPr>
        <w:pStyle w:val="MainText"/>
        <w:rPr/>
      </w:pPr>
      <w:r>
        <w:rPr/>
        <w:t>Отчет по состоянию на 1 апреля, 1 июля и 1 октября публикуется кредитными организациями (за исключением небанковских кредитных организаций) и представляется в территориальные учреждения Банка России, осуществляющие надзор за их деятельностью, не позднее 3 рабочих дней после дня его опубликования.</w:t>
      </w:r>
    </w:p>
    <w:p>
      <w:pPr>
        <w:pStyle w:val="MainText"/>
        <w:rPr/>
      </w:pPr>
      <w:r>
        <w:rPr/>
        <w:t>2. Строки 1, 1.1—1.8 Отчета заполняются на основе отчетности по форме 0409134 “Расчет собственных средств (капитала)” на соответствующую отчетную дату в соответствии с методикой определения собственных средств (капитала) кредитной организации, установленной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17 июля 2006 года № 8091, 7 марта 2007 года № 9072, 26 июля 2007 года № 9910, 20 декабря 2007 года № 10778, 2 декабря 2008 года № 12840, 19 декабря 2008 года № 12905, 29 июня 2009 года № 14161 (“Вестник Банка России” от 20 марта 2003 года № 15, от 26 июля 2006 года № 41, от 14 марта 2007 года № 14, от 2 августа 2007 года № 44, от 26 декабря 2007 года № 71, от 17 декабря 2008 года № 73, от 24 декабря 2008 года № 74, от 8 июля 2009 года № 40) (далее — Положение Банка России № 215-П). По состоянию на 1 января указанные строки заполняются на основе данных годового отчета, составленного в соответствии с Указанием Банка России № 2089-У и в соответствии с Положением Банка России № 215-П.</w:t>
      </w:r>
    </w:p>
    <w:p>
      <w:pPr>
        <w:pStyle w:val="MainText"/>
        <w:rPr/>
      </w:pPr>
      <w:r>
        <w:rPr/>
        <w:t>В графе 4 строки 1.5.2 Отчета по состоянию на 1 апреля, 1 июля и 1 октября проставляется символ “X”.</w:t>
      </w:r>
    </w:p>
    <w:p>
      <w:pPr>
        <w:pStyle w:val="MainText"/>
        <w:rPr/>
      </w:pPr>
      <w:r>
        <w:rPr/>
        <w:t>3. По строкам 2 и 3 Отчета отражаются соответственно нормативное и фактическое значение достаточности собственных средств (капитала), рассчитанное в соответствии с Инструкцией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25 апреля 2006 года № 7740, 5 июля 2007 года № 9755, 10 декабря 2007 года № 10659, 14 апреля 2008 года № 11535, 30 июня 2008 года № 11907, 17 марта 2009 года № 13522, 23 марта 2009 года № 13572, 22 апреля 2009 года № 13807, 5 августа 2009 года № 14464 (“Вестник Банка России” от 11 февраля 2004 года № 11, от 8 сентября 2004 года № 53, от 13 апреля 2005 года № 19, от 10 августа 2005 года № 40, от 31 августа 2005 года № 46, от 4 мая 2006 года № 26, от 11 июля 2007 года № 39, от 17 декабря 2007 года № 69, от 30 апреля 2008 года № 19, от 9 июля 2008 года № 36, от 25 марта 2009 года № 20, от 1 апреля 2009 года № 21, от 29 апреля 2009 года № 25, от 12 августа 2009 года № 47). Значения приводятся с одним десятичным знаком после запятой.</w:t>
      </w:r>
    </w:p>
    <w:p>
      <w:pPr>
        <w:pStyle w:val="MainText"/>
        <w:rPr/>
      </w:pPr>
      <w:r>
        <w:rPr/>
        <w:t>4. По строке 4 Отчета отражается общая (совокупная) величина сформированных кредитной организацией резервов на возможные потери, в том числе:</w:t>
      </w:r>
    </w:p>
    <w:p>
      <w:pPr>
        <w:pStyle w:val="MainText"/>
        <w:rPr/>
      </w:pPr>
      <w:r>
        <w:rPr/>
        <w:t>по строке 4.1 и в разделе “Справочно” Отчета — величина резерва на возможные потери по ссудам, ссудной и приравненной к ней задолженности (далее — ссуды), сформированного в соответствии с Положением Банка России от 26 марта 2004 года №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зарегистрированным Министерством юстиции Российской Федерации 26 апреля 2004 года № 5774, 20 апреля 2006 года № 7728, 27 декабря 2006 года № 8676, 10 декабря 2007 года № 10660, 23 января 2008 года № 10968, 22 мая 2008 года № 11730, 22 мая 2008 года № 11724, 30 июня 2008 года № 11903, 29 января 2009 года № 13219, 20 февраля 2009 года № 13414 (“Вестник Банка России” от 7 мая 2004 года № 28, от 4 мая 2006 года № 26, от 15 января 2007 года № 1, от 17 декабря 2007 года № 69, от 31 января 2008 года № 4, от 28 мая 2008 года № 25, от 4 июня 2008 года № 28, от 9 июля 2008 года № 36, от 4 февраля 2009 года № 7, от 4 марта 2009 года № 15), а также резерва на возможные потери по требованиям по получению процентных доходов по ссудам, сформированного в соответствии с Положением Банка России от 20 марта 2006 года № 283-П “О порядке формирования кредитными организациями резервов на возможные потери”, зарегистрированным Министерством юстиции Российской Федерации 25 апреля 2006 года № 7741, 2 июля 2007 года № 9739, 6 декабря 2007 года № 10639, 10 сентября 2008 года № 12260, 5 августа 2009 года № 14477 (“Вестник Банка России” от 4 мая 2006 года № 26, от 11 июля 2007 года № 39, от 17 декабря 2007 года № 69, от 17 сентября 2008 года № 49, от 12 августа 2009 года № 47) (далее — Положение Банка России № 283-П);</w:t>
      </w:r>
    </w:p>
    <w:p>
      <w:pPr>
        <w:pStyle w:val="MainText"/>
        <w:rPr/>
      </w:pPr>
      <w:r>
        <w:rPr/>
        <w:t>по строке 4.2 — величина резерва на возможные потери по иным активам, по которым существует риск понесения потерь, и прочим потерям, сформированного в соответствии с Положением Банка России № 283-П;</w:t>
      </w:r>
    </w:p>
    <w:p>
      <w:pPr>
        <w:pStyle w:val="MainText"/>
        <w:rPr/>
      </w:pPr>
      <w:r>
        <w:rPr/>
        <w:t>по строке 4.3 — величина резерва на возможные потери по условным обязательствам кредитного характера, отраженным на внебалансовых счетах, и срочным сделкам, сформированного в соответствии с Положением Банка России № 283-П;</w:t>
      </w:r>
    </w:p>
    <w:p>
      <w:pPr>
        <w:pStyle w:val="MainText"/>
        <w:rPr/>
      </w:pPr>
      <w:r>
        <w:rPr/>
        <w:t>по строке 4.4 — величина резерва на возможные потери по операциям с резидентами офшорных зон, сформированного в соответствии с Указанием Банка России от 22 июня 2005 года № 1584-У “О формировании и размере резерва на возможные потери под операции кредитных организаций с резидентами офшорных зон”, зарегистрированным Министерством юстиции Российской Федерации 15 июля 2005 года № 6799 (“Вестник Банка России” от 27 июля 2005 года № 38).</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СВЕДЕНИЯ О СОСТАВЕ УЧАСТНИКОВ БАНКОВСКОЙ (КОНСОЛИДИРОВАННОЙ) ГРУППЫ, УРОВНЕ ДОСТАТОЧНОСТИ СОБСТВЕННЫХ СРЕДСТВ И ВЕЛИЧИНЕ СФОРМИРОВАННЫХ РЕЗЕРВОВ НА ПОКРЫТИЕ СОМНИТЕЛЬНЫХ ССУД И ИНЫХ АКТИВОВ</w:t>
        <w:br/>
        <w:t xml:space="preserve">по состоянию на 1 января </w:t>
      </w:r>
      <w:r>
        <w:rPr/>
        <w:t>_____</w:t>
      </w:r>
      <w:r>
        <w:rPr>
          <w:b w:val="false"/>
        </w:rPr>
        <w:t xml:space="preserve"> </w:t>
      </w:r>
      <w:r>
        <w:rPr/>
        <w:t>г.</w:t>
      </w:r>
    </w:p>
    <w:p>
      <w:pPr>
        <w:pStyle w:val="MainTextLine155"/>
        <w:rPr/>
      </w:pPr>
      <w:r>
        <w:rPr/>
        <w:t>Cокращенное фирменное наименование головной кредитной организации</w:t>
        <w:tab/>
      </w:r>
    </w:p>
    <w:p>
      <w:pPr>
        <w:pStyle w:val="MainTextLine155"/>
        <w:rPr/>
      </w:pPr>
      <w:r>
        <w:rPr/>
        <w:t>Почтовый адрес</w:t>
        <w:tab/>
      </w:r>
    </w:p>
    <w:p>
      <w:pPr>
        <w:pStyle w:val="MainTextBezOtstupa"/>
        <w:spacing w:before="120" w:after="60"/>
        <w:jc w:val="end"/>
        <w:rPr/>
      </w:pPr>
      <w:r>
        <w:rPr/>
        <w:t>Код формы по ОКУД 0409812</w:t>
        <w:br/>
        <w:t>Годовая</w:t>
      </w:r>
    </w:p>
    <w:tbl>
      <w:tblPr>
        <w:tblW w:w="10988" w:type="dxa"/>
        <w:jc w:val="center"/>
        <w:tblInd w:w="0" w:type="dxa"/>
        <w:tblLayout w:type="fixed"/>
        <w:tblCellMar>
          <w:top w:w="0" w:type="dxa"/>
          <w:start w:w="28" w:type="dxa"/>
          <w:bottom w:w="0" w:type="dxa"/>
          <w:end w:w="28" w:type="dxa"/>
        </w:tblCellMar>
      </w:tblPr>
      <w:tblGrid>
        <w:gridCol w:w="817"/>
        <w:gridCol w:w="6945"/>
        <w:gridCol w:w="1418"/>
        <w:gridCol w:w="1808"/>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статьи</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Данные за отчетный период</w:t>
            </w:r>
          </w:p>
        </w:tc>
        <w:tc>
          <w:tcPr>
            <w:tcW w:w="1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Данные за соответствующий период прошлого года</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180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Состав участников банковской (консолидированной) группы:</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________________ (наименование участника группы)</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________________ (наименование участника группы) (процент акций (долей)</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1.n</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________________ (наименование участника группы) (процент акций (долей)</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Сведения об уровне достаточности собственных средств и величине сформированных группой резервов на покрытие сомнительных ссуд и иных активов</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Величина собственных средств, тыс. руб.</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Нормативное значение достаточности собственных средств, процент</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Фактическое значение достаточности собственных средств, процент</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694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Величина фактически сформированного резерва на возможные потери, тыс. руб.</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80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6803" w:leader="none"/>
        </w:tabs>
        <w:spacing w:before="120" w:after="0"/>
        <w:rPr/>
      </w:pPr>
      <w:r>
        <w:rPr/>
        <w:t>Руководитель головной кредитной организации</w:t>
        <w:tab/>
        <w:t>(Ф.И.О.)</w:t>
      </w:r>
    </w:p>
    <w:p>
      <w:pPr>
        <w:pStyle w:val="MainTextLine155"/>
        <w:tabs>
          <w:tab w:val="clear" w:pos="8787"/>
          <w:tab w:val="left" w:pos="6803" w:leader="none"/>
        </w:tabs>
        <w:spacing w:before="57" w:after="0"/>
        <w:rPr/>
      </w:pPr>
      <w:r>
        <w:rPr/>
        <w:t>Главный бухгалтер головной кредитной организации</w:t>
        <w:tab/>
        <w:t>(Ф.И.О.)</w:t>
      </w:r>
    </w:p>
    <w:p>
      <w:pPr>
        <w:pStyle w:val="MainTextBezOtstupa"/>
        <w:spacing w:before="57" w:after="0"/>
        <w:rPr/>
      </w:pPr>
      <w:r>
        <w:rPr/>
        <w:t>М.П.</w:t>
      </w:r>
    </w:p>
    <w:p>
      <w:pPr>
        <w:pStyle w:val="MainTextLine155"/>
        <w:tabs>
          <w:tab w:val="clear" w:pos="8787"/>
          <w:tab w:val="left" w:pos="6803"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0409812 “Сведения о составе участников банковской (консолидированной) группы, уровне достаточности собственных средств и величине сформированных резервов на покрытие сомнительных ссуд и иных активов”</w:t>
      </w:r>
    </w:p>
    <w:p>
      <w:pPr>
        <w:pStyle w:val="MainText"/>
        <w:rPr/>
      </w:pPr>
      <w:r>
        <w:rPr/>
        <w:t>1. Отчетность по форме 0409812 “Сведения о составе участников банковской (консолидированной) группы, уровне достаточности собственных средств и величине сформированных резервов на покрытие сомнительных ссуд и иных активов” (далее — Отчет) по состоянию на 1 января в соответствии с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годовой публикуемой консолидированной отчетности и подлежит опубликованию. Отчет представляется головными кредитными организациями банковских (консолидированных) групп в территориальные учреждения Банка России, осуществляющие надзор за их деятельностью, не позднее 3 рабочих дней после дня опубликования годовой публикуемой консолидированной отчетности.</w:t>
      </w:r>
    </w:p>
    <w:p>
      <w:pPr>
        <w:pStyle w:val="MainText"/>
        <w:rPr/>
      </w:pPr>
      <w:r>
        <w:rPr/>
        <w:t>Отчет по состоянию на 1 апреля, 1 июля и 1 октября (в  случае принятия головной кредитной организацией банковской (консолидированной) группы решения об опубликовании квартальной публикуемой консолидированной отчетности) публикуется головными кредитными организациями банковских (консолидированных) групп и представляется в территориальные учреждения Банка России, осуществляющие надзор за их деятельностью, не позднее 3 рабочих дней после дня его опубликования.</w:t>
      </w:r>
    </w:p>
    <w:p>
      <w:pPr>
        <w:pStyle w:val="MainText"/>
        <w:rPr/>
      </w:pPr>
      <w:r>
        <w:rPr/>
        <w:t>2. В строке 1 Отчета указывается полное наименование участника банковской (консолидированной) группы и удельный вес акций (долей) участника, принадлежащих головной кредитной организации и (или) другим участникам банковской (консолидированной) группы в соответствии с пунктом 3 Порядка составления и представления отчетности по форме 0409801 “Отчет о составе участников банковской (консолидированной) группы”. В случае если головная кредитная организация и (или) другие участники банковской (консолидированной) группы оказывают влияние на решения органов управления участника банковской (консолидированной) группы иным образом, данные по такому участнику в графах 3 и 4 не указываются.</w:t>
      </w:r>
    </w:p>
    <w:p>
      <w:pPr>
        <w:pStyle w:val="MainText"/>
        <w:rPr/>
      </w:pPr>
      <w:r>
        <w:rPr/>
        <w:t>Количество строк (n) соответствует количеству участников банковской (консолидированной) группы в отчетном и предыдущем периодах. В случае включения в состав банковской (консолидированной) группы новых участников или выбытия участников банковской (консолидированной) группы в течение отчетного периода в соответствующей графе проставляется символ “Х”.</w:t>
      </w:r>
    </w:p>
    <w:p>
      <w:pPr>
        <w:pStyle w:val="MainText"/>
        <w:rPr/>
      </w:pPr>
      <w:r>
        <w:rPr/>
        <w:t>3. В строке 2.1 Отчета указываются данные строки 18 “Всего собственных средств группы” раздела I “Собственные средства” отчетности по форме 0409805 “Отчет об обязательных нормативах банковской (консолидированной) группы”.</w:t>
      </w:r>
    </w:p>
    <w:p>
      <w:pPr>
        <w:pStyle w:val="MainText"/>
        <w:rPr/>
      </w:pPr>
      <w:r>
        <w:rPr/>
        <w:t>4. По строкам 2.2 и 2.3 Отчета отражаются соответственно нормативное и фактическое значения достаточности собственных средств банковской (консолидированной) группы в соответствии с Положением Банка России от 30 июля 2002 года № 191-П “О консолидированной отчетности”, зарегистрированным Министерством юстиции Российской Федерации 11 октября 2002 года № 3857, 14 марта 2005 года № 6393, 23 июля 2007 года № 9876 (“Вестник Банка России” от 31 октября 2002 года № 58, от 13 апреля 2005 года № 19, от 2 августа 2007 года № 44), и Положением Банка России от 5 января 2004 года № 246-П “О порядке составления головной кредитной организацией банковской (консолидированной) группы консолидированной отчетности”, зарегистрированным Министерством юстиции Российской Федерации 29 января 2004 года № 5494, 17 марта 2005 года № 6408, 26 июля 2007 года № 9911 (“Вестник Банка России” от 6 февраля 2004 года № 10, от 13 апреля 2005 года № 19, от 2 августа 2007 года № 44). Значения приводятся с одним десятичным знаком после запятой.</w:t>
      </w:r>
    </w:p>
    <w:p>
      <w:pPr>
        <w:pStyle w:val="MainText"/>
        <w:rPr/>
      </w:pPr>
      <w:r>
        <w:rPr/>
        <w:t>5. По строке 2.4 Отчета отражаются величины фактически сформированных резервов на возможные потери в целом по группе.</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57"/>
        <w:rPr/>
      </w:pPr>
      <w:r>
        <w:rPr>
          <w:color w:val="000000"/>
        </w:rPr>
        <w:t xml:space="preserve">СВЕДЕНИЯ ОБ ОБЯЗАТЕЛЬНЫХ НОРМАТИВАХ </w:t>
        <w:br/>
        <w:t>(публикуемая форма)</w:t>
        <w:br/>
        <w:t xml:space="preserve">по состоянию на 1 января </w:t>
      </w:r>
      <w:r>
        <w:rPr/>
        <w:t>_____</w:t>
      </w:r>
      <w:r>
        <w:rPr>
          <w:b w:val="false"/>
        </w:rPr>
        <w:t xml:space="preserve"> </w:t>
      </w:r>
      <w:r>
        <w:rPr/>
        <w:t>г.</w:t>
      </w:r>
    </w:p>
    <w:p>
      <w:pPr>
        <w:pStyle w:val="MainTextLine155"/>
        <w:tabs>
          <w:tab w:val="clear" w:pos="8787"/>
          <w:tab w:val="right" w:pos="8220" w:leader="underscore"/>
        </w:tabs>
        <w:rPr/>
      </w:pPr>
      <w:r>
        <w:rPr/>
        <w:t>Кредитной организации</w:t>
        <w:tab/>
      </w:r>
    </w:p>
    <w:p>
      <w:pPr>
        <w:pStyle w:val="MainTextBezOtstupa"/>
        <w:spacing w:before="0" w:after="57"/>
        <w:ind w:start="397" w:end="992"/>
        <w:jc w:val="center"/>
        <w:rPr>
          <w:sz w:val="16"/>
        </w:rPr>
      </w:pPr>
      <w:r>
        <w:rPr>
          <w:sz w:val="16"/>
        </w:rPr>
        <w:t>(полное фирменное и сокращенное фирменное наименование)</w:t>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0409813</w:t>
        <w:br/>
        <w:t>Годовая</w:t>
        <w:br/>
        <w:t>процент</w:t>
      </w:r>
    </w:p>
    <w:tbl>
      <w:tblPr>
        <w:tblW w:w="10992" w:type="dxa"/>
        <w:jc w:val="center"/>
        <w:tblInd w:w="0" w:type="dxa"/>
        <w:tblLayout w:type="fixed"/>
        <w:tblCellMar>
          <w:top w:w="0" w:type="dxa"/>
          <w:start w:w="28" w:type="dxa"/>
          <w:bottom w:w="0" w:type="dxa"/>
          <w:end w:w="28" w:type="dxa"/>
        </w:tblCellMar>
      </w:tblPr>
      <w:tblGrid>
        <w:gridCol w:w="672"/>
        <w:gridCol w:w="6099"/>
        <w:gridCol w:w="1135"/>
        <w:gridCol w:w="1225"/>
        <w:gridCol w:w="318"/>
        <w:gridCol w:w="1225"/>
        <w:gridCol w:w="318"/>
      </w:tblGrid>
      <w:tr>
        <w:trPr>
          <w:tblHeader w:val="true"/>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Номер</w:t>
            </w:r>
          </w:p>
        </w:tc>
        <w:tc>
          <w:tcPr>
            <w:tcW w:w="6099"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Наименование показателя</w:t>
            </w:r>
          </w:p>
        </w:tc>
        <w:tc>
          <w:tcPr>
            <w:tcW w:w="1135"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Нормативное</w:t>
            </w:r>
          </w:p>
        </w:tc>
        <w:tc>
          <w:tcPr>
            <w:tcW w:w="3086"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Фактическое значение</w:t>
            </w:r>
          </w:p>
        </w:tc>
      </w:tr>
      <w:tr>
        <w:trPr>
          <w:tblHeader w:val="true"/>
          <w:cantSplit/>
        </w:trPr>
        <w:tc>
          <w:tcPr>
            <w:tcW w:w="672"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строки</w:t>
            </w:r>
          </w:p>
        </w:tc>
        <w:tc>
          <w:tcPr>
            <w:tcW w:w="6099"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135" w:type="dxa"/>
            <w:tcBorders>
              <w:start w:val="single" w:sz="6" w:space="0" w:color="000000"/>
              <w:bottom w:val="single" w:sz="6" w:space="0" w:color="000000"/>
              <w:end w:val="single" w:sz="6" w:space="0" w:color="000000"/>
            </w:tcBorders>
          </w:tcPr>
          <w:p>
            <w:pPr>
              <w:pStyle w:val="MainText"/>
              <w:ind w:hanging="0" w:end="0"/>
              <w:jc w:val="center"/>
              <w:rPr>
                <w:sz w:val="16"/>
              </w:rPr>
            </w:pPr>
            <w:r>
              <w:rPr>
                <w:sz w:val="16"/>
              </w:rPr>
              <w:t>значение</w:t>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 отчетную дату</w:t>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на предыдущую отчетную дату</w:t>
            </w:r>
          </w:p>
        </w:tc>
      </w:tr>
      <w:tr>
        <w:trPr>
          <w:tblHeader w:val="true"/>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достаточности собственных средств (капитала) банка (Н1)</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мгновенной ликвидности банка (Н2)</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текущей ликвидности банка (Н3)</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долгосрочной ликвидности банка (Н4)</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end w:val="single" w:sz="6" w:space="0" w:color="000000"/>
            </w:tcBorders>
          </w:tcPr>
          <w:p>
            <w:pPr>
              <w:pStyle w:val="MainText"/>
              <w:ind w:hanging="0" w:end="0"/>
              <w:jc w:val="center"/>
              <w:rPr>
                <w:sz w:val="16"/>
              </w:rPr>
            </w:pPr>
            <w:r>
              <w:rPr>
                <w:sz w:val="16"/>
              </w:rPr>
              <w:t>5</w:t>
            </w:r>
          </w:p>
        </w:tc>
        <w:tc>
          <w:tcPr>
            <w:tcW w:w="6099" w:type="dxa"/>
            <w:tcBorders>
              <w:top w:val="single" w:sz="6" w:space="0" w:color="000000"/>
              <w:start w:val="single" w:sz="6" w:space="0" w:color="000000"/>
              <w:end w:val="single" w:sz="6" w:space="0" w:color="000000"/>
            </w:tcBorders>
          </w:tcPr>
          <w:p>
            <w:pPr>
              <w:pStyle w:val="MainText"/>
              <w:ind w:hanging="0" w:end="0"/>
              <w:jc w:val="start"/>
              <w:rPr>
                <w:sz w:val="16"/>
              </w:rPr>
            </w:pPr>
            <w:r>
              <w:rPr>
                <w:sz w:val="16"/>
              </w:rPr>
              <w:t>Норматив максимального размера риска на одного заемщика</w:t>
            </w:r>
          </w:p>
        </w:tc>
        <w:tc>
          <w:tcPr>
            <w:tcW w:w="1135" w:type="dxa"/>
            <w:tcBorders>
              <w:top w:val="single" w:sz="6" w:space="0" w:color="000000"/>
              <w:start w:val="single" w:sz="6" w:space="0" w:color="000000"/>
              <w:end w:val="single" w:sz="6" w:space="0" w:color="000000"/>
            </w:tcBorders>
          </w:tcPr>
          <w:p>
            <w:pPr>
              <w:pStyle w:val="MainText"/>
              <w:snapToGrid w:val="false"/>
              <w:ind w:hanging="0" w:end="0"/>
              <w:jc w:val="center"/>
              <w:rPr>
                <w:sz w:val="16"/>
              </w:rPr>
            </w:pPr>
            <w:r>
              <w:rPr>
                <w:sz w:val="16"/>
              </w:rPr>
            </w:r>
          </w:p>
        </w:tc>
        <w:tc>
          <w:tcPr>
            <w:tcW w:w="122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Максимальное</w:t>
            </w:r>
          </w:p>
        </w:tc>
        <w:tc>
          <w:tcPr>
            <w:tcW w:w="3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Максимальное</w:t>
            </w:r>
          </w:p>
        </w:tc>
        <w:tc>
          <w:tcPr>
            <w:tcW w:w="3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6099" w:type="dxa"/>
            <w:tcBorders>
              <w:start w:val="single" w:sz="6" w:space="0" w:color="000000"/>
              <w:bottom w:val="single" w:sz="6" w:space="0" w:color="000000"/>
              <w:end w:val="single" w:sz="6" w:space="0" w:color="000000"/>
            </w:tcBorders>
          </w:tcPr>
          <w:p>
            <w:pPr>
              <w:pStyle w:val="MainText"/>
              <w:ind w:hanging="0" w:end="0"/>
              <w:jc w:val="start"/>
              <w:rPr>
                <w:sz w:val="16"/>
              </w:rPr>
            </w:pPr>
            <w:r>
              <w:rPr>
                <w:sz w:val="16"/>
              </w:rPr>
              <w:t>или группу связанных заемщиков (Н6)</w:t>
            </w:r>
          </w:p>
        </w:tc>
        <w:tc>
          <w:tcPr>
            <w:tcW w:w="1135" w:type="dxa"/>
            <w:tcBorders>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Минимальное</w:t>
            </w:r>
          </w:p>
        </w:tc>
        <w:tc>
          <w:tcPr>
            <w:tcW w:w="3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225"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Минимальное</w:t>
            </w:r>
          </w:p>
        </w:tc>
        <w:tc>
          <w:tcPr>
            <w:tcW w:w="3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максимального размера крупных кредитных рисков (Н7)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максимального размера кредитов, банковских гарантий и поручительств, предоставленных банком своим участникам (акционерам) (Н9.1)</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совокупной величины риска по инсайдерам банка (Н10.1)</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использования собственных средств (капитала) банка для приобретения акций (долей) других юридических лиц (Н12)</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соотношения суммы ликвидных активов сроком исполнения в ближайшие 30 календарных дней к сумме обязательств РНКО (Н15)</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максимальной совокупной величины кредитов клиентам — участникам расчетов на завершение расчетов (Н16)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предоставления РНКО от своего имени и за свой счет кредитов заемщикам, кроме клиентов — участников расчетов (Н16.1)</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минимального соотношения размера предоставленных кредитов с ипотечным покрытием и собственных средств (капитала) (H17)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минимального соотношения размера ипотечного покрытия и объема эмиссии облигаций с ипотечным покрытием (H18)</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67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609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Норматив максимального соотношения совокупной суммы обязательств кредитной организации — эмитента перед кредиторами, которые в соответствии с федеральными законами имеют приоритетное право на удовлетворение своих требований перед владельцами облигаций с ипотечным покрытием, и собственных средств (капитала) (H19)</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543" w:type="dxa"/>
            <w:gridSpan w:val="2"/>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color w:val="000000"/>
        </w:rPr>
        <w:t>Порядок составления и представления отчетности по форме 0409813 “Сведения об обязательных нормативах (публикуемая форма)”</w:t>
      </w:r>
    </w:p>
    <w:p>
      <w:pPr>
        <w:pStyle w:val="MainText"/>
        <w:rPr/>
      </w:pPr>
      <w:r>
        <w:rPr/>
        <w:t>1. Отчетность по форме 0409813 “Сведения об обязательных нормативах (публикуемая форма)” (далее — Отчет) в соответствии с Указанием Банка России от 8 октября 2008 года № 2089-У “О порядке составления кредитными организациями годового отчета”, зарегистрированным Министерством юстиции Российской Федерации 28 ноября 2008 года № 12753 (“Вестник Банка России” от 4 декабря 2008 года № 71) и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годового отчета кредитной организации и подлежит опубликованию. Отчет представляется кредитными организациями (включая небанковские кредитные организации) в территориальные учреждения Банка России, осуществляющие надзор за их деятельностью, не позднее 3 рабочих дней после дня опубликования годового отчета.</w:t>
      </w:r>
    </w:p>
    <w:p>
      <w:pPr>
        <w:pStyle w:val="MainText"/>
        <w:rPr/>
      </w:pPr>
      <w:r>
        <w:rPr/>
        <w:t>2. Отчет заполняется на основе данных, определенных в соответствии с Инструкцией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25 апреля 2006 года № 7740, 5 июля 2007 года № 9755, 10 декабря 2007 года № 10659, 14 апреля 2008 года № 11535, 30 июня 2008 года № 11907, 17 марта 2009 года № 13522, 23 марта 2009 года № 13572, 22 апреля 2009 года № 13807, 5 августа 2009 года № 14464 (“Вестник Банка России” от 11 февраля 2004 года № 11, от 8 сентября 2004 года № 53, от 13 апреля 2005 года № 19, от 10 августа 2005 года № 40, от 31 августа 2005 года № 46, от 4 мая 2006 года № 26, от 11 июля 2007 года № 39, от 17 декабря 2007 года № 69, от 30 апреля 2008 года № 19, от 9 июля 2008 года № 36, от 25 марта 2009 года № 20, от 1 апреля 2009 года № 21, от 29 апреля 2009 года № 25, от 12 августа 2009 года № 47) (далее — Инструкция Банка России № 110-И), Инструкцией Банка России от 31 марта 2004 года № 112-И “Об обязательных нормативах кредитных организаций, осуществляющих эмиссию облигаций с ипотечным покрытием”, зарегистрированной Министерством юстиции Российской Федерации 5 мая 2004 года № 5783, 14 марта 2005 года № 6394, 26 июня 2007 года № 9704 (“Вестник Банка России” от 19 мая 2004 года № 30, от 13 апреля 2005 года № 19, от 4 июля 2007 года № 38), Инструкцией Банка России от 26 апреля 2006 года № 129-И “О банковских операциях и других сделках расчетных небанковских кредитных организаций, обязательных нормативах расчетных небанковских кредитных организаций и особенностях осуществления Банком России надзора за их соблюдением”, зарегистрированной Министерством юстиции Российской Федерации 19 мая 2006 года № 7861, 6 августа 2007 года № 9956, 6 декабря 2007 года № 10637 (“Вестник Банка России” от 31 мая 2006 года № 32, от 22 августа 2007 года № 47, от 17 декабря 2007 года № 69), и нормативным актом Банка России об особенностях пруденциального регулирования деятельности небанковских кредитных организаций, осуществляющих депозитные и кредитные операции.</w:t>
      </w:r>
    </w:p>
    <w:p>
      <w:pPr>
        <w:pStyle w:val="MainText"/>
        <w:rPr/>
      </w:pPr>
      <w:r>
        <w:rPr/>
        <w:t>3. По строке 5 Отчета отражается максимальное и минимальное фактическое значение норматива максимального размера риска на одного заемщика или группу связанных заемщиков (Н6), определенного в соответствии с Инструкцией Банка России № 110-И, из десяти самых больших значений Н6 по заемщикам (группам связанных заемщиков), являющимся кредитными организациями, и из двадцати — по заемщикам (группам связанных заемщиков), не являющимся (не являющихся) кредитными организациями.</w:t>
      </w:r>
    </w:p>
    <w:p>
      <w:pPr>
        <w:pStyle w:val="MainText"/>
        <w:rPr/>
      </w:pPr>
      <w:r>
        <w:rPr/>
        <w:t>4. Отчет подлежит заполнению кредитной организацией только в части нормативов, которые она рассчитывает исходя из характера свой деятельности (банк, расчетная небанковская кредитная организация, небанковская кредитная организация, осуществляющая депозитно-кредитные операции).</w:t>
      </w:r>
    </w:p>
    <w:p>
      <w:pPr>
        <w:pStyle w:val="Primer1"/>
        <w:ind w:firstLine="567" w:start="0" w:end="0"/>
        <w:rPr/>
      </w:pPr>
      <w:r>
        <w:rPr/>
        <w:t>Пример. Банк, не осуществляющий эмиссию облигаций с ипотечным покрытием, заполняет Отчет по следующему кругу показателей:</w:t>
      </w:r>
    </w:p>
    <w:p>
      <w:pPr>
        <w:pStyle w:val="Primer2"/>
        <w:ind w:firstLine="567" w:start="0" w:end="0"/>
        <w:rPr/>
      </w:pPr>
      <w:r>
        <w:rPr/>
        <w:t>Норматив достаточности собственных средств (капитала) банка (Н1);</w:t>
      </w:r>
    </w:p>
    <w:p>
      <w:pPr>
        <w:pStyle w:val="Primer2"/>
        <w:ind w:firstLine="567" w:start="0" w:end="0"/>
        <w:rPr/>
      </w:pPr>
      <w:r>
        <w:rPr/>
        <w:t>Норматив мгновенной ликвидности банка (Н2);</w:t>
      </w:r>
    </w:p>
    <w:p>
      <w:pPr>
        <w:pStyle w:val="Primer2"/>
        <w:ind w:firstLine="567" w:start="0" w:end="0"/>
        <w:rPr/>
      </w:pPr>
      <w:r>
        <w:rPr/>
        <w:t>Норматив текущей ликвидности банка (Н3);</w:t>
      </w:r>
    </w:p>
    <w:p>
      <w:pPr>
        <w:pStyle w:val="Primer2"/>
        <w:ind w:firstLine="567" w:start="0" w:end="0"/>
        <w:rPr/>
      </w:pPr>
      <w:r>
        <w:rPr/>
        <w:t>Норматив долгосрочной ликвидности банка (Н4);</w:t>
      </w:r>
    </w:p>
    <w:p>
      <w:pPr>
        <w:pStyle w:val="Primer2"/>
        <w:ind w:firstLine="567" w:start="0" w:end="0"/>
        <w:rPr/>
      </w:pPr>
      <w:r>
        <w:rPr/>
        <w:t>Норматив максимального размера риска на одного заемщика или группу связанных заемщиков (Н6);</w:t>
      </w:r>
    </w:p>
    <w:p>
      <w:pPr>
        <w:pStyle w:val="Primer2"/>
        <w:ind w:firstLine="567" w:start="0" w:end="0"/>
        <w:rPr/>
      </w:pPr>
      <w:r>
        <w:rPr/>
        <w:t>Норматив максимального размера крупных кредитных рисков (Н7);</w:t>
      </w:r>
    </w:p>
    <w:p>
      <w:pPr>
        <w:pStyle w:val="Primer2"/>
        <w:ind w:firstLine="567" w:start="0" w:end="0"/>
        <w:rPr/>
      </w:pPr>
      <w:r>
        <w:rPr/>
        <w:t>Норматив максимального размера кредитов, банковских гарантий и поручительств, предоставленных банком своим участникам (акционерам) (Н9.1);</w:t>
      </w:r>
    </w:p>
    <w:p>
      <w:pPr>
        <w:pStyle w:val="Primer2"/>
        <w:ind w:firstLine="567" w:start="0" w:end="0"/>
        <w:rPr/>
      </w:pPr>
      <w:r>
        <w:rPr/>
        <w:t>Норматив совокупной величины риска по инсайдерам банка (Н10.1);</w:t>
      </w:r>
    </w:p>
    <w:p>
      <w:pPr>
        <w:pStyle w:val="Primer2"/>
        <w:ind w:firstLine="567" w:start="0" w:end="0"/>
        <w:rPr/>
      </w:pPr>
      <w:r>
        <w:rPr/>
        <w:t>Норматив использования собственных средств (капитала) банка для приобретения акций (долей) других юридических лиц (Н12).</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0"/>
        <w:rPr/>
      </w:pPr>
      <w:r>
        <w:rPr>
          <w:color w:val="000000"/>
        </w:rPr>
        <w:t xml:space="preserve">ОТЧЕТ О ДВИЖЕНИИ ДЕНЕЖНЫХ СРЕДСТВ </w:t>
        <w:br/>
        <w:t>(публикуемая форма)</w:t>
        <w:br/>
        <w:t>за __________________ г.</w:t>
      </w:r>
    </w:p>
    <w:p>
      <w:pPr>
        <w:pStyle w:val="MainTextBezOtstupa"/>
        <w:spacing w:before="0" w:after="227"/>
        <w:ind w:start="71" w:end="0"/>
        <w:jc w:val="center"/>
        <w:rPr/>
      </w:pPr>
      <w:r>
        <w:rPr/>
        <w:t>(отчетный год)</w:t>
      </w:r>
    </w:p>
    <w:p>
      <w:pPr>
        <w:pStyle w:val="MainTextLine155"/>
        <w:tabs>
          <w:tab w:val="clear" w:pos="8787"/>
          <w:tab w:val="right" w:pos="8220" w:leader="underscore"/>
        </w:tabs>
        <w:rPr/>
      </w:pPr>
      <w:r>
        <w:rPr/>
        <w:t>Кредитной организации</w:t>
        <w:tab/>
      </w:r>
    </w:p>
    <w:p>
      <w:pPr>
        <w:pStyle w:val="MainTextBezOtstupa"/>
        <w:spacing w:before="0" w:after="57"/>
        <w:ind w:start="397" w:end="1134"/>
        <w:jc w:val="center"/>
        <w:rPr>
          <w:sz w:val="16"/>
        </w:rPr>
      </w:pPr>
      <w:r>
        <w:rPr>
          <w:sz w:val="16"/>
        </w:rPr>
        <w:t>(полное фирменное и сокращенное фирменное наименование)</w:t>
      </w:r>
    </w:p>
    <w:p>
      <w:pPr>
        <w:pStyle w:val="MainTextLine155"/>
        <w:tabs>
          <w:tab w:val="clear" w:pos="8787"/>
          <w:tab w:val="right" w:pos="8220" w:leader="underscore"/>
        </w:tabs>
        <w:rPr/>
      </w:pPr>
      <w:r>
        <w:rPr/>
        <w:t>Почтовый адрес</w:t>
        <w:tab/>
      </w:r>
    </w:p>
    <w:p>
      <w:pPr>
        <w:pStyle w:val="MainTextBezOtstupa"/>
        <w:spacing w:before="120" w:after="60"/>
        <w:jc w:val="end"/>
        <w:rPr/>
      </w:pPr>
      <w:r>
        <w:rPr/>
        <w:t>Код формы по ОКУД 0409814</w:t>
        <w:br/>
        <w:t>Годовая</w:t>
        <w:br/>
        <w:t>тыс. руб.</w:t>
      </w:r>
    </w:p>
    <w:tbl>
      <w:tblPr>
        <w:tblW w:w="10988" w:type="dxa"/>
        <w:jc w:val="center"/>
        <w:tblInd w:w="0" w:type="dxa"/>
        <w:tblLayout w:type="fixed"/>
        <w:tblCellMar>
          <w:top w:w="0" w:type="dxa"/>
          <w:start w:w="28" w:type="dxa"/>
          <w:bottom w:w="0" w:type="dxa"/>
          <w:end w:w="28" w:type="dxa"/>
        </w:tblCellMar>
      </w:tblPr>
      <w:tblGrid>
        <w:gridCol w:w="817"/>
        <w:gridCol w:w="6803"/>
        <w:gridCol w:w="1684"/>
        <w:gridCol w:w="1684"/>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Наименование статей</w:t>
            </w:r>
          </w:p>
        </w:tc>
        <w:tc>
          <w:tcPr>
            <w:tcW w:w="16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Денежные потоки за отчетный период</w:t>
            </w:r>
          </w:p>
        </w:tc>
        <w:tc>
          <w:tcPr>
            <w:tcW w:w="16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Денежные потоки за предыдущий отчетный период</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6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168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10171"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Чистые денежные средства, полученные от (использованные в) операционной деятельности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Денежные средства, полученные от (использованные в) операционной деятельности до изменений в операционных активах и обязательствах, всего, </w:t>
              <w:br/>
              <w:t>в том числе:</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1.1.1</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Проценты полученные</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1.1.2</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Проценты уплаченные</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1.1.3</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Комиссии полученные</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1.1.4</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Комиссии уплаченные</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1.1.5</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за вычетом расходов по операциям с финансовыми активами, оцениваемыми по справедливой стоимости через прибыль или убыток, имеющимися в наличии для продажи</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1.1.6</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за вычетом расходов по операциям с ценными бумагами, удерживаемыми до погашения</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1.1.7</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за вычетом расходов по операциям с иностранной валютой</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1.1.8</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Прочие операционные доходы</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1.1.9</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Операционные расходы</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1.1.10</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Расход (возмещение) по налогам</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 xml:space="preserve">Прирост (снижение) чистых денежных средств от операционных активов и обязательств, всего, </w:t>
              <w:br/>
              <w:t>в том числе:</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1.2.1</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обязательным резервам на счетах в Банке России</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1.2.2</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вложениям в ценные бумаги, оцениваемым по справедливой стоимости через прибыль или убыток</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1.2.3</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ссудной задолженности</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1.2.4</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прочим активам</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1.2.5</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кредитам, депозитам и прочим средствам Банка России</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1.2.6</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средствам других кредитных организаций</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1.2.7</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средствам клиентов, не являющихся кредитными организациями</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1.2.8</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финансовым обязательствам, оцениваемым по справедливой стоимости через прибыль или убыток</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1.2.9</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выпущенным долговым обязательствам</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1.2.10</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Чистый прирост (снижение) по прочим обязательствам</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 по разделу 1 (ст. 1.1 + ст. 1.2)</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0171"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Чистые денежные средства, полученные от (использованные в) инвестиционной деятельности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Приобретение ценных бумаг и других финансовых активов, относящихся к категории “имеющиеся в наличии для продажи”</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Выручка от реализации и погашения ценных бумаг и других финансовых активов, относящихся к категории “имеющиеся в наличии для продажи”</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Приобретение ценных бумаг, относящихся к категории “удерживаемые до погашения”</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Выручка от погашения ценных бумаг, относящихся к категории “удерживаемые до погашения”</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Приобретение основных средств, нематериальных активов и материальных запасов</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Выручка от реализации основных средств, нематериальных активов и материальных запасов</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Дивиденды полученные</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 по разделу 2 (сумма строк с 2.1 по 2.7)</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10171" w:type="dxa"/>
            <w:gridSpan w:val="3"/>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Чистые денежные средства, полученные от (использованные в) финансовой деятельности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3.1</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Взносы акционеров (участников) в уставный капитал</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Приобретение собственных акций (долей), выкупленных у акционеров (участников)</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3.3</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Продажа собственных акций (долей), выкупленных у акционеров (участников)</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3.4</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Выплаченные дивиденды</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3.5</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 по разделу 3 (сумма строк с 3.1 по 3.4)</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Влияние изменений официальных курсов иностранных валют по отношению к рублю, установленных Банком России, на денежные средства и их эквиваленты</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Прирост (использование) денежных средств и их эквивалентов</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5.1</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Денежные средства и их эквиваленты на начало отчетного года</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5.2</w:t>
            </w:r>
          </w:p>
        </w:tc>
        <w:tc>
          <w:tcPr>
            <w:tcW w:w="680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Денежные средства и их эквиваленты на конец отчетного года</w:t>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168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0409814 “Отчет о движении денежных средств (публикуемая форма)”</w:t>
      </w:r>
    </w:p>
    <w:p>
      <w:pPr>
        <w:pStyle w:val="MainText"/>
        <w:rPr/>
      </w:pPr>
      <w:r>
        <w:rPr/>
        <w:t>1. Отчетность по форме 0409814 “Отчет о движении денежных средств (публикуемая форма)” (далее — Отчет) в соответствии с Указанием Банка России от 8 октября 2008 года № 2089-У “О порядке составления кредитными организациями годового отчета”, зарегистрированным Министерством юстиции Российской Федерации 28 ноября 2008 года № 12753 (“Вестник Банка России” от 4 декабря 2008 года № 71) и Указанием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 зарегистрированным Министерством юстиции Российской Федерации 18 февраля 2009 года № 13395 (“Вестник Банка России” от 26 февраля 2009 года № 14), является составной частью годового отчета кредитной организации и подлежит опубликованию. Отчет представляется кредитными организациями (включая небанковские кредитные организации) в территориальные учреждения Банка России, осуществляющие надзор за их деятельностью, не позднее 3 рабочих дней после дня опубликования годового отчета.</w:t>
      </w:r>
    </w:p>
    <w:p>
      <w:pPr>
        <w:pStyle w:val="MainText"/>
        <w:rPr/>
      </w:pPr>
      <w:r>
        <w:rPr/>
        <w:t>2. В Отчете отражается в динамике получение (приток) и уплата (отток) или привлечение и предоставление (размещение) денежных средств и их эквивалентов, обусловленные деятельностью кредитной организации. В целях составления Отчета под эквивалентами денежных средств понимаются краткосрочные высоколиквидные вложения, свободно конвертируемые в денежные средства и подвергающиеся незначительному риску изменения стоимости.</w:t>
      </w:r>
    </w:p>
    <w:p>
      <w:pPr>
        <w:pStyle w:val="MainText"/>
        <w:rPr/>
      </w:pPr>
      <w:r>
        <w:rPr/>
        <w:t>3. Отчет составляется на основании данных отчетности по форме 0409806 “Бухгалтерский баланс (публикуемая форма)” (далее — форма 0409806), отчетности по форме 0409807 “Отчет о прибылях и убытках (публикуемая форма)” (далее — форма 0409807) по состоянию на 1 января с учетом корректировок, осуществляемых в соответствии с “Разработочной таблицей для составления Отчета о движении денежных средств (публикуемая форма)” настоящего Порядка (далее — Разработочная таблица).</w:t>
      </w:r>
    </w:p>
    <w:p>
      <w:pPr>
        <w:pStyle w:val="MainText"/>
        <w:rPr/>
      </w:pPr>
      <w:r>
        <w:rPr/>
        <w:t>4. Для составления Отчета кредитные организации также осуществляют корректировку активов и обязательств в части операций обмена активов и (или) обязательств и влияния изменений официальных курсов иностранных валют по отношению к рублю, установленных Банком России, на активы и обязательства.</w:t>
      </w:r>
    </w:p>
    <w:p>
      <w:pPr>
        <w:pStyle w:val="MainText"/>
        <w:rPr/>
      </w:pPr>
      <w:r>
        <w:rPr/>
        <w:t>Если в течение отчетного периода имели место операции обмена активов и (или) обязательств, включая исполнение требований и (или) обязательств по получению (предоставлению) денежных средств путем передачи активов, отличных от денежных средств и их эквивалентов, в Разработочной таблице в графе 7:</w:t>
      </w:r>
    </w:p>
    <w:p>
      <w:pPr>
        <w:pStyle w:val="MainText"/>
        <w:rPr/>
      </w:pPr>
      <w:r>
        <w:rPr/>
        <w:t>по строке, относящейся к полученному активу или погашенному обязательству, отражается балансовая стоимость полученного актива или погашенного обязательства на дату операции;</w:t>
      </w:r>
    </w:p>
    <w:p>
      <w:pPr>
        <w:pStyle w:val="MainText"/>
        <w:rPr/>
      </w:pPr>
      <w:r>
        <w:rPr/>
        <w:t>по строке, относящейся к переданному активу или вновь появившемуся обязательству, отражается сумма, определенная в абзаце третьем настоящего пункта, но со знаком “минус”.</w:t>
      </w:r>
    </w:p>
    <w:p>
      <w:pPr>
        <w:pStyle w:val="MainText"/>
        <w:rPr/>
      </w:pPr>
      <w:r>
        <w:rPr/>
        <w:t>Корректировка осуществляется в целях отражения в Отчете денежных потоков в иностранной валюте по установленному Банком России официальному курсу иностранных валют по отношению к рублю, действовавшему на момент совершения операции, и рассчитывается отдельно для каждой группы активов и обязательств, отражаемых в учете в иностранной валюте, включенных в соответствующие строки Разработочной таблицы.</w:t>
      </w:r>
    </w:p>
    <w:p>
      <w:pPr>
        <w:pStyle w:val="MainText"/>
        <w:rPr/>
      </w:pPr>
      <w:r>
        <w:rPr/>
        <w:t>Для каждой такой строки данная корректировка рассчитывается оценочным путем как средний остаток за отчетный период (в единицах соответствующей иностранной валюты) активов или обязательств указанной строки, выраженных в иностранной валюте, умноженный на изменение официального курса соответствующей иностранной валюты по отношению к рублю, установленного Банком России (в расчете на единицу соответствующей иностранной валюты) за отчетный период. Если данная сумма положительна (прирост активов или снижение обязательств), она отражается по соответствующей строке активов или обязательств в графе 7 Разработочной таблицы со знаком “плюс”, если отрицательна — со знаком “минус”. Одновременно данная величина отражается по указанной графе Разработочной таблицы по строке 4 с противоположным знаком.</w:t>
      </w:r>
    </w:p>
    <w:p>
      <w:pPr>
        <w:pStyle w:val="MainText"/>
        <w:rPr/>
      </w:pPr>
      <w:r>
        <w:rPr/>
        <w:t>5. В Отчете:</w:t>
      </w:r>
    </w:p>
    <w:p>
      <w:pPr>
        <w:pStyle w:val="MainText"/>
        <w:rPr/>
      </w:pPr>
      <w:r>
        <w:rPr/>
        <w:t>увеличение активных статей формы 0409806 и расходов формы 0409807 за отчетный период отражается со знаком “минус”;</w:t>
      </w:r>
    </w:p>
    <w:p>
      <w:pPr>
        <w:pStyle w:val="MainText"/>
        <w:rPr/>
      </w:pPr>
      <w:r>
        <w:rPr/>
        <w:t>уменьшение активных статей формы 0409806 и расходов формы 0409807 за отчетный период отражается со знаком “плюс”;</w:t>
      </w:r>
    </w:p>
    <w:p>
      <w:pPr>
        <w:pStyle w:val="MainText"/>
        <w:rPr/>
      </w:pPr>
      <w:r>
        <w:rPr/>
        <w:t>увеличение пассивных статей формы 0409806 и доходов формы 0409807 за отчетный период отражается со знаком “плюс”;</w:t>
      </w:r>
    </w:p>
    <w:p>
      <w:pPr>
        <w:pStyle w:val="MainText"/>
        <w:rPr/>
      </w:pPr>
      <w:r>
        <w:rPr/>
        <w:t>уменьшение пассивных статей формы 0409806 и доходов формы 0409807 за отчетный период отражается со знаком “минус”;</w:t>
      </w:r>
    </w:p>
    <w:p>
      <w:pPr>
        <w:pStyle w:val="MainText"/>
        <w:rPr/>
      </w:pPr>
      <w:r>
        <w:rPr/>
        <w:t>дебетовый оборот по балансовым счетам отражается со знаком “минус”;</w:t>
      </w:r>
    </w:p>
    <w:p>
      <w:pPr>
        <w:pStyle w:val="MainText"/>
        <w:rPr/>
      </w:pPr>
      <w:r>
        <w:rPr/>
        <w:t>кредитовый оборот по балансовым счетам отражается со знаком “плюс”.</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spacing w:before="0" w:after="120"/>
        <w:jc w:val="center"/>
        <w:rPr/>
      </w:pPr>
      <w:r>
        <w:rPr/>
        <w:t xml:space="preserve">РАЗРАБОТОЧНАЯ ТАБЛИЦА ДЛЯ СОСТАВЛЕНИЯ ОТЧЕТА О ДВИЖЕНИИ ДЕНЕЖНЫХ СРЕДСТВ </w:t>
        <w:br/>
        <w:t>(публикуемая форма)</w:t>
      </w:r>
    </w:p>
    <w:tbl>
      <w:tblPr>
        <w:tblW w:w="16260" w:type="dxa"/>
        <w:jc w:val="center"/>
        <w:tblInd w:w="0" w:type="dxa"/>
        <w:tblLayout w:type="fixed"/>
        <w:tblCellMar>
          <w:top w:w="0" w:type="dxa"/>
          <w:start w:w="28" w:type="dxa"/>
          <w:bottom w:w="0" w:type="dxa"/>
          <w:end w:w="28" w:type="dxa"/>
        </w:tblCellMar>
      </w:tblPr>
      <w:tblGrid>
        <w:gridCol w:w="675"/>
        <w:gridCol w:w="4536"/>
        <w:gridCol w:w="2977"/>
        <w:gridCol w:w="1135"/>
        <w:gridCol w:w="993"/>
        <w:gridCol w:w="1418"/>
        <w:gridCol w:w="2263"/>
        <w:gridCol w:w="2263"/>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4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статей</w:t>
            </w:r>
          </w:p>
        </w:tc>
        <w:tc>
          <w:tcPr>
            <w:tcW w:w="29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Статьи бухгалтерского баланса (форма 0409806) и отчета о прибылях и убытках (форма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отчетную дату</w:t>
            </w:r>
            <w:r>
              <w:rPr>
                <w:sz w:val="16"/>
                <w:vertAlign w:val="superscript"/>
              </w:rPr>
              <w:t>5</w:t>
            </w:r>
          </w:p>
        </w:tc>
        <w:tc>
          <w:tcPr>
            <w:tcW w:w="9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 начало отчетного года</w:t>
            </w:r>
            <w:r>
              <w:rPr>
                <w:sz w:val="16"/>
                <w:vertAlign w:val="superscript"/>
              </w:rPr>
              <w:t>5</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Изменение за отчетный год (гр. 4 – гр. 5)</w:t>
            </w:r>
          </w:p>
        </w:tc>
        <w:tc>
          <w:tcPr>
            <w:tcW w:w="22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Корректировки</w:t>
            </w:r>
            <w:r>
              <w:rPr>
                <w:sz w:val="16"/>
                <w:vertAlign w:val="superscript"/>
              </w:rPr>
              <w:t>1</w:t>
            </w:r>
          </w:p>
        </w:tc>
        <w:tc>
          <w:tcPr>
            <w:tcW w:w="22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Приток (отток) денежных средств за отчетный год (гр. 6 + гр. 7)</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453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9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9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22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7513"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денежные средства, полученные от (использованные в) операционной деятельности</w:t>
            </w:r>
            <w:r>
              <w:rPr>
                <w:sz w:val="16"/>
                <w:vertAlign w:val="superscript"/>
              </w:rPr>
              <w:t>2</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X</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Денежные средства, полученные от (использованные в) операционной деятельности до изменений в операционных активах и обязательствах, всего, </w:t>
              <w:br/>
              <w:t>в том числе:</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данных по строкам 1.1.1 + 1.1.2 + 1.1.3 + 1.1.4 + 1.1.5 + 1.1.6 + 1.1.7 + 1.1.8 + 1.1.9 + 1.1.10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Проценты полученные</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С1 – С14</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Проценты уплаченные</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2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С2.1 + С15</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Комиссии полученные</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12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Комиссии уплаченные</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13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Доходы за вычетом расходов по операциям с финансовыми активами, оцениваемыми по справедливой стоимости через прибыль или убыток, имеющимися в наличии для продажи</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6 + статья 7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С3.1 – С26.1</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1.1.6</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Доходы за вычетом расходов по операциям с ценными бумагами, удерживаемыми до погашения</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8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С26.2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1.1.7</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Доходы за вычетом расходов по операциям с иностранной валютой</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9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1.1.8</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Прочие операционные доходы</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11 + статья 17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С9.1 – С10 – С16 – С30.1</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1.1.9</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Операционные расходы</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19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С17 + С28 + С30.2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1.1.10</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Расход (возмещение) по налогам</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21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С20</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Прирост (снижение) чистых денежных средств от операционных активов и обязательств, всего, </w:t>
              <w:br/>
              <w:t>в том числе:</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данных по строкам 1.2.1 + 1.2.2 + 1.2.3 + 1.2.4 + 1.2.5 + 1.2.6 + 1.2.7 + 1.2.8 + 1.2.9 + 1.2.10</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обязательным резервам на счетах в Банке России</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2.1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вложениям в ценные бумаги, оцениваемым по справедливой стоимости через прибыль или убыток</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4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С1.3 + С3.1 + С14.2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ссудной задолженности</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5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С4.1 + С14.5 – С22.2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прочим активам</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9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С2.1 + С2.2 – С4.2 + С9 + С14.1 + С16 + С20.2 – С24</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кредитам, депозитам и прочим средствам Банка России</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11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1.2.6</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средствам других кредитных организаций</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12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1.2.7</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средствам клиентов, не являющихся кредитными организациями</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13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1.2.8</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финансовым обязательствам, оцениваемым по справедливой стоимости через прибыль или убыток</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14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1.2.9</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выпущенным долговым обязательствам</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15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С2.2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1.2.10</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Чистый прирост (снижение) по прочим обязательствам</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16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С15 – С17 – С20.1 – С21</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разделу 1</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данных по строкам 1.1 + 1.2 яяя</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7513"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Чистые денежные средства, полученные от (использованные в) инвестиционной деятельности</w:t>
            </w:r>
            <w:r>
              <w:rPr>
                <w:sz w:val="16"/>
                <w:vertAlign w:val="superscript"/>
              </w:rPr>
              <w:t>3</w:t>
            </w:r>
          </w:p>
        </w:tc>
        <w:tc>
          <w:tcPr>
            <w:tcW w:w="11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sz w:val="16"/>
              </w:rPr>
            </w:pPr>
            <w:r>
              <w:rPr>
                <w:sz w:val="16"/>
              </w:rPr>
              <w:t>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Приобретение ценных бумаг и других финансовых активов, относящихся к категории “имеющиеся в наличии для продажи”</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6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С1.1 + С3.2 – С5 + С6 + С14.3 – С23.1 – С25.1</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Выручка от реализации и погашения ценных бумаг и других финансовых активов, относящихся к категории “имеющиеся в наличии для продажи”</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w:t>
            </w:r>
            <w:r>
              <w:rPr>
                <w:sz w:val="16"/>
              </w:rPr>
              <w:t>+ С25.1 + С26.1</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Приобретение ценных бумаг, относящихся к категории “удерживаемые до погашения”</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7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С1.2 + С5 – С6 + С14.4 – С23.2 – С25.2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Выручка от погашения ценных бумаг, относящихся к категории “удерживаемые до погашения”</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w:t>
            </w:r>
            <w:r>
              <w:rPr>
                <w:sz w:val="16"/>
              </w:rPr>
              <w:t>+ С25.2 + С26.2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Приобретение основных средств, нематериальных активов и материальных запасов</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8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С27 – С28 + С29.1</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Выручка от реализации основных средств, нематериальных активов и материальных запасов</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С27 – С29.2 + С30</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Дивиденды полученные</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С9.2 + С10</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разделу 2</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данных по строкам 2.1 + 2.2 + 2.3 + 2.4 + 2.5 + 2.6 + 2.7</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7513"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Чистые денежные средства, полученные от (использованные в) финансовой деятельности</w:t>
            </w:r>
            <w:r>
              <w:rPr>
                <w:sz w:val="16"/>
                <w:vertAlign w:val="superscript"/>
              </w:rPr>
              <w:t>4</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Х</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Взносы акционеров (участников) в уставный капитал</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19 + статья 21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С11 + С12 – С13 – С31</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Приобретение собственных акций (долей), выкупленных у акционеров (участников)</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20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r>
              <w:rPr>
                <w:sz w:val="16"/>
              </w:rPr>
              <w:t>С12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Продажа собственных акций (долей), выкупленных у акционеров (участников)</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С13</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Выплаченные дивиденды</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С21 – С32</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Итого по разделу 3</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данных по строкам 3.1 + 3.2 + 3.3 + 3.4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Влияние изменений официальных курсов иностранных валют по отношению к рублю, установленных Банком России, на денежные средства и их эквиваленты</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10 формы 0409807</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Прирост (использование) денежных средств и их эквивалентов</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1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Сумма данных по строкам 1.3 + 2.8 + 3.5 + 4</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Денежные средства и их эквиваленты на начало отчетного года</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 + статья 2 – статья 2.1 + статья 3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5.2</w:t>
            </w:r>
          </w:p>
        </w:tc>
        <w:tc>
          <w:tcPr>
            <w:tcW w:w="453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Денежные средства и их эквиваленты на конец отчетного года</w:t>
            </w:r>
          </w:p>
        </w:tc>
        <w:tc>
          <w:tcPr>
            <w:tcW w:w="2977"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Статья 1 + статья 2 – статья 2.1 + статья 3 формы 0409806</w:t>
            </w:r>
          </w:p>
        </w:tc>
        <w:tc>
          <w:tcPr>
            <w:tcW w:w="113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9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141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6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X</w:t>
            </w:r>
          </w:p>
        </w:tc>
        <w:tc>
          <w:tcPr>
            <w:tcW w:w="226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start"/>
              <w:rPr>
                <w:sz w:val="16"/>
              </w:rPr>
            </w:pPr>
            <w:r>
              <w:rPr>
                <w:sz w:val="16"/>
              </w:rPr>
            </w:r>
          </w:p>
        </w:tc>
      </w:tr>
    </w:tbl>
    <w:p>
      <w:pPr>
        <w:pStyle w:val="SnoskaLineTab"/>
        <w:keepLines w:val="false"/>
        <w:pBdr>
          <w:top w:val="single" w:sz="6" w:space="1" w:color="000000"/>
        </w:pBdr>
        <w:spacing w:before="240" w:after="0"/>
        <w:rPr/>
      </w:pPr>
      <w:r>
        <w:rPr>
          <w:vertAlign w:val="superscript"/>
        </w:rPr>
        <w:t>1</w:t>
      </w:r>
      <w:r>
        <w:rPr/>
        <w:t> Значения корректировок приведены в Таблице корректировок. Приведенные в Разработочной таблице корректировки не являются исчерпывающими, и при необходимости в них могут быть внесены уточнения.</w:t>
      </w:r>
    </w:p>
    <w:p>
      <w:pPr>
        <w:pStyle w:val="Snoska"/>
        <w:keepLines w:val="false"/>
        <w:rPr/>
      </w:pPr>
      <w:r>
        <w:rPr>
          <w:vertAlign w:val="superscript"/>
        </w:rPr>
        <w:t>2</w:t>
      </w:r>
      <w:r>
        <w:rPr/>
        <w:t> Под операционной деятельностью в целях составления Отчета понимается основная, приносящая доход деятельность, а также прочая деятельность кредитной организации, кроме инвестиционной и финансовой.</w:t>
      </w:r>
    </w:p>
    <w:p>
      <w:pPr>
        <w:pStyle w:val="Snoska"/>
        <w:keepLines w:val="false"/>
        <w:rPr/>
      </w:pPr>
      <w:r>
        <w:rPr>
          <w:vertAlign w:val="superscript"/>
        </w:rPr>
        <w:t>3</w:t>
      </w:r>
      <w:r>
        <w:rPr/>
        <w:t> Под инвестиционной деятельностью в целях составления Отчета понимается приобретение или реализация инвестиционных активов, материальных либо финансовых активов, предназначенных для генерирования будущих доходов (притока денежных средств), кроме финансовых активов, приобретение и (или) реализация которых осуществляется в процессе операционной деятельности. Потоки денежных средств от инвестиционной деятельности показывают величину доходов, а также направление средств кредитной организации на приобретение инвестиционных активов.</w:t>
      </w:r>
    </w:p>
    <w:p>
      <w:pPr>
        <w:pStyle w:val="Snoska"/>
        <w:keepLines w:val="false"/>
        <w:rPr/>
      </w:pPr>
      <w:r>
        <w:rPr>
          <w:vertAlign w:val="superscript"/>
        </w:rPr>
        <w:t>4</w:t>
      </w:r>
      <w:r>
        <w:rPr/>
        <w:t> Под финансовой деятельностью в целях составления Отчета понимается деятельность, которая приводит к изменениям в размере и (или) составе источников собственных средств (капитала) и (или) в размере и (или) составе долгосрочных заемных средств кредитной организации.</w:t>
      </w:r>
    </w:p>
    <w:p>
      <w:pPr>
        <w:pStyle w:val="Snoska"/>
        <w:keepLines w:val="false"/>
        <w:rPr/>
      </w:pPr>
      <w:r>
        <w:rPr>
          <w:vertAlign w:val="superscript"/>
        </w:rPr>
        <w:t>5</w:t>
      </w:r>
      <w:r>
        <w:rPr/>
        <w:t> В графах 4 и 5 Разработочной таблицы активы и доходы отражаются со знаком “плюс”, обязательства и расходы — со знаком “минус”.</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ainTextBezOtstupa"/>
        <w:spacing w:before="0" w:after="120"/>
        <w:jc w:val="center"/>
        <w:rPr/>
      </w:pPr>
      <w:r>
        <w:rPr/>
        <w:t>Таблица корректировок</w:t>
      </w:r>
    </w:p>
    <w:tbl>
      <w:tblPr>
        <w:tblW w:w="10989" w:type="dxa"/>
        <w:jc w:val="center"/>
        <w:tblInd w:w="0" w:type="dxa"/>
        <w:tblLayout w:type="fixed"/>
        <w:tblCellMar>
          <w:top w:w="0" w:type="dxa"/>
          <w:start w:w="28" w:type="dxa"/>
          <w:bottom w:w="0" w:type="dxa"/>
          <w:end w:w="28" w:type="dxa"/>
        </w:tblCellMar>
      </w:tblPr>
      <w:tblGrid>
        <w:gridCol w:w="817"/>
        <w:gridCol w:w="1418"/>
        <w:gridCol w:w="8754"/>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Код обозначения корректировки</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Значение</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начисленного дисконта (премии) по ценным бумагам (значение корректировки равно сумме значений корректировок С1.1, С1.2 и С1.3)</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начисленного дисконта (премии) по ценным бумагам, имеющимся в наличии для продажи,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начисленного дисконта (премии) по ценным бумагам и другим финансовым активам, удерживаемым до погашения,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С1.3</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начисленного дисконта (премии) по ценным бумагам, оцениваемым по справедливой стоимости через прибыль или убыток,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начисленного дисконта (премии) по долговым ценным бумагам, выпущенным кредитной организацией,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C2.2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разница между номинальной стоимостью и ценой размещения дисконтных долговых обязательств, выпущенных кредитной организацией,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С3.1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чистая сумма переоценки ценных бумаг, оцениваемых по справедливой стоимости через прибыль или убыток, отраженная на счетах доходов и расходов,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С3.2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чистая сумма переоценки по справедливой стоимости ценных бумаг, имеющихся в наличии для продажи, отраженная на счетах собственных средств (капитала),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9</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С4.1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балансовая стоимость кредитов, списанных в течение отчетного периода, в корреспонденции со счетами резерва на возможные потери по кредитам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10</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С4.2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балансовая стоимость прочих активов, списанных в течение отчетного периода, в корреспонденции со счетами резерва на возможные потери по прочим активам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11</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С5</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общая балансовая стоимость ценных бумаг и других финансовых активов, переведенных в течение отчетного периода из категории “имеющихся в наличии для продажи” в категорию “удерживаемые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12</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С6</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общая балансовая стоимость ценных бумаг и других финансовых активов, переведенных в течение отчетного периода из категории “удерживаемых до погашения” в категорию “имеющиеся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13</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С9</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требований по получению дивидендов по ценным бумагам по состоянию на конец отчетного периода, за вычетом аналогичной суммы по состоянию на начало отчетного периода (значение корректировки равно сумме значений корректировок С9.1 и С9.2)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14</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С9.1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требований по получению дивидендов по ценным бумагам, оцениваемым по справедливой стоимости через прибыль или убыток</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15</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С9.2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требований по получению дивидендов по ценным бумагам и другим финансовым активам, имеющимся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16</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С10</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дивидендов, полученных в течение отчетного периода по инвестициям в дочерние и зависимые (ассоциированные) организации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17</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взносов в уставный капитал в неденежной форме, отраженных на счетах по учету уставного капитала в течение отчетного периода (сумма указанной корректировки отражается со знаком “минус” в строках Разработочной таблицы, соответствующих виду активов, полученных в качестве взноса в уставный капитал (основные средства, ценные бумаги и тому подобное)</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18</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общая номинальная стоимость собственных акций (долей), выкупленных в течение отчетного периода, с учетом затрат по сделкам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19</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С13</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общая номинальная стоимость собственных выкупленных акций (долей), реализованных в течение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20</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С14</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начисленных процентных (купонных) доходов. Корректировка состоит из следующих сумм: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21</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С14.1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начисленных процентных доходов по кредитам и прочим размещенным средствам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22</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С14.2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начисленных процентных (купонных) доходов по ценным бумагам, оцениваемым по справедливой стоимости через прибыль или убыток,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23</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С14.3</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начисленных процентных (купонных) доходов по ценным бумагам, имеющимся в наличии для продажи,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24</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С14.4</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начисленных процентных (купонных) доходов по ценным бумагам, удерживаемым до погашения,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25</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С14.5</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начисленных процентных доходов и начисленного дисконта по учтенным векселям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26</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С15</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начисленных процентных (купонных) расходов по операциям по привлечению денежных средств и по выпущенным долговым обязательствам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27</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С16</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прочих начисленных доходов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28</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С17</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прочих начисленных расходов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29</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С20</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задолженность за вычетом требований по уплате налогов на конец отчетного периода, за вычетом аналогичной суммы на начало отчетного периода (значение корректировки равно сумме значений корректировок С20.1 и С20.2)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30</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С20.1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задолженность по уплате налогов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31</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С20.2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требования по возврату излишне уплаченных сумм налогов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32</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задолженность по выплате дивидендов на конец отчетного периода, за вычетом аналогичной суммы на начало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33</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в течение отчетного периода суммы резервов на возможные потери по кредитам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34</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С23.1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в течение отчетного периода суммы резервов под обесценение некотируемых ценных бумаг и других финансовых активов с фиксированным сроком погашения из числа имеющихся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35</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С23.2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в течение отчетного периода суммы резервов под обесценение ценных бумаг, удерживаемых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36</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С24</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за отчетный период суммы резервов на возможные потери по прочим активам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37</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С25.1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балансовая стоимость выбывших в течение отчетного периода ценных бумаг и других финансовых активов, имеющихся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38</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С25.2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балансовая стоимость выбывших в течение отчетного периода ценных бумаг, удерживаемых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39</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С26.1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за вычетом расходов от реализации в течение отчетного периода ценных бумаг и других финансовых активов, имеющихся в наличии для продажи</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40</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С26.2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доходы за вычетом расходов от реализации в течение отчетного периода ценных бумаг, удерживаемых до погашения</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41</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С27</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балансовая стоимость за вычетом накопленной амортизации по выбывшим в течение отчетного периода основным средствам и нематериальным активам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42</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С28</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амортизационные отчисления за отчетный период по основным средствам и нематериальным активам</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43</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С29.1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изменение в течение отчетного периода фонда переоценки основных средств, произошедшее в результате переоценки основных средств и нематериальных активов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44</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С29.2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фонда переоценки основных средств, списанная в результате выбытия основных средств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45</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С30</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значение корректировки равно разнице между значением корректировки С30.1 и значением корректировки С30.2</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46</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С30.1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доходов от реализации основных средств и нематериальных активов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47</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С30.2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сумма расходов от реализации основных средств и нематериальных активов</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48</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С31</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нераспределенная прибыль, направленная в течение отчетного периода на увеличение уставного капитала, за вычетом суммы уменьшения уставного капитала в течение отчетного периода</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49</w:t>
            </w:r>
          </w:p>
        </w:tc>
        <w:tc>
          <w:tcPr>
            <w:tcW w:w="141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С32</w:t>
            </w:r>
          </w:p>
        </w:tc>
        <w:tc>
          <w:tcPr>
            <w:tcW w:w="8754"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суммы дивидендов, начисленные в течение отчетного периода</w:t>
            </w:r>
          </w:p>
        </w:tc>
      </w:tr>
    </w:tbl>
    <w:p>
      <w:pPr>
        <w:pStyle w:val="MainText"/>
        <w:rPr/>
      </w:pPr>
      <w:r>
        <w:rPr/>
      </w:r>
      <w:r>
        <w:br w:type="page"/>
      </w:r>
    </w:p>
    <w:p>
      <w:pPr>
        <w:pStyle w:val="MZagolovokCenter"/>
        <w:rPr/>
      </w:pPr>
      <w:r>
        <w:rPr/>
        <w:t>Общий порядок составления и представления отчетов об остатках на счетах по учету доходов, распределяемых между бюджетами бюджетной системы Российской Федерации, и средств федерального бюджета (формы 0409901, 0409902), о количестве счетов по учету средств бюджетов бюджетной системы Российской Федерации и средств от приносящей доход деятельности (форма 0409906), об остатках на счетах по учету средств бюджетов бюджетной системы Российской Федерации и средств от приносящей доход деятельности (форма 0409907), об остатках на счетах, открытых организациям, по учету средств федерального бюджета, выделенных на возвратной и платной основе на финансирование инвестиционных проектов и программ конверсии оборонной промышленности, формирование специального фонда льготного кредитования сезонных затрат в агропромышленном комплексе (форма 0409908), информации о счетах, открытых федеральным учреждениям, финансовым органам и бюджетным учреждениям в кредитных организациях (их филиалах) (форма 0409909)</w:t>
      </w:r>
    </w:p>
    <w:p>
      <w:pPr>
        <w:pStyle w:val="MainText"/>
        <w:rPr/>
      </w:pPr>
      <w:r>
        <w:rPr/>
        <w:t>Кредитные организации и филиалы кредитных организаций на основании данных бухгалтерского учета составляют в объеме и по формам, устанавливаемым Банком России, суточный и квартальный отчеты об остатках на счетах по учету доходов, распределяемых между бюджетами бюджетной системы Российской Федерации, и средств федерального бюджета, квартальную информацию о счетах, открытых федеральным учреждениям, финансовым органам и бюджетным учреждениям в кредитных организациях (их филиалах), годовые отчеты о количестве счетов и об остатках на счетах по учету средств бюджетов бюджетной системы Российской Федерации и средств от приносящей доход деятельности, а также об остатках на счетах, открытых организациям, по учету средств федерального бюджета, выделенных на возвратной и платной основе на финансирование инвестиционных проектов и программ конверсии оборонной промышленности, формирование специального фонда льготного кредитования сезонных затрат в агропромышленном комплексе.</w:t>
      </w:r>
    </w:p>
    <w:p>
      <w:pPr>
        <w:pStyle w:val="MainText"/>
        <w:rPr/>
      </w:pPr>
      <w:r>
        <w:rPr/>
        <w:t>Отчеты представляются кредитными организациями и их филиалами в соответствующие территориальные учреждения Банка России независимо от места нахождения головного офиса кредитной организации в порядке и в сроки, установленные территориальными учреждениями Банка России, кроме отчетности по формам 0409906, 0409907, 0409908. Отчетность по формам 0409906, 0409907, 0409908 представляется в порядке, установленном территориальными учреждениями Банка России, и в сроки, установленные настоящим Указанием.</w:t>
      </w:r>
    </w:p>
    <w:p>
      <w:pPr>
        <w:pStyle w:val="MainText"/>
        <w:rPr/>
      </w:pPr>
      <w:r>
        <w:rPr/>
        <w:t>Филиалы кредитных организаций, головные офисы которых находятся на территории другого субъекта Российской Федерации, представляют отчетность в территориальное учреждение Банка России своего субъекта Российской Федерации.</w:t>
      </w:r>
    </w:p>
    <w:p>
      <w:pPr>
        <w:pStyle w:val="MainText"/>
        <w:rPr/>
      </w:pPr>
      <w:r>
        <w:rPr/>
        <w:t>Филиалы кредитных организаций, головные офисы которых находятся на одной с ними территории субъекта Российской Федерации, представляют отчетность в головной офис кредитной организации, а головной офис кредитной организации представляет сводную отчетность, включая отчетность по филиалам, расположенным на одной с ним территории субъекта Российской Федерации, в территориальное учреждение Банка России этого субъекта Российской Федерации.</w:t>
      </w:r>
    </w:p>
    <w:p>
      <w:pPr>
        <w:pStyle w:val="MainText"/>
        <w:rPr/>
      </w:pPr>
      <w:r>
        <w:rPr/>
        <w:t>Кредитные организации, расположенные на территории г. Москвы и Московской области, включая головные офисы кредитных организаций, филиалы которых расположены на территориях, где отсутствуют территориальные учреждения Банка России, представляют отчетность по формам 0409901, 0409902, 0409906, 0409907, 0409908 и 0409909 в Московское главное территориальное управление Банка России.</w:t>
      </w:r>
    </w:p>
    <w:p>
      <w:pPr>
        <w:pStyle w:val="MainText"/>
        <w:rPr/>
      </w:pPr>
      <w:r>
        <w:rPr/>
        <w:t>Территориальные банки крупных кредитных организаций с широкой сетью подразделений представляют отчетность по формам 0409901, 0409902, 0409906, 0409907, 0409908 и 0409909 по подчиненным филиалам (отделениям), находящимся на одной с ними территории субъекта Российской Федерации, в территориальные учреждения Банка России по месту своего нахождения.</w:t>
      </w:r>
    </w:p>
    <w:p>
      <w:pPr>
        <w:pStyle w:val="MainText"/>
        <w:rPr/>
      </w:pPr>
      <w:r>
        <w:rPr/>
        <w:t>На территориях субъектов Российской Федерации, где отсутствуют территориальные банки крупных кредитных организаций с широкой сетью подразделений, отчетность по формам 0409901, 0409902, 0409906, 0409907, 0409908 и 0409909 по филиалам (отделениям) крупных кредитных организаций с широкой сетью подразделений, находящимся на этой территории, представляется в территориальное учреждение Банка России филиалами (отделениями) крупных кредитных организаций с широкой сетью подразделений, на которые крупной кредитной организацией с широкой сетью подразделений возложены функции по сбору и представлению сводной отчетности по территории этого субъекта Российской Федерации.</w:t>
      </w:r>
    </w:p>
    <w:p>
      <w:pPr>
        <w:pStyle w:val="MainText"/>
        <w:rPr/>
      </w:pPr>
      <w:r>
        <w:rPr/>
        <w:t>Отчетность по формам 0409901, 0409902, 0409906, 0409907, 0409908 и 0409909 составляется и представляется только действующими кредитными организациями, в которых на балансовых счетах, указанных в этих формах отчетности, открыты лицевые счета. Кредитные организации, у которых не открыты лицевые счета на балансовых счетах, указанных в этих формах отчетности, и кредитные организации, у которых отозваны лицензии на осуществление банковских операций, указанную отчетность не составляют.</w:t>
      </w:r>
    </w:p>
    <w:p>
      <w:pPr>
        <w:pStyle w:val="MainText"/>
        <w:rPr/>
      </w:pPr>
      <w:r>
        <w:rPr/>
        <w:t>Ответственность за полноту, достоверность и правильность отчетных данных, а также своевременное представление отчетов в территориальные учреждения Банка России несут руководитель и главный бухгалтер кредитной организации и филиала кредитной организации.</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ОПЕРАТИВНЫЙ ОТЧЕТ ОБ ОСТАТКАХ НА СЧЕТАХ ПО УЧЕТУ ДОХОДОВ, РАСПРЕДЕЛЯЕМЫХ МЕЖДУ БЮДЖЕТАМИ БЮДЖЕТНОЙ СИСТЕМЫ РОССИЙСКОЙ ФЕДЕРАЦИИ, И СРЕДСТВ ФЕДЕРАЛЬНОГО БЮДЖЕТА </w:t>
        <w:br/>
        <w:t>по состоянию на “</w:t>
      </w:r>
      <w:r>
        <w:rPr/>
        <w:t>___” 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120" w:after="60"/>
        <w:jc w:val="end"/>
        <w:rPr/>
      </w:pPr>
      <w:r>
        <w:rPr/>
        <w:t>Код формы по ОКУД 0409901</w:t>
        <w:br/>
        <w:t>Суточная</w:t>
        <w:br/>
        <w:t>руб.</w:t>
      </w:r>
    </w:p>
    <w:tbl>
      <w:tblPr>
        <w:tblW w:w="10987" w:type="dxa"/>
        <w:jc w:val="center"/>
        <w:tblInd w:w="0" w:type="dxa"/>
        <w:tblLayout w:type="fixed"/>
        <w:tblCellMar>
          <w:top w:w="0" w:type="dxa"/>
          <w:start w:w="28" w:type="dxa"/>
          <w:bottom w:w="0" w:type="dxa"/>
          <w:end w:w="28" w:type="dxa"/>
        </w:tblCellMar>
      </w:tblPr>
      <w:tblGrid>
        <w:gridCol w:w="817"/>
        <w:gridCol w:w="5102"/>
        <w:gridCol w:w="2268"/>
        <w:gridCol w:w="2800"/>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строки</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Номер балансового счета</w:t>
            </w:r>
          </w:p>
        </w:tc>
        <w:tc>
          <w:tcPr>
            <w:tcW w:w="22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Сумма в валюте Российской Федерации</w:t>
            </w:r>
          </w:p>
        </w:tc>
        <w:tc>
          <w:tcPr>
            <w:tcW w:w="2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Сумма иностранной валюты в рублевом эквиваленте</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226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2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40101</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40105</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40106</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40116</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40301</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40314</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0409901 “Оперативный отчет об остатках на счетах по учету доходов, распределяемых между бюджетами бюджетной системы Российской Федерации, и средств федерального бюджета”</w:t>
      </w:r>
    </w:p>
    <w:p>
      <w:pPr>
        <w:pStyle w:val="MainText"/>
        <w:rPr/>
      </w:pPr>
      <w:r>
        <w:rPr/>
        <w:t>1. Отчетность по форме 0409901 “Оперативный отчет об остатках на счетах по учету доходов, распределяемых между бюджетами бюджетной системы Российской Федерации, и средств федерального бюджета” (далее — Отчет) составляется кредитной организацией (ее филиалом) ежедневно.</w:t>
      </w:r>
    </w:p>
    <w:p>
      <w:pPr>
        <w:pStyle w:val="MainText"/>
        <w:rPr/>
      </w:pPr>
      <w:r>
        <w:rPr/>
        <w:t>2. В случае если срок составления кредитной организацией (ее филиалом) ежедневного баланса, установленный Положением Банка России от 26 марта 2007 года № 302-П “О правилах ведения бухгалтерского учета в кредитных организациях, расположенных на территории Российской Федерации”, зарегистрированным Министерством юстиции Российской Федерации 29 марта 2007 года № 9176, 23 октября 2007 года № 10390, 6 ноября 2008 года № 12584, 2 декабря 2008 года № 12783, 19 декабря 2008 года № 12904 (“Вестник Банка России” от 16 апреля 2007 года № 20—21, от 31 октября 2007 года № 60, от 19 ноября 2008 года № 67, от 10 декабря 2008 года № 72, от 31 декабря 2008 года № 75), превышает срок представления Отчета в территориальное учреждение Банка России, установленный этим территориальным учреждением, кредитная организация (ее филиал) составляет Отчет на основании данных аналитического учета.</w:t>
      </w:r>
    </w:p>
    <w:p>
      <w:pPr>
        <w:pStyle w:val="MainText"/>
        <w:rPr/>
      </w:pPr>
      <w:r>
        <w:rPr/>
        <w:t>3. В Отчете сообщаются в приведенной последовательности данные об остатках в кредитной организации (ее филиале) по следующим балансовым счетам второго порядка (далее — балансовые счета):</w:t>
      </w:r>
    </w:p>
    <w:p>
      <w:pPr>
        <w:pStyle w:val="MainText"/>
        <w:rPr/>
      </w:pPr>
      <w:r>
        <w:rPr/>
        <w:t>доходы, распределяемые органами Федерального казначейства между бюджетами бюджетной системы Российской Федерации (балансовый счет № 40101);</w:t>
      </w:r>
    </w:p>
    <w:p>
      <w:pPr>
        <w:pStyle w:val="MainText"/>
        <w:rPr/>
      </w:pPr>
      <w:r>
        <w:rPr/>
        <w:t>средства федерального бюджета (балансовый счет № 40105);</w:t>
      </w:r>
    </w:p>
    <w:p>
      <w:pPr>
        <w:pStyle w:val="MainText"/>
        <w:rPr/>
      </w:pPr>
      <w:r>
        <w:rPr/>
        <w:t>средства федерального бюджета, выделенные государственным организациям (балансовый счет № 40106);</w:t>
      </w:r>
    </w:p>
    <w:p>
      <w:pPr>
        <w:pStyle w:val="MainText"/>
        <w:rPr/>
      </w:pPr>
      <w:r>
        <w:rPr/>
        <w:t>средства для выплаты наличных денег получателям бюджетных средств (балансовый счет № 40116);</w:t>
      </w:r>
    </w:p>
    <w:p>
      <w:pPr>
        <w:pStyle w:val="MainText"/>
        <w:rPr/>
      </w:pPr>
      <w:r>
        <w:rPr/>
        <w:t>средства избирательных комиссий (комиссий референдума) (балансовый счет № 40301);</w:t>
      </w:r>
    </w:p>
    <w:p>
      <w:pPr>
        <w:pStyle w:val="MainText"/>
        <w:rPr/>
      </w:pPr>
      <w:r>
        <w:rPr/>
        <w:t>таможенные и другие платежи от внешнеэкономической деятельности (балансовый счет № 40314).</w:t>
      </w:r>
    </w:p>
    <w:p>
      <w:pPr>
        <w:pStyle w:val="MainText"/>
        <w:rPr/>
      </w:pPr>
      <w:r>
        <w:rPr/>
        <w:t>4. Главный бухгалтер кредитной организации (ее филиала) с целью проверки Отчета должен сверить до или после составления ежедневного баланса данные Отчета с соответствующими данными ежедневного баланса на эту же дату, а также сопоставить данные Отчета с соответствующими данными Отчета на предыдущую дату.</w:t>
      </w:r>
    </w:p>
    <w:p>
      <w:pPr>
        <w:pStyle w:val="MainText"/>
        <w:rPr/>
      </w:pPr>
      <w:r>
        <w:rPr/>
        <w:t>5. Каждый случай снижения или значительного роста (более чем на 50 процентов) остатков по балансовым счетам по сравнению с остатками по соответствующим счетам Отчета на предыдущую дату должен быть тщательно проверен. Причины изменений кредитная организация (ее филиал) сообщает в территориальное учреждение Банка России одновременно с представлением Отчета.</w:t>
      </w:r>
    </w:p>
    <w:p>
      <w:pPr>
        <w:pStyle w:val="MainText"/>
        <w:rPr/>
      </w:pPr>
      <w:r>
        <w:rPr/>
        <w:t>6. После проверки Отчет представляется в территориальное учреждение Банка России в порядке и в сроки, которые устанавливаются этим территориальным учреждением Банка России.</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ОБ ОСТАТКАХ НА СЧЕТАХ ПО УЧЕТУ ДОХОДОВ, </w:t>
        <w:br/>
        <w:t xml:space="preserve">РАСПРЕДЕЛЯЕМЫХ МЕЖДУ БЮДЖЕТАМИ БЮДЖЕТНОЙ СИСТЕМЫ РОССИЙСКОЙ ФЕДЕРАЦИИ, И СРЕДСТВ ФЕДЕРАЛЬНОГО БЮДЖЕТА </w:t>
        <w:br/>
        <w:t>по состоянию на “</w:t>
      </w:r>
      <w:r>
        <w:rPr/>
        <w:t>___” 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120" w:after="60"/>
        <w:jc w:val="end"/>
        <w:rPr/>
      </w:pPr>
      <w:r>
        <w:rPr/>
        <w:t>Код формы по ОКУД 0409902</w:t>
        <w:br/>
        <w:t>Квартальная</w:t>
        <w:br/>
        <w:t>руб.</w:t>
      </w:r>
    </w:p>
    <w:tbl>
      <w:tblPr>
        <w:tblW w:w="10987" w:type="dxa"/>
        <w:jc w:val="center"/>
        <w:tblInd w:w="0" w:type="dxa"/>
        <w:tblLayout w:type="fixed"/>
        <w:tblCellMar>
          <w:top w:w="0" w:type="dxa"/>
          <w:start w:w="28" w:type="dxa"/>
          <w:bottom w:w="0" w:type="dxa"/>
          <w:end w:w="28" w:type="dxa"/>
        </w:tblCellMar>
      </w:tblPr>
      <w:tblGrid>
        <w:gridCol w:w="817"/>
        <w:gridCol w:w="5102"/>
        <w:gridCol w:w="2268"/>
        <w:gridCol w:w="2800"/>
      </w:tblGrid>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строки</w:t>
            </w:r>
          </w:p>
        </w:tc>
        <w:tc>
          <w:tcPr>
            <w:tcW w:w="51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Номер балансового счета</w:t>
            </w:r>
          </w:p>
        </w:tc>
        <w:tc>
          <w:tcPr>
            <w:tcW w:w="226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 в валюте Российской Федерации</w:t>
            </w:r>
          </w:p>
        </w:tc>
        <w:tc>
          <w:tcPr>
            <w:tcW w:w="28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Сумма иностранной валюты в рублевом эквиваленте</w:t>
            </w:r>
          </w:p>
        </w:tc>
      </w:tr>
      <w:tr>
        <w:trPr>
          <w:tblHeader w:val="true"/>
          <w:cantSplit/>
        </w:trPr>
        <w:tc>
          <w:tcPr>
            <w:tcW w:w="81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5102"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226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280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1</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40101</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2</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40105</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3</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40106</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4</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40116</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5</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40301</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6</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40314</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7</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Балансовый счет 40503 (с признаком “1”)</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X</w:t>
            </w:r>
          </w:p>
        </w:tc>
      </w:tr>
      <w:tr>
        <w:trPr>
          <w:cantSplit/>
        </w:trPr>
        <w:tc>
          <w:tcPr>
            <w:tcW w:w="81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pPr>
            <w:r>
              <w:rPr/>
              <w:t>8</w:t>
            </w:r>
          </w:p>
        </w:tc>
        <w:tc>
          <w:tcPr>
            <w:tcW w:w="5102"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pPr>
            <w:r>
              <w:rPr/>
              <w:t>Итого</w:t>
            </w:r>
          </w:p>
        </w:tc>
        <w:tc>
          <w:tcPr>
            <w:tcW w:w="226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800"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0409902 “Отчет об остатках на счетах по учету доходов, распределяемых между бюджетами бюджетной системы Российской Федерации, и средств федерального бюджета”</w:t>
      </w:r>
    </w:p>
    <w:p>
      <w:pPr>
        <w:pStyle w:val="MainText"/>
        <w:rPr/>
      </w:pPr>
      <w:r>
        <w:rPr/>
        <w:t>1. Отчетность по форме 0409902 “Отчет об остатках на счетах по учету доходов, распределяемых между бюджетами бюджетной системы Российской Федерации, и средств федерального бюджета” (далее — Отчет) составляется кредитными организациями (их филиалами) по состоянию на 1-е число месяца, следующего за отчетным кварталом.</w:t>
      </w:r>
    </w:p>
    <w:p>
      <w:pPr>
        <w:pStyle w:val="MainText"/>
        <w:rPr/>
      </w:pPr>
      <w:r>
        <w:rPr/>
        <w:t>2. В Отчете в приведенной последовательности сообщаются данные об остатках средств в кредитных организациях (их филиалах) по следующим балансовым счетам второго порядка (далее — балансовые счета):</w:t>
      </w:r>
    </w:p>
    <w:p>
      <w:pPr>
        <w:pStyle w:val="MainText"/>
        <w:rPr/>
      </w:pPr>
      <w:r>
        <w:rPr/>
        <w:t>доходы, распределяемые органами Федерального казначейства между бюджетами бюджетной системы Российской Федерации (балансовый счет № 40101);</w:t>
      </w:r>
    </w:p>
    <w:p>
      <w:pPr>
        <w:pStyle w:val="MainText"/>
        <w:rPr/>
      </w:pPr>
      <w:r>
        <w:rPr/>
        <w:t>средства федерального бюджета (балансовый счет № 40105);</w:t>
      </w:r>
    </w:p>
    <w:p>
      <w:pPr>
        <w:pStyle w:val="MainText"/>
        <w:rPr/>
      </w:pPr>
      <w:r>
        <w:rPr/>
        <w:t>средства федерального бюджета, выделенные государственным организациям (балансовый счет № 40106);</w:t>
      </w:r>
    </w:p>
    <w:p>
      <w:pPr>
        <w:pStyle w:val="MainText"/>
        <w:rPr/>
      </w:pPr>
      <w:r>
        <w:rPr/>
        <w:t>средства для выплаты наличных денег бюджетополучателям (балансовый счет № 40116);</w:t>
      </w:r>
    </w:p>
    <w:p>
      <w:pPr>
        <w:pStyle w:val="MainText"/>
        <w:rPr/>
      </w:pPr>
      <w:r>
        <w:rPr/>
        <w:t>средства избирательных комиссий (комиссий референдума) (балансовый счет № 40301);</w:t>
      </w:r>
    </w:p>
    <w:p>
      <w:pPr>
        <w:pStyle w:val="MainText"/>
        <w:rPr/>
      </w:pPr>
      <w:r>
        <w:rPr/>
        <w:t>таможенные и другие платежи от внешнеэкономической деятельности (балансовый счет № 40314);</w:t>
      </w:r>
    </w:p>
    <w:p>
      <w:pPr>
        <w:pStyle w:val="MainText"/>
        <w:rPr/>
      </w:pPr>
      <w:r>
        <w:rPr/>
        <w:t>средства от приносящей доход деятельности, полученные федеральными органами исполнительной власти или иными прямыми получателями средств федерального бюджета и находящимися в их ведении учреждениями и организациями, перешедшими на обслуживание в органы Федерального казначейства (лицевые счета с признаком “1” балансового счета № 40503).</w:t>
      </w:r>
    </w:p>
    <w:p>
      <w:pPr>
        <w:pStyle w:val="MainText"/>
        <w:rPr/>
      </w:pPr>
      <w:r>
        <w:rPr/>
        <w:t>3. Главный бухгалтер кредитной организации (ее филиала) с целью проверки Отчета должен сопоставить данные Отчета с соответствующими данными баланса на отчетную дату.</w:t>
      </w:r>
    </w:p>
    <w:p>
      <w:pPr>
        <w:pStyle w:val="MainText"/>
        <w:rPr/>
      </w:pPr>
      <w:r>
        <w:rPr/>
        <w:t>4. После проверки Отчет представляется в территориальное учреждение Банка России в порядке и в сроки, которые устанавливаются этим территориальным учреждением Банка России.</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 КОЛИЧЕСТВЕ СЧЕТОВ ПО УЧЕТУ СРЕДСТВ БЮДЖЕТОВ БЮДЖЕТНОЙ СИСТЕМЫ РОССИЙСКОЙ ФЕДЕРАЦИИ </w:t>
        <w:br/>
        <w:t xml:space="preserve">И СРЕДСТВ ОТ ПРИНОСЯЩЕЙ ДОХОД ДЕЯТЕЛЬНОСТИ </w:t>
        <w:br/>
        <w:t xml:space="preserve">по состоянию на 1 января </w:t>
      </w:r>
      <w:r>
        <w:rPr/>
        <w:t>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0" w:after="60"/>
        <w:jc w:val="end"/>
        <w:rPr/>
      </w:pPr>
      <w:r>
        <w:rPr/>
        <w:t>Код формы по ОКУД 0409906</w:t>
        <w:br/>
        <w:t>Годовая</w:t>
        <w:br/>
        <w:t>единиц</w:t>
      </w:r>
    </w:p>
    <w:tbl>
      <w:tblPr>
        <w:tblW w:w="16241" w:type="dxa"/>
        <w:jc w:val="center"/>
        <w:tblInd w:w="0" w:type="dxa"/>
        <w:tblLayout w:type="fixed"/>
        <w:tblCellMar>
          <w:top w:w="0" w:type="dxa"/>
          <w:start w:w="28" w:type="dxa"/>
          <w:bottom w:w="0" w:type="dxa"/>
          <w:end w:w="28" w:type="dxa"/>
        </w:tblCellMar>
      </w:tblPr>
      <w:tblGrid>
        <w:gridCol w:w="533"/>
        <w:gridCol w:w="4248"/>
        <w:gridCol w:w="955"/>
        <w:gridCol w:w="955"/>
        <w:gridCol w:w="955"/>
        <w:gridCol w:w="955"/>
        <w:gridCol w:w="955"/>
        <w:gridCol w:w="955"/>
        <w:gridCol w:w="955"/>
        <w:gridCol w:w="955"/>
        <w:gridCol w:w="955"/>
        <w:gridCol w:w="955"/>
        <w:gridCol w:w="955"/>
        <w:gridCol w:w="955"/>
      </w:tblGrid>
      <w:tr>
        <w:trPr>
          <w:tblHeader w:val="true"/>
          <w:cantSplit/>
        </w:trPr>
        <w:tc>
          <w:tcPr>
            <w:tcW w:w="533"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строки</w:t>
            </w:r>
          </w:p>
        </w:tc>
        <w:tc>
          <w:tcPr>
            <w:tcW w:w="4248" w:type="dxa"/>
            <w:tcBorders>
              <w:top w:val="single" w:sz="6" w:space="0" w:color="000000"/>
              <w:start w:val="single" w:sz="6" w:space="0" w:color="000000"/>
              <w:end w:val="single" w:sz="6" w:space="0" w:color="000000"/>
            </w:tcBorders>
          </w:tcPr>
          <w:p>
            <w:pPr>
              <w:pStyle w:val="MainText"/>
              <w:ind w:hanging="0" w:end="0"/>
              <w:jc w:val="center"/>
              <w:rPr>
                <w:sz w:val="14"/>
              </w:rPr>
            </w:pPr>
            <w:r>
              <w:rPr>
                <w:sz w:val="14"/>
              </w:rPr>
              <w:t>Номер балансового счета</w:t>
            </w:r>
          </w:p>
        </w:tc>
        <w:tc>
          <w:tcPr>
            <w:tcW w:w="191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Федеральное казначейство</w:t>
            </w:r>
          </w:p>
        </w:tc>
        <w:tc>
          <w:tcPr>
            <w:tcW w:w="1910" w:type="dxa"/>
            <w:gridSpan w:val="2"/>
            <w:tcBorders>
              <w:top w:val="single" w:sz="6" w:space="0" w:color="000000"/>
              <w:start w:val="single" w:sz="6" w:space="0" w:color="000000"/>
              <w:bottom w:val="single" w:sz="6" w:space="0" w:color="000000"/>
              <w:end w:val="single" w:sz="6" w:space="0" w:color="000000"/>
            </w:tcBorders>
          </w:tcPr>
          <w:p>
            <w:pPr>
              <w:pStyle w:val="MainText"/>
              <w:ind w:hanging="0" w:start="57" w:end="57"/>
              <w:jc w:val="center"/>
              <w:rPr>
                <w:sz w:val="14"/>
              </w:rPr>
            </w:pPr>
            <w:r>
              <w:rPr>
                <w:sz w:val="14"/>
              </w:rPr>
              <w:t>Управления Федерального казначейства</w:t>
            </w:r>
          </w:p>
        </w:tc>
        <w:tc>
          <w:tcPr>
            <w:tcW w:w="1910" w:type="dxa"/>
            <w:gridSpan w:val="2"/>
            <w:tcBorders>
              <w:top w:val="single" w:sz="6" w:space="0" w:color="000000"/>
              <w:start w:val="single" w:sz="6" w:space="0" w:color="000000"/>
              <w:bottom w:val="single" w:sz="6" w:space="0" w:color="000000"/>
              <w:end w:val="single" w:sz="6" w:space="0" w:color="000000"/>
            </w:tcBorders>
          </w:tcPr>
          <w:p>
            <w:pPr>
              <w:pStyle w:val="MainText"/>
              <w:ind w:hanging="0" w:start="113" w:end="113"/>
              <w:jc w:val="center"/>
              <w:rPr>
                <w:sz w:val="14"/>
              </w:rPr>
            </w:pPr>
            <w:r>
              <w:rPr>
                <w:sz w:val="14"/>
              </w:rPr>
              <w:t>Отделения Федерального казначейства</w:t>
            </w:r>
          </w:p>
        </w:tc>
        <w:tc>
          <w:tcPr>
            <w:tcW w:w="191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Главные распорядители, распорядители и получатели бюджетных средств</w:t>
            </w:r>
          </w:p>
        </w:tc>
        <w:tc>
          <w:tcPr>
            <w:tcW w:w="191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Органы субъектов Российской Федерации, осуществляющие организацию исполнения бюджетов субъектов Российской Федерации, местных бюджетов</w:t>
            </w:r>
          </w:p>
        </w:tc>
        <w:tc>
          <w:tcPr>
            <w:tcW w:w="1910"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Органы муниципальных образований, осуществляющие организацию исполнения местных бюджетов</w:t>
            </w:r>
          </w:p>
        </w:tc>
      </w:tr>
      <w:tr>
        <w:trPr>
          <w:tblHeader w:val="true"/>
          <w:cantSplit/>
        </w:trPr>
        <w:tc>
          <w:tcPr>
            <w:tcW w:w="533"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rFonts w:cs="Arial"/>
                <w:sz w:val="13"/>
              </w:rPr>
            </w:r>
          </w:p>
        </w:tc>
        <w:tc>
          <w:tcPr>
            <w:tcW w:w="4248" w:type="dxa"/>
            <w:tcBorders>
              <w:start w:val="single" w:sz="6" w:space="0" w:color="000000"/>
              <w:bottom w:val="single" w:sz="6" w:space="0" w:color="000000"/>
              <w:end w:val="single" w:sz="6" w:space="0" w:color="000000"/>
            </w:tcBorders>
          </w:tcPr>
          <w:p>
            <w:pPr>
              <w:pStyle w:val="MainText"/>
              <w:snapToGrid w:val="false"/>
              <w:ind w:hanging="0" w:end="0"/>
              <w:jc w:val="center"/>
              <w:rPr>
                <w:sz w:val="13"/>
              </w:rPr>
            </w:pPr>
            <w:r>
              <w:rPr>
                <w:sz w:val="13"/>
              </w:rPr>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валюте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иностранной валюте</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валюте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иностранной валюте</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валюте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иностранной валюте</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валюте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иностранной валюте</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валюте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иностранной валюте</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валюте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3"/>
              </w:rPr>
            </w:pPr>
            <w:r>
              <w:rPr>
                <w:sz w:val="13"/>
              </w:rPr>
              <w:t>в иностранной валюте</w:t>
            </w:r>
          </w:p>
        </w:tc>
      </w:tr>
      <w:tr>
        <w:trPr>
          <w:tblHeader w:val="true"/>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2</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3</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4</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5</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6</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7</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8</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9</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10</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11</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12</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13</w:t>
            </w:r>
          </w:p>
        </w:tc>
        <w:tc>
          <w:tcPr>
            <w:tcW w:w="95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4"/>
              </w:rPr>
            </w:pPr>
            <w:r>
              <w:rPr>
                <w:sz w:val="14"/>
              </w:rPr>
              <w:t>14</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40101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“3”</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40105</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40106</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счета для выплаты пенсий, пособий и компенсаций лицам, проходившим военную службу, службу в органах внутренних дел и уголовно-исполнительной системы, таможенных органах, и членам их семей</w:t>
            </w:r>
            <w:r>
              <w:rPr>
                <w:sz w:val="16"/>
                <w:vertAlign w:val="superscript"/>
              </w:rPr>
              <w:t>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40116</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счета:</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федерального бюджета</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4.2</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бюджетов субъектов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4.3</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местных бюджетов</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4.4</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полученных от приносящей доход деятельности учреждениями, финансируемыми из федерального бюджета</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4.5</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полученных от приносящей доход деятельности учреждениями, финансируемыми из бюджетов субъектов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4.6</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других средств</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4.7</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поступающих во временное распоряжение учреждений, финансируемых из федерального бюджета</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4.8</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поступающих во временное распоряжение учреждений, финансируемых из бюджетов субъектов Российской Федерации</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4.9</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поступающих во временное распоряжение учреждений, финансируемых из местных бюджетов</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40202</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40203</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40204</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40205</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40206</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40301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40302</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40314</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40501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40503</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15.2</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“2”</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15.3</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 признака</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40603</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16.2</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“2”</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16.3</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“3”</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16.4</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 признака</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40703</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17.1</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“1”</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17.2</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“2”</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17.3</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“3”</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17.4</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 признака</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424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Другие счета</w:t>
            </w:r>
            <w:r>
              <w:rPr>
                <w:sz w:val="16"/>
                <w:vertAlign w:val="superscript"/>
              </w:rPr>
              <w:t>2</w:t>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240"/>
        <w:rPr/>
      </w:pPr>
      <w:r>
        <w:rPr/>
        <w:t>“</w:t>
      </w:r>
      <w:r>
        <w:rPr/>
        <w:t>___” __________ _____ г.</w:t>
      </w:r>
    </w:p>
    <w:p>
      <w:pPr>
        <w:pStyle w:val="SnoskaLineTab"/>
        <w:keepLines w:val="false"/>
        <w:pBdr>
          <w:top w:val="nil"/>
        </w:pBdr>
        <w:rPr/>
      </w:pPr>
      <w:r>
        <w:rPr>
          <w:vertAlign w:val="superscript"/>
        </w:rPr>
        <w:t>1</w:t>
      </w:r>
      <w:r>
        <w:rPr/>
        <w:t> По территориальным банкам и филиалам (отделениям) крупных кредитных организаций с широкой сетью подразделений.</w:t>
      </w:r>
    </w:p>
    <w:p>
      <w:pPr>
        <w:pStyle w:val="Snoska"/>
        <w:keepLines w:val="false"/>
        <w:rPr/>
      </w:pPr>
      <w:r>
        <w:rPr>
          <w:vertAlign w:val="superscript"/>
        </w:rPr>
        <w:t>2</w:t>
      </w:r>
      <w:r>
        <w:rPr/>
        <w:t> Заполняется при наличии других счетов, не указанных в строках 1—17, открытых в кредитной организации (ее филиале) бюджетным учреждениям Российской Федерации.</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ОБ ОСТАТКАХ НА СЧЕТАХ ПО УЧЕТУ СРЕДСТВ БЮДЖЕТОВ БЮДЖЕТНОЙ СИСТЕМЫ РОССИЙСКОЙ ФЕДЕРАЦИИ </w:t>
        <w:br/>
        <w:t xml:space="preserve">И СРЕДСТВ ОТ ПРИНОСЯЩЕЙ ДОХОД ДЕЯТЕЛЬНОСТИ </w:t>
        <w:br/>
        <w:t xml:space="preserve">по состоянию на 1 января </w:t>
      </w:r>
      <w:r>
        <w:rPr/>
        <w:t>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0" w:after="60"/>
        <w:jc w:val="end"/>
        <w:rPr/>
      </w:pPr>
      <w:r>
        <w:rPr/>
        <w:t>Код формы по ОКУД 0409907</w:t>
        <w:br/>
        <w:t>Годовая</w:t>
        <w:br/>
        <w:t>руб. коп.</w:t>
      </w:r>
    </w:p>
    <w:tbl>
      <w:tblPr>
        <w:tblW w:w="16255" w:type="dxa"/>
        <w:jc w:val="center"/>
        <w:tblInd w:w="0" w:type="dxa"/>
        <w:tblLayout w:type="fixed"/>
        <w:tblCellMar>
          <w:top w:w="0" w:type="dxa"/>
          <w:start w:w="28" w:type="dxa"/>
          <w:bottom w:w="0" w:type="dxa"/>
          <w:end w:w="28" w:type="dxa"/>
        </w:tblCellMar>
      </w:tblPr>
      <w:tblGrid>
        <w:gridCol w:w="533"/>
        <w:gridCol w:w="4250"/>
        <w:gridCol w:w="956"/>
        <w:gridCol w:w="956"/>
        <w:gridCol w:w="956"/>
        <w:gridCol w:w="956"/>
        <w:gridCol w:w="956"/>
        <w:gridCol w:w="956"/>
        <w:gridCol w:w="956"/>
        <w:gridCol w:w="956"/>
        <w:gridCol w:w="956"/>
        <w:gridCol w:w="956"/>
        <w:gridCol w:w="956"/>
        <w:gridCol w:w="956"/>
      </w:tblGrid>
      <w:tr>
        <w:trPr>
          <w:tblHeader w:val="true"/>
          <w:cantSplit/>
        </w:trPr>
        <w:tc>
          <w:tcPr>
            <w:tcW w:w="533"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 строки</w:t>
            </w:r>
          </w:p>
        </w:tc>
        <w:tc>
          <w:tcPr>
            <w:tcW w:w="4250" w:type="dxa"/>
            <w:tcBorders>
              <w:top w:val="single" w:sz="6" w:space="0" w:color="000000"/>
              <w:start w:val="single" w:sz="6" w:space="0" w:color="000000"/>
              <w:end w:val="single" w:sz="6" w:space="0" w:color="000000"/>
            </w:tcBorders>
          </w:tcPr>
          <w:p>
            <w:pPr>
              <w:pStyle w:val="MainText"/>
              <w:keepNext w:val="true"/>
              <w:ind w:hanging="0" w:end="0"/>
              <w:jc w:val="center"/>
              <w:rPr>
                <w:sz w:val="14"/>
              </w:rPr>
            </w:pPr>
            <w:r>
              <w:rPr>
                <w:sz w:val="14"/>
              </w:rPr>
              <w:t>Номер балансового счета</w:t>
            </w:r>
          </w:p>
        </w:tc>
        <w:tc>
          <w:tcPr>
            <w:tcW w:w="191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Федеральное казначейство</w:t>
            </w:r>
          </w:p>
        </w:tc>
        <w:tc>
          <w:tcPr>
            <w:tcW w:w="191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start="57" w:end="57"/>
              <w:jc w:val="center"/>
              <w:rPr>
                <w:sz w:val="14"/>
              </w:rPr>
            </w:pPr>
            <w:r>
              <w:rPr>
                <w:sz w:val="14"/>
              </w:rPr>
              <w:t>Управления Федерального казначейства</w:t>
            </w:r>
          </w:p>
        </w:tc>
        <w:tc>
          <w:tcPr>
            <w:tcW w:w="191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start="113" w:end="113"/>
              <w:jc w:val="center"/>
              <w:rPr>
                <w:sz w:val="14"/>
              </w:rPr>
            </w:pPr>
            <w:r>
              <w:rPr>
                <w:sz w:val="14"/>
              </w:rPr>
              <w:t>Отделения Федерального казначейства</w:t>
            </w:r>
          </w:p>
        </w:tc>
        <w:tc>
          <w:tcPr>
            <w:tcW w:w="191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Главные распорядители, распорядители и получатели бюджетных средств</w:t>
            </w:r>
          </w:p>
        </w:tc>
        <w:tc>
          <w:tcPr>
            <w:tcW w:w="191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Органы субъектов Российской Федерации, осуществляющие организацию исполнения бюджетов субъектов Российской Федерации, местных бюджетов</w:t>
            </w:r>
          </w:p>
        </w:tc>
        <w:tc>
          <w:tcPr>
            <w:tcW w:w="1912" w:type="dxa"/>
            <w:gridSpan w:val="2"/>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4"/>
              </w:rPr>
            </w:pPr>
            <w:r>
              <w:rPr>
                <w:sz w:val="14"/>
              </w:rPr>
              <w:t>Органы муниципальных образований, осуществляющие организацию исполнения местных бюджетов</w:t>
            </w:r>
          </w:p>
        </w:tc>
      </w:tr>
      <w:tr>
        <w:trPr>
          <w:tblHeader w:val="true"/>
          <w:cantSplit/>
        </w:trPr>
        <w:tc>
          <w:tcPr>
            <w:tcW w:w="533"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3"/>
              </w:rPr>
            </w:pPr>
            <w:r>
              <w:rPr>
                <w:rFonts w:cs="Arial"/>
                <w:sz w:val="13"/>
              </w:rPr>
            </w:r>
          </w:p>
        </w:tc>
        <w:tc>
          <w:tcPr>
            <w:tcW w:w="4250"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sz w:val="13"/>
              </w:rPr>
            </w:pPr>
            <w:r>
              <w:rPr>
                <w:sz w:val="13"/>
              </w:rPr>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валюте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иностранной валюте</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валюте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иностранной валюте</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валюте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иностранной валюте</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валюте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иностранной валюте</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валюте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иностранной валюте</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валюте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3"/>
              </w:rPr>
            </w:pPr>
            <w:r>
              <w:rPr>
                <w:sz w:val="13"/>
              </w:rPr>
              <w:t>в иностранной валюте</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2</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40101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“3”</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40105</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40106</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 счетах для выплаты пенсий, пособий и компенсаций лицам, проходившим военную службу, службу в органах внутренних дел и уголовно-исполнительной системы, таможенных органах, и членам их семей</w:t>
            </w:r>
            <w:r>
              <w:rPr>
                <w:sz w:val="16"/>
                <w:vertAlign w:val="superscript"/>
              </w:rPr>
              <w:t>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40116</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 на счетах:</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федерального бюджета</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4.2</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бюджетов субъектов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4.3</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местных бюджетов</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4.4</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полученных от приносящей доход деятельности учреждениями, финансируемыми из федерального бюджета</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4.5</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полученных от приносящей доход деятельности учреждениями, финансируемыми из бюджетов субъектов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4.6</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других средств</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4.7</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поступающих во временное распоряжение учреждений, финансируемых из федерального бюджета</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4.8</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поступающих во временное распоряжение учреждений, финансируемых из бюджетов субъектов Российской Федерации</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4.9</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для учета средств, поступающих во временное распоряжение учреждений, финансируемых из местных бюджетов</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40202</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40203</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40204</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40205</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40206</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40301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40302</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40314</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40501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40503</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15.2</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“2”</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15.3</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 признака</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 xml:space="preserve"> </w:t>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40603</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16.2</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“2”</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16.3</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“3”</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16.4</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 признака</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40703</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том числе:</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17.1</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“1”</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17.2</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“2”</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17.3</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 признаком “3”</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17.4</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без признака</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533"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4250"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Другие счета</w:t>
            </w:r>
            <w:r>
              <w:rPr>
                <w:sz w:val="16"/>
                <w:vertAlign w:val="superscript"/>
              </w:rPr>
              <w:t>2</w:t>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95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240"/>
        <w:rPr/>
      </w:pPr>
      <w:r>
        <w:rPr/>
        <w:t>“</w:t>
      </w:r>
      <w:r>
        <w:rPr/>
        <w:t>___” __________ _____ г.</w:t>
      </w:r>
    </w:p>
    <w:p>
      <w:pPr>
        <w:pStyle w:val="SnoskaLineTab"/>
        <w:keepLines w:val="false"/>
        <w:pBdr>
          <w:top w:val="single" w:sz="6" w:space="1" w:color="000000"/>
        </w:pBdr>
        <w:rPr/>
      </w:pPr>
      <w:r>
        <w:rPr>
          <w:vertAlign w:val="superscript"/>
        </w:rPr>
        <w:t>1</w:t>
      </w:r>
      <w:r>
        <w:rPr/>
        <w:t> По территориальным банкам и филиалам (отделениям) крупных кредитных организаций с широкой сетью подразделений.</w:t>
      </w:r>
    </w:p>
    <w:p>
      <w:pPr>
        <w:pStyle w:val="SnoskaLineTab"/>
        <w:keepLines w:val="false"/>
        <w:pBdr>
          <w:top w:val="nil"/>
        </w:pBdr>
        <w:rPr/>
      </w:pPr>
      <w:r>
        <w:rPr>
          <w:vertAlign w:val="superscript"/>
        </w:rPr>
        <w:t>2</w:t>
      </w:r>
      <w:r>
        <w:rPr/>
        <w:t> Заполняется при наличии других счетов, не указанных в строках 1—17, открытых в кредитной организации (ее филиале) бюджетным учреждениям Российской Федерации.</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0409906 “Отчет о количестве счетов по учету средств бюджетов бюджетной системы Российской Федерации и средств от приносящей доход деятельности” и по форме 0409907 “Отчет об остатках на счетах по учету средств бюджетов бюджетной системы Российской Федерации и средств от приносящей доход деятельности”</w:t>
      </w:r>
    </w:p>
    <w:p>
      <w:pPr>
        <w:pStyle w:val="MainText"/>
        <w:rPr/>
      </w:pPr>
      <w:r>
        <w:rPr/>
        <w:t>1. Отчетность по форме 0409906 “Отчет о количестве счетов по учету средств бюджетов бюджетной системы Российской Федерации и средств от приносящей доход деятельности” (далее — отчетность по форме 0409906) и отчетность по форме 0409907 “Отчет об остатках на счетах по учету средств бюджетов бюджетной системы Российской Федерации и средств от приносящей доход деятельности” (далее — отчетность по форме 0409907) составляется ежегодно кредитными организациями (их филиалами) по состоянию на 1 января года, следующего за отчетным.</w:t>
      </w:r>
    </w:p>
    <w:p>
      <w:pPr>
        <w:pStyle w:val="MainText"/>
        <w:rPr/>
      </w:pPr>
      <w:r>
        <w:rPr/>
        <w:t>2. Отчетность по форме 0409906 и отчетность по форме 0409907 представляется кредитными организациями (их филиалами) в соответствующие территориальные учреждения Банка России не позднее 1 февраля года, следующего за отчетным.</w:t>
      </w:r>
    </w:p>
    <w:p>
      <w:pPr>
        <w:pStyle w:val="MainText"/>
        <w:rPr/>
      </w:pPr>
      <w:r>
        <w:rPr/>
        <w:t>3. Суммы в иностранной валюте в отчетности по форме 0409907 указываются в рублевом эквиваленте, определяемом по официальному курсу иностранной валюты по отношению к рублю, установленному Банком России.</w:t>
      </w:r>
    </w:p>
    <w:p>
      <w:pPr>
        <w:pStyle w:val="MainText"/>
        <w:rPr/>
      </w:pPr>
      <w:r>
        <w:rPr/>
        <w:t>4. Главный бухгалтер кредитной организации (ее филиала) с целью проверки отчетности по форме 0409907 должен сверить данные отчетности по форме 0409907 с соответствующими данными оборотной ведомости по счетам бухгалтерского учета кредитной организации на 1 января года, следующего за отчетным. При несоответствии указанных данных кредитные организации (их филиалы) представляют в территориальные учреждения Банка России скорректированную отчетность по форме 0409907 с объяснением причин расхождения данных.</w:t>
      </w:r>
    </w:p>
    <w:p>
      <w:pPr>
        <w:pStyle w:val="MainText"/>
        <w:rPr/>
      </w:pPr>
      <w:r>
        <w:rPr/>
      </w:r>
      <w:r>
        <w:br w:type="page"/>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ОТЧЕТ ОБ ОСТАТКАХ НА СЧЕТАХ, ОТКРЫТЫХ ОРГАНИЗАЦИЯМ, ПО УЧЕТУ СРЕДСТВ ФЕДЕРАЛЬНОГО БЮДЖЕТА, ВЫДЕЛЕННЫХ НА ВОЗВРАТНОЙ И ПЛАТНОЙ ОСНОВЕ НА ФИНАНСИРОВАНИЕ ИНВЕСТИЦИОННЫХ ПРОЕКТОВ И ПРОГРАММ КОНВЕРСИИ ОБОРОННОЙ ПРОМЫШЛЕННОСТИ, ФОРМИРОВАНИЕ СПЕЦИАЛЬНОГО ФОНДА ЛЬГОТНОГО КРЕДИТОВАНИЯ СЕЗОННЫХ ЗАТРАТ В АГРОПРОМЫШЛЕННОМ КОМПЛЕКСЕ </w:t>
        <w:br/>
        <w:t xml:space="preserve">по состоянию на 1 января </w:t>
      </w:r>
      <w:r>
        <w:rPr/>
        <w:t>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spacing w:before="120" w:after="60"/>
        <w:jc w:val="end"/>
        <w:rPr/>
      </w:pPr>
      <w:r>
        <w:rPr/>
        <w:t>Код формы по ОКУД 0409908</w:t>
        <w:br/>
        <w:t>Годовая</w:t>
        <w:br/>
        <w:t>руб. коп.</w:t>
      </w:r>
    </w:p>
    <w:tbl>
      <w:tblPr>
        <w:tblW w:w="10986" w:type="dxa"/>
        <w:jc w:val="center"/>
        <w:tblInd w:w="0" w:type="dxa"/>
        <w:tblLayout w:type="fixed"/>
        <w:tblCellMar>
          <w:top w:w="0" w:type="dxa"/>
          <w:start w:w="28" w:type="dxa"/>
          <w:bottom w:w="0" w:type="dxa"/>
          <w:end w:w="28" w:type="dxa"/>
        </w:tblCellMar>
      </w:tblPr>
      <w:tblGrid>
        <w:gridCol w:w="816"/>
        <w:gridCol w:w="2034"/>
        <w:gridCol w:w="2034"/>
        <w:gridCol w:w="2034"/>
        <w:gridCol w:w="2034"/>
        <w:gridCol w:w="2034"/>
      </w:tblGrid>
      <w:tr>
        <w:trPr>
          <w:tblHeader w:val="true"/>
          <w:cantSplit/>
        </w:trPr>
        <w:tc>
          <w:tcPr>
            <w:tcW w:w="816" w:type="dxa"/>
            <w:tcBorders>
              <w:top w:val="single" w:sz="6" w:space="0" w:color="000000"/>
              <w:start w:val="single" w:sz="6" w:space="0" w:color="000000"/>
              <w:end w:val="single" w:sz="6" w:space="0" w:color="000000"/>
            </w:tcBorders>
          </w:tcPr>
          <w:p>
            <w:pPr>
              <w:pStyle w:val="MainText"/>
              <w:keepNext w:val="true"/>
              <w:ind w:hanging="0" w:end="0"/>
              <w:jc w:val="center"/>
              <w:rPr/>
            </w:pPr>
            <w:r>
              <w:rPr/>
              <w:t>Номер</w:t>
            </w:r>
          </w:p>
        </w:tc>
        <w:tc>
          <w:tcPr>
            <w:tcW w:w="2034" w:type="dxa"/>
            <w:tcBorders>
              <w:top w:val="single" w:sz="6" w:space="0" w:color="000000"/>
              <w:start w:val="single" w:sz="6" w:space="0" w:color="000000"/>
              <w:end w:val="single" w:sz="6" w:space="0" w:color="000000"/>
            </w:tcBorders>
          </w:tcPr>
          <w:p>
            <w:pPr>
              <w:pStyle w:val="MainText"/>
              <w:keepNext w:val="true"/>
              <w:ind w:hanging="0" w:end="0"/>
              <w:jc w:val="center"/>
              <w:rPr/>
            </w:pPr>
            <w:r>
              <w:rPr/>
              <w:t>Наименование</w:t>
            </w:r>
          </w:p>
        </w:tc>
        <w:tc>
          <w:tcPr>
            <w:tcW w:w="8136" w:type="dxa"/>
            <w:gridSpan w:val="4"/>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Остатки по балансовым счетам</w:t>
            </w:r>
          </w:p>
        </w:tc>
      </w:tr>
      <w:tr>
        <w:trPr>
          <w:tblHeader w:val="true"/>
          <w:cantSplit/>
        </w:trPr>
        <w:tc>
          <w:tcPr>
            <w:tcW w:w="816" w:type="dxa"/>
            <w:tcBorders>
              <w:start w:val="single" w:sz="6" w:space="0" w:color="000000"/>
              <w:bottom w:val="single" w:sz="6" w:space="0" w:color="000000"/>
              <w:end w:val="single" w:sz="6" w:space="0" w:color="000000"/>
            </w:tcBorders>
          </w:tcPr>
          <w:p>
            <w:pPr>
              <w:pStyle w:val="MainText"/>
              <w:keepNext w:val="true"/>
              <w:ind w:hanging="0" w:end="0"/>
              <w:jc w:val="center"/>
              <w:rPr/>
            </w:pPr>
            <w:r>
              <w:rPr/>
              <w:t>строки</w:t>
            </w:r>
          </w:p>
        </w:tc>
        <w:tc>
          <w:tcPr>
            <w:tcW w:w="2034" w:type="dxa"/>
            <w:tcBorders>
              <w:start w:val="single" w:sz="6" w:space="0" w:color="000000"/>
              <w:bottom w:val="single" w:sz="6" w:space="0" w:color="000000"/>
              <w:end w:val="single" w:sz="6" w:space="0" w:color="000000"/>
            </w:tcBorders>
          </w:tcPr>
          <w:p>
            <w:pPr>
              <w:pStyle w:val="MainText"/>
              <w:keepNext w:val="true"/>
              <w:ind w:hanging="0" w:end="0"/>
              <w:jc w:val="center"/>
              <w:rPr/>
            </w:pPr>
            <w:r>
              <w:rPr/>
              <w:t>организаций</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 xml:space="preserve">№ </w:t>
            </w:r>
            <w:r>
              <w:rPr/>
              <w:t>40108</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 xml:space="preserve">№ </w:t>
            </w:r>
            <w:r>
              <w:rPr/>
              <w:t>40109</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 xml:space="preserve">№ </w:t>
            </w:r>
            <w:r>
              <w:rPr/>
              <w:t>40110</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 xml:space="preserve">№ </w:t>
            </w:r>
            <w:r>
              <w:rPr/>
              <w:t>40111</w:t>
            </w:r>
          </w:p>
        </w:tc>
      </w:tr>
      <w:tr>
        <w:trPr>
          <w:tblHeader w:val="true"/>
          <w:cantSplit/>
        </w:trPr>
        <w:tc>
          <w:tcPr>
            <w:tcW w:w="81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1</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2</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3</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4</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5</w:t>
            </w:r>
          </w:p>
        </w:tc>
        <w:tc>
          <w:tcPr>
            <w:tcW w:w="203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pPr>
            <w:r>
              <w:rPr/>
              <w:t>6</w:t>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r>
        <w:trPr>
          <w:cantSplit/>
        </w:trPr>
        <w:tc>
          <w:tcPr>
            <w:tcW w:w="81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Fonts w:cs="Arial"/>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c>
          <w:tcPr>
            <w:tcW w:w="203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pPr>
            <w:r>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BezOtstupa"/>
        <w:spacing w:before="57" w:after="0"/>
        <w:rPr/>
      </w:pPr>
      <w:r>
        <w:rPr/>
        <w:t>М.П.</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pPr>
      <w:r>
        <w:rPr/>
      </w:r>
      <w:r>
        <w:br w:type="page"/>
      </w:r>
    </w:p>
    <w:p>
      <w:pPr>
        <w:pStyle w:val="MZagolovokCenter"/>
        <w:rPr/>
      </w:pPr>
      <w:r>
        <w:rPr/>
        <w:t>Порядок составления и представления отчетности по форме 0409908 “Отчет об остатках на счетах, открытых организациям, по учету средств федерального бюджета, выделенных на возвратной и платной основе на финансирование инвестиционных проектов и программ конверсии оборонной промышленности, формирование специального фонда льготного кредитования сезонных затрат в агропромышленном комплексе”</w:t>
      </w:r>
    </w:p>
    <w:p>
      <w:pPr>
        <w:pStyle w:val="MainText"/>
        <w:rPr/>
      </w:pPr>
      <w:r>
        <w:rPr/>
        <w:t>1. Отчетность по форме 0409908 “Отчет об остатках на счетах, открытых организациям, по учету средств федерального бюджета, выделенных на возвратной и платной основе на финансирование инвестиционных проектов и программ конверсии оборонной промышленности, формирование специального фонда льготного кредитования сезонных затрат в агропромышленном комплексе” (далее — Отчет) составляется кредитными организациями (их филиалами) по состоянию на 1 января года, следующего за отчетным, отдельно по счетам в иностранных валютах (в рублевом эквиваленте с указанием кода валюты) и по счетам в валюте Российской Федерации (в рублях и копейках).</w:t>
      </w:r>
    </w:p>
    <w:p>
      <w:pPr>
        <w:pStyle w:val="MainText"/>
        <w:rPr/>
      </w:pPr>
      <w:r>
        <w:rPr/>
        <w:t>2. Отчет представляется кредитными организациями (их филиалами) в соответствующие территориальные учреждения Банка России не позднее 1 февраля года, следующего за отчетным.</w:t>
      </w:r>
    </w:p>
    <w:p>
      <w:pPr>
        <w:pStyle w:val="MainText"/>
        <w:rPr/>
      </w:pPr>
      <w:r>
        <w:rPr/>
        <w:t>3. В Отчете кредитные организации (их филиалы) указывают остатки по открытым балансовым счетам №№ 40108, 40109, 40110 и 40111 в разрезе действующих организаций и тех, по которым имеется выписка из Единого государственного реестра юридических лиц о внесении записи о ликвидации, с указанием полного наименования организаций.</w:t>
      </w:r>
    </w:p>
    <w:p>
      <w:pPr>
        <w:pStyle w:val="MainText"/>
        <w:rPr/>
      </w:pPr>
      <w:r>
        <w:rPr/>
        <w:t>4. Главный бухгалтер кредитной организации (ее филиала) с целью проверки Отчета должен сверить данные Отчета с соответствующими данными оборотной ведомости по счетам бухгалтерского учета кредитной организации на 1 января года, следующего за отчетным. При несоответствии указанных данных кредитные организации (их филиалы) представляют в территориальное учреждение Банка России скорректированные отчеты с объяснением причин расхождения данных.</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keepNext w:val="true"/>
        <w:keepLines/>
        <w:spacing w:before="0" w:after="60"/>
        <w:jc w:val="end"/>
        <w:rPr>
          <w:sz w:val="16"/>
          <w:lang w:val="ru-RU"/>
        </w:rPr>
      </w:pPr>
      <w:r>
        <w:rPr>
          <w:sz w:val="16"/>
          <w:lang w:val="ru-RU"/>
        </w:rPr>
        <w:t>Банковская отчетность</w:t>
      </w:r>
    </w:p>
    <w:tbl>
      <w:tblPr>
        <w:tblW w:w="8222" w:type="dxa"/>
        <w:jc w:val="end"/>
        <w:tblInd w:w="0" w:type="dxa"/>
        <w:tblLayout w:type="fixed"/>
        <w:tblCellMar>
          <w:top w:w="0" w:type="dxa"/>
          <w:start w:w="107" w:type="dxa"/>
          <w:bottom w:w="0" w:type="dxa"/>
          <w:end w:w="107" w:type="dxa"/>
        </w:tblCellMar>
      </w:tblPr>
      <w:tblGrid>
        <w:gridCol w:w="1418"/>
        <w:gridCol w:w="1134"/>
        <w:gridCol w:w="2268"/>
        <w:gridCol w:w="2268"/>
        <w:gridCol w:w="1134"/>
      </w:tblGrid>
      <w:tr>
        <w:trPr>
          <w:cantSplit/>
        </w:trPr>
        <w:tc>
          <w:tcPr>
            <w:tcW w:w="1418" w:type="dxa"/>
            <w:tcBorders>
              <w:top w:val="single" w:sz="6" w:space="0" w:color="000000"/>
              <w:start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территории</w:t>
            </w:r>
          </w:p>
        </w:tc>
        <w:tc>
          <w:tcPr>
            <w:tcW w:w="6804" w:type="dxa"/>
            <w:gridSpan w:val="4"/>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Код кредитной организации (филиала)</w:t>
            </w:r>
          </w:p>
        </w:tc>
      </w:tr>
      <w:tr>
        <w:trPr>
          <w:cantSplit/>
        </w:trPr>
        <w:tc>
          <w:tcPr>
            <w:tcW w:w="1418" w:type="dxa"/>
            <w:tcBorders>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ОКАТО</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по ОКПО</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основной государственный регистрационный номер</w:t>
            </w:r>
          </w:p>
        </w:tc>
        <w:tc>
          <w:tcPr>
            <w:tcW w:w="2268"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регистрационный номер (/порядковый номер)</w:t>
            </w:r>
          </w:p>
        </w:tc>
        <w:tc>
          <w:tcPr>
            <w:tcW w:w="1134" w:type="dxa"/>
            <w:tcBorders>
              <w:top w:val="single" w:sz="6" w:space="0" w:color="000000"/>
              <w:start w:val="single" w:sz="6" w:space="0" w:color="000000"/>
              <w:bottom w:val="single" w:sz="6" w:space="0" w:color="000000"/>
              <w:end w:val="single" w:sz="6" w:space="0" w:color="000000"/>
            </w:tcBorders>
          </w:tcPr>
          <w:p>
            <w:pPr>
              <w:pStyle w:val="Normal"/>
              <w:keepNext w:val="true"/>
              <w:jc w:val="center"/>
              <w:rPr>
                <w:rFonts w:ascii="Arial" w:hAnsi="Arial" w:cs="Arial"/>
                <w:sz w:val="16"/>
              </w:rPr>
            </w:pPr>
            <w:r>
              <w:rPr>
                <w:rFonts w:cs="Arial" w:ascii="Arial" w:hAnsi="Arial"/>
                <w:sz w:val="16"/>
              </w:rPr>
              <w:t>БИК</w:t>
            </w:r>
          </w:p>
        </w:tc>
      </w:tr>
      <w:tr>
        <w:trPr>
          <w:cantSplit/>
        </w:trPr>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sz w:val="16"/>
              </w:rPr>
            </w:pPr>
            <w:r>
              <w:rPr>
                <w:rFonts w:cs="Arial" w:ascii="Arial" w:hAnsi="Arial"/>
                <w:sz w:val="16"/>
              </w:rPr>
            </w:r>
          </w:p>
        </w:tc>
      </w:tr>
    </w:tbl>
    <w:p>
      <w:pPr>
        <w:pStyle w:val="MZagolovokCenter"/>
        <w:spacing w:before="120" w:after="227"/>
        <w:rPr/>
      </w:pPr>
      <w:r>
        <w:rPr>
          <w:color w:val="000000"/>
        </w:rPr>
        <w:t xml:space="preserve">ИНФОРМАЦИЯ О СЧЕТАХ, ОТКРЫТЫХ ФЕДЕРАЛЬНЫМ УЧРЕЖДЕНИЯМ, ФИНАНСОВЫМ ОРГАНАМ И БЮДЖЕТНЫМ УЧРЕЖДЕНИЯМ </w:t>
        <w:br/>
        <w:t xml:space="preserve">В КРЕДИТНЫХ ОРГАНИЗАЦИЯХ (ИХ ФИЛИАЛАХ) </w:t>
        <w:br/>
        <w:t>по состоянию на “</w:t>
      </w:r>
      <w:r>
        <w:rPr/>
        <w:t>___” __________ _____</w:t>
      </w:r>
      <w:r>
        <w:rPr>
          <w:b w:val="false"/>
        </w:rPr>
        <w:t xml:space="preserve"> </w:t>
      </w:r>
      <w:r>
        <w:rPr/>
        <w:t>г.</w:t>
      </w:r>
    </w:p>
    <w:p>
      <w:pPr>
        <w:pStyle w:val="MainTextLine155"/>
        <w:tabs>
          <w:tab w:val="clear" w:pos="8787"/>
          <w:tab w:val="right" w:pos="9978" w:leader="underscore"/>
        </w:tabs>
        <w:rPr/>
      </w:pPr>
      <w:r>
        <w:rPr/>
        <w:t>Сокращенное фирменное наименование кредитной организации (наименование ее филиала)</w:t>
        <w:tab/>
      </w:r>
    </w:p>
    <w:p>
      <w:pPr>
        <w:pStyle w:val="MainTextLine155"/>
        <w:tabs>
          <w:tab w:val="clear" w:pos="8787"/>
          <w:tab w:val="right" w:pos="9978" w:leader="underscore"/>
        </w:tabs>
        <w:rPr/>
      </w:pPr>
      <w:r>
        <w:rPr/>
        <w:t>Почтовый адрес</w:t>
        <w:tab/>
      </w:r>
    </w:p>
    <w:p>
      <w:pPr>
        <w:pStyle w:val="MainTextBezOtstupa"/>
        <w:jc w:val="end"/>
        <w:rPr/>
      </w:pPr>
      <w:r>
        <w:rPr/>
        <w:t>Код формы по ОКУД 0409909</w:t>
        <w:br/>
        <w:t>Квартальная</w:t>
      </w:r>
    </w:p>
    <w:p>
      <w:pPr>
        <w:pStyle w:val="MGlavaCenter"/>
        <w:jc w:val="start"/>
        <w:rPr>
          <w:b w:val="false"/>
        </w:rPr>
      </w:pPr>
      <w:r>
        <w:rPr/>
        <w:t>Раздел 1. Информация о счетах, открытых федеральным бюджетным учреждениям для учета операций со средствами федерального бюджета, средствами, поступающими во временное их распоряжение, и средствами, полученными от приносящей доход деятельности</w:t>
      </w:r>
    </w:p>
    <w:tbl>
      <w:tblPr>
        <w:tblW w:w="16258" w:type="dxa"/>
        <w:jc w:val="center"/>
        <w:tblInd w:w="0" w:type="dxa"/>
        <w:tblLayout w:type="fixed"/>
        <w:tblCellMar>
          <w:top w:w="0" w:type="dxa"/>
          <w:start w:w="28" w:type="dxa"/>
          <w:bottom w:w="0" w:type="dxa"/>
          <w:end w:w="28" w:type="dxa"/>
        </w:tblCellMar>
      </w:tblPr>
      <w:tblGrid>
        <w:gridCol w:w="674"/>
        <w:gridCol w:w="1948"/>
        <w:gridCol w:w="1948"/>
        <w:gridCol w:w="1948"/>
        <w:gridCol w:w="1948"/>
        <w:gridCol w:w="1948"/>
        <w:gridCol w:w="1948"/>
        <w:gridCol w:w="1948"/>
        <w:gridCol w:w="1948"/>
      </w:tblGrid>
      <w:tr>
        <w:trPr>
          <w:tblHeader w:val="true"/>
          <w:cantSplit/>
        </w:trPr>
        <w:tc>
          <w:tcPr>
            <w:tcW w:w="67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федерального учреждения (полное и сокращенное)</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Орган государственной власти, создавший федеральное учреждение</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ИНН (КПП) федерального учреждения</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Место нахождения федерального учреждения (почтовый адрес)</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телефона федерального учреждения</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лицевого счета, открытого федеральному учреждению</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Дата последнего движения по лицевому счету</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Остаток средств на лицевом счете, руб. коп.</w:t>
            </w:r>
          </w:p>
        </w:tc>
      </w:tr>
      <w:tr>
        <w:trPr>
          <w:tblHeader w:val="true"/>
          <w:cantSplit/>
        </w:trPr>
        <w:tc>
          <w:tcPr>
            <w:tcW w:w="674"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c>
          <w:tcPr>
            <w:tcW w:w="194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9</w:t>
            </w:r>
          </w:p>
        </w:tc>
      </w:tr>
      <w:tr>
        <w:trPr>
          <w:cantSplit/>
        </w:trPr>
        <w:tc>
          <w:tcPr>
            <w:tcW w:w="16258"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 По балансовому счету № 40106 “Средства федерального бюджета, выделенные государственным организациям”</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разделу 1.1:</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8"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 По балансовому счету № 40302 “Средства, поступающие во временное распоряжение бюджетных учреждений”</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разделу 1.2:</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8" w:type="dxa"/>
            <w:gridSpan w:val="9"/>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 По балансовому счету № 40503 “Счета организаций, находящихся в федеральной собственности. Некоммерческие организации”</w:t>
            </w:r>
          </w:p>
        </w:tc>
      </w:tr>
      <w:tr>
        <w:trPr>
          <w:cantSplit/>
        </w:trPr>
        <w:tc>
          <w:tcPr>
            <w:tcW w:w="674"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622"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разделу 1.3:</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1948"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GlavaCenter"/>
        <w:spacing w:before="240" w:after="120"/>
        <w:jc w:val="start"/>
        <w:rPr>
          <w:b w:val="false"/>
        </w:rPr>
      </w:pPr>
      <w:r>
        <w:br w:type="page"/>
      </w:r>
      <w:r>
        <w:rPr/>
        <w:t>Раздел 2. Информация о счетах, открытых финансовым органам и бюджетным учреждениям субъектов Российской Федерации и муниципальным бюджетным учреждениям</w:t>
      </w:r>
    </w:p>
    <w:tbl>
      <w:tblPr>
        <w:tblW w:w="16257" w:type="dxa"/>
        <w:jc w:val="center"/>
        <w:tblInd w:w="0" w:type="dxa"/>
        <w:tblLayout w:type="fixed"/>
        <w:tblCellMar>
          <w:top w:w="0" w:type="dxa"/>
          <w:start w:w="28" w:type="dxa"/>
          <w:bottom w:w="0" w:type="dxa"/>
          <w:end w:w="28" w:type="dxa"/>
        </w:tblCellMar>
      </w:tblPr>
      <w:tblGrid>
        <w:gridCol w:w="675"/>
        <w:gridCol w:w="2226"/>
        <w:gridCol w:w="2226"/>
        <w:gridCol w:w="2226"/>
        <w:gridCol w:w="2226"/>
        <w:gridCol w:w="2226"/>
        <w:gridCol w:w="2226"/>
        <w:gridCol w:w="2226"/>
      </w:tblGrid>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строки</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финансового органа или бюджетного учреждения (полное и сокращенное)</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ИНН (КПП) финансового органа или бюджетного учреждения</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Место нахождения финансового органа или бюджетного учреждения (почтовый адрес)</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телефона финансового органа или бюджетного учреждения</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лицевого счета, открытого финансовому органу или бюджетному учреждению</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Дата последнего движения по лицевому счету</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start="113" w:end="113"/>
              <w:jc w:val="center"/>
              <w:rPr>
                <w:sz w:val="16"/>
              </w:rPr>
            </w:pPr>
            <w:r>
              <w:rPr>
                <w:sz w:val="16"/>
              </w:rPr>
              <w:t>Остаток средств на лицевом счете, руб. коп.</w:t>
            </w:r>
          </w:p>
        </w:tc>
      </w:tr>
      <w:tr>
        <w:trPr>
          <w:tblHeader w:val="true"/>
          <w:cantSplit/>
        </w:trPr>
        <w:tc>
          <w:tcPr>
            <w:tcW w:w="67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5</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6</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7</w:t>
            </w:r>
          </w:p>
        </w:tc>
        <w:tc>
          <w:tcPr>
            <w:tcW w:w="222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8</w:t>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 По счетам, открытым финансовым органам на балансовом счете № 40201 “Средства бюджетов субъектов Российской Федерации”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2.1:</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 По счетам, открытым финансовым органам на балансовом счете № 40204 “Средства местных бюджетов”</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2.2:</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 По счетам, открытым бюджетным учреждениям на балансовом счете № 40202 “Средства бюджетов субъектов Российской Федерации, выделенные государственным организациям”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2.3:</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 По счетам, открытым бюджетным учреждениям на балансовом счете № 40203 “Средства бюджетов субъектов Российской Федерации, выделенные негосударственным организациям”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2.4:</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 По счетам, открытым бюджетным учреждениям на балансовом счете № 40205 “Средства местных бюджетов, выделенные государственным организациям”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2.5:</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 По счетам, открытым бюджетным учреждениям на балансовом счете № 40206 “Средства местных бюджетов, выделенные негосударственным организациям”</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2.6:</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 По счетам, открытым бюджетным учреждениям на балансовом счете № 40603 “Счета организаций, находящихся в государственной (кроме федеральной) собственности. Некоммерческие организации”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2.7:</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16257" w:type="dxa"/>
            <w:gridSpan w:val="8"/>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 По счетам, открытым бюджетным учреждениям на балансовом счете № 40703 “Счета негосударственных организаций. Некоммерческие организации”</w:t>
            </w:r>
          </w:p>
        </w:tc>
      </w:tr>
      <w:tr>
        <w:trPr>
          <w:cantSplit/>
        </w:trPr>
        <w:tc>
          <w:tcPr>
            <w:tcW w:w="675"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rFonts w:cs="Arial"/>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r>
        <w:trPr>
          <w:cantSplit/>
        </w:trPr>
        <w:tc>
          <w:tcPr>
            <w:tcW w:w="2901" w:type="dxa"/>
            <w:gridSpan w:val="2"/>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Итого по подразделу 2.8:</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х</w:t>
            </w:r>
          </w:p>
        </w:tc>
        <w:tc>
          <w:tcPr>
            <w:tcW w:w="2226" w:type="dxa"/>
            <w:tcBorders>
              <w:top w:val="single" w:sz="6" w:space="0" w:color="000000"/>
              <w:start w:val="single" w:sz="6" w:space="0" w:color="000000"/>
              <w:bottom w:val="single" w:sz="6" w:space="0" w:color="000000"/>
              <w:end w:val="single" w:sz="6" w:space="0" w:color="000000"/>
            </w:tcBorders>
          </w:tcPr>
          <w:p>
            <w:pPr>
              <w:pStyle w:val="MainText"/>
              <w:snapToGrid w:val="false"/>
              <w:ind w:hanging="0" w:end="0"/>
              <w:jc w:val="center"/>
              <w:rPr>
                <w:sz w:val="16"/>
              </w:rPr>
            </w:pPr>
            <w:r>
              <w:rPr>
                <w:sz w:val="16"/>
              </w:rPr>
            </w:r>
          </w:p>
        </w:tc>
      </w:tr>
    </w:tbl>
    <w:p>
      <w:pPr>
        <w:pStyle w:val="MainTextLine155"/>
        <w:tabs>
          <w:tab w:val="clear" w:pos="8787"/>
          <w:tab w:val="left" w:pos="4564" w:leader="none"/>
        </w:tabs>
        <w:spacing w:before="120" w:after="0"/>
        <w:rPr/>
      </w:pPr>
      <w:r>
        <w:rPr/>
        <w:t>Руководитель</w:t>
        <w:tab/>
        <w:t>(Ф.И.О.)</w:t>
      </w:r>
    </w:p>
    <w:p>
      <w:pPr>
        <w:pStyle w:val="MainTextLine155"/>
        <w:tabs>
          <w:tab w:val="clear" w:pos="8787"/>
          <w:tab w:val="left" w:pos="4564" w:leader="none"/>
        </w:tabs>
        <w:spacing w:before="57" w:after="0"/>
        <w:rPr/>
      </w:pPr>
      <w:r>
        <w:rPr/>
        <w:t>Главный бухгалтер</w:t>
        <w:tab/>
        <w:t>(Ф.И.О.)</w:t>
      </w:r>
    </w:p>
    <w:p>
      <w:pPr>
        <w:pStyle w:val="MainTextLine155"/>
        <w:tabs>
          <w:tab w:val="clear" w:pos="8787"/>
          <w:tab w:val="left" w:pos="4564" w:leader="none"/>
        </w:tabs>
        <w:spacing w:before="57" w:after="0"/>
        <w:rPr/>
      </w:pPr>
      <w:r>
        <w:rPr/>
        <w:t>Исполнитель</w:t>
        <w:tab/>
        <w:t>(Ф.И.О.)</w:t>
      </w:r>
    </w:p>
    <w:p>
      <w:pPr>
        <w:pStyle w:val="MainTextBezOtstupa"/>
        <w:spacing w:before="57" w:after="0"/>
        <w:rPr/>
      </w:pPr>
      <w:r>
        <w:rPr/>
        <w:t>Телефон:</w:t>
      </w:r>
    </w:p>
    <w:p>
      <w:pPr>
        <w:pStyle w:val="MainTextBezOtstupa"/>
        <w:spacing w:before="57" w:after="0"/>
        <w:rPr/>
      </w:pPr>
      <w:r>
        <w:rPr/>
        <w:t>“</w:t>
      </w:r>
      <w:r>
        <w:rPr/>
        <w:t>___” __________ _____ г.</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p>
      <w:pPr>
        <w:pStyle w:val="MZagolovokCenter"/>
        <w:rPr/>
      </w:pPr>
      <w:r>
        <w:rPr/>
        <w:t>Порядок составления и представления отчетности по форме 0409909 “Информация о счетах, открытых федеральным учреждениям, финансовым органам и бюджетным учреждениям в кредитных организациях (их филиалах)”</w:t>
      </w:r>
    </w:p>
    <w:p>
      <w:pPr>
        <w:pStyle w:val="MainText"/>
        <w:rPr/>
      </w:pPr>
      <w:r>
        <w:rPr/>
        <w:t>1. Кредитные организации (их филиалы) составляют и представляют в территориальные учреждения Банка России отчетность по форме 0409909 “Информация о счетах, открытых федеральным учреждениям, финансовым органам и бюджетным учреждениям в кредитных организациях (их филиалах)” (далее — Отчет) ежеквартально по состоянию на 1-е число месяца, следующего за отчетным кварталом.</w:t>
      </w:r>
    </w:p>
    <w:p>
      <w:pPr>
        <w:pStyle w:val="MainText"/>
        <w:rPr/>
      </w:pPr>
      <w:r>
        <w:rPr/>
        <w:t>2. В Отчет включаются следующие данные.</w:t>
      </w:r>
    </w:p>
    <w:p>
      <w:pPr>
        <w:pStyle w:val="MainText"/>
        <w:rPr/>
      </w:pPr>
      <w:r>
        <w:rPr/>
        <w:t>2.1. В раздел 1 — данные о счетах в валюте Российской Федерации, открытых федеральным бюджетным учреждениям:</w:t>
      </w:r>
    </w:p>
    <w:p>
      <w:pPr>
        <w:pStyle w:val="MainText"/>
        <w:rPr/>
      </w:pPr>
      <w:r>
        <w:rPr/>
        <w:t>по подразделу 1.1 — данные о счетах, открытых на балансовом счете № 40106 “Средства федерального бюджета, выделенные государственным организациям”;</w:t>
      </w:r>
    </w:p>
    <w:p>
      <w:pPr>
        <w:pStyle w:val="MainText"/>
        <w:rPr/>
      </w:pPr>
      <w:r>
        <w:rPr/>
        <w:t>по подразделу 1.2 — данные о счетах, открытых на балансовом счете № 40302 “Средства, поступающие во временное распоряжение бюджетных учреждений”;</w:t>
      </w:r>
    </w:p>
    <w:p>
      <w:pPr>
        <w:pStyle w:val="MainText"/>
        <w:rPr/>
      </w:pPr>
      <w:r>
        <w:rPr/>
        <w:t>по подразделу 1.3 — данные о счетах, открытых на балансовом счете № 40503 “Счета организаций, находящихся в федеральной собственности. Некоммерческие организации” для учета операций со средствами, полученными от приносящей доход деятельности.</w:t>
      </w:r>
    </w:p>
    <w:p>
      <w:pPr>
        <w:pStyle w:val="MainText"/>
        <w:rPr/>
      </w:pPr>
      <w:r>
        <w:rPr/>
        <w:t>2.2. В раздел 2 — данные о счетах в валюте Российской Федерации, открытых финансовым органам субъектов Российской Федерации и муниципальных образований (далее — счета, открытые финансовым органам), и о счетах в валюте Российской Федерации, открытых бюджетным учреждениям субъектов Российской Федерации и муниципальным бюджетным учреждениям (далее — счета, открытые бюджетным учреждениям):</w:t>
      </w:r>
    </w:p>
    <w:p>
      <w:pPr>
        <w:pStyle w:val="MainText"/>
        <w:rPr/>
      </w:pPr>
      <w:r>
        <w:rPr/>
        <w:t>по подразделу 2.1 — данные о счетах, открытых финансовым органам на балансовом счете № 40201 “Средства бюджетов субъектов Российской Федерации”;</w:t>
      </w:r>
    </w:p>
    <w:p>
      <w:pPr>
        <w:pStyle w:val="MainText"/>
        <w:rPr/>
      </w:pPr>
      <w:r>
        <w:rPr/>
        <w:t>по подразделу 2.2 — данные о счетах, открытых финансовым органам на балансовом счете № 40204 “Средства местных бюджетов”;</w:t>
      </w:r>
    </w:p>
    <w:p>
      <w:pPr>
        <w:pStyle w:val="MainText"/>
        <w:rPr/>
      </w:pPr>
      <w:r>
        <w:rPr/>
        <w:t>по подразделу 2.3 — данные о счетах, открытых бюджетным учреждениям на балансовом счете № 40202 “Средства бюджетов субъектов Российской Федерации, выделенные государственным организациям”;</w:t>
      </w:r>
    </w:p>
    <w:p>
      <w:pPr>
        <w:pStyle w:val="MainText"/>
        <w:rPr/>
      </w:pPr>
      <w:r>
        <w:rPr/>
        <w:t>по подразделу 2.4 — данные о счетах, открытых бюджетным учреждениям на балансовом счете № 40203 “Средства бюджетов субъектов Российской Федерации, выделенные негосударственным организациям”;</w:t>
      </w:r>
    </w:p>
    <w:p>
      <w:pPr>
        <w:pStyle w:val="MainText"/>
        <w:rPr/>
      </w:pPr>
      <w:r>
        <w:rPr/>
        <w:t>по подразделу 2.5 — данные о счетах, открытых бюджетным учреждениям на балансовом счете № 40205 “Средства местных бюджетов, выделенные государственным организациям”;</w:t>
      </w:r>
    </w:p>
    <w:p>
      <w:pPr>
        <w:pStyle w:val="MainText"/>
        <w:rPr/>
      </w:pPr>
      <w:r>
        <w:rPr/>
        <w:t>по подразделу 2.6 — данные о счетах, открытых бюджетным учреждениям на балансовом счете № 40206 “Средства местных бюджетов, выделенные негосударственным организациям”;</w:t>
      </w:r>
    </w:p>
    <w:p>
      <w:pPr>
        <w:pStyle w:val="MainText"/>
        <w:rPr/>
      </w:pPr>
      <w:r>
        <w:rPr/>
        <w:t>по подразделу 2.7 — данные о счетах, открытых бюджетным учреждениям на балансовом счете № 40603 “Счета организаций, находящихся в государственной (кроме федеральной) собственности. Некоммерческие организации”;</w:t>
      </w:r>
    </w:p>
    <w:p>
      <w:pPr>
        <w:pStyle w:val="MainText"/>
        <w:rPr/>
      </w:pPr>
      <w:r>
        <w:rPr/>
        <w:t>по подразделу 2.8 — данные о счетах, открытых бюджетным учреждениям на балансовом счете № 40703 “Счета негосударственных организаций. Некоммерческие организации”.</w:t>
      </w:r>
    </w:p>
    <w:p>
      <w:pPr>
        <w:pStyle w:val="MainText"/>
        <w:rPr/>
      </w:pPr>
      <w:r>
        <w:rPr/>
        <w:t>3. По графе 9 раздела 1 выводятся итоги по подразделам 1.1—1.3, по графе 8 раздела 2 выводятся итоги по подразделам 2.1—2.8.</w:t>
      </w:r>
    </w:p>
    <w:p>
      <w:pPr>
        <w:pStyle w:val="MainText"/>
        <w:rPr/>
      </w:pPr>
      <w:r>
        <w:rPr/>
        <w:t>4. При отсутствии каких-либо данных по федеральным бюджетным учреждениям, финансовым органам или бюджетным учреждениям (сокращенное наименование, номер телефона и так далее) в соответствующей графе Отчета делается запись об отсутствии таких данных (“сокращенное наименование отсутствует”, “номер телефона отсутствует” и так далее).</w:t>
      </w:r>
    </w:p>
    <w:p>
      <w:pPr>
        <w:pStyle w:val="MainText"/>
        <w:rPr/>
      </w:pPr>
      <w:r>
        <w:rPr/>
        <w:t>5. При отсутствии остатка на лицевом счете в графе 9 раздела 1 и графе 8 раздела 2 проставляется “0” (ноль).</w:t>
      </w:r>
    </w:p>
    <w:p>
      <w:pPr>
        <w:pStyle w:val="MainText"/>
        <w:rPr/>
      </w:pPr>
      <w:r>
        <w:rPr/>
        <w:t>6. Отчет представляется с пометкой “Для служебного пользования”.</w:t>
      </w:r>
    </w:p>
    <w:p>
      <w:pPr>
        <w:pStyle w:val="MainText"/>
        <w:rPr/>
      </w:pPr>
      <w:r>
        <w:rPr/>
        <w:t>Отчет, содержащий информацию, относящуюся к сведениям, составляющим государственную тайну, представляется на бумажном носителе в порядке, установленном законодательством Российской Федерации.</w:t>
      </w:r>
    </w:p>
    <w:p>
      <w:pPr>
        <w:pStyle w:val="MainText"/>
        <w:rPr/>
      </w:pPr>
      <w:r>
        <w:rPr/>
        <w:t>7. Главный бухгалтер кредитной организации (ее филиала) с целью проверки показателей Отчета должен сопоставить отчетные данные с соответствующими показателями Отчета на предыдущую дату. Причины увеличения количества федеральных учреждений, финансовых органов и бюджетных учреждений и количества открытых им счетов сообщаются в территориальные учреждения Банка России одновременно с представлением Отчета.</w:t>
      </w:r>
    </w:p>
    <w:p>
      <w:pPr>
        <w:pStyle w:val="MainText"/>
        <w:rPr/>
        <w:sectPr>
          <w:type w:val="nextPage"/>
          <w:pgSz w:w="11906" w:h="16838"/>
          <w:pgMar w:left="567" w:right="567" w:gutter="0" w:header="0" w:top="567" w:footer="0" w:bottom="567"/>
          <w:pgNumType w:fmt="decimal"/>
          <w:formProt w:val="false"/>
          <w:textDirection w:val="lrTb"/>
          <w:docGrid w:type="default" w:linePitch="360" w:charSpace="0"/>
        </w:sectPr>
      </w:pPr>
      <w:r>
        <w:rPr/>
      </w:r>
    </w:p>
    <w:p>
      <w:pPr>
        <w:pStyle w:val="MainTextBezOtstupa"/>
        <w:jc w:val="end"/>
        <w:rPr/>
      </w:pPr>
      <w:r>
        <w:rPr>
          <w:b/>
        </w:rPr>
        <w:t>Приложение 2</w:t>
      </w:r>
      <w:r>
        <w:rPr/>
        <w:br/>
        <w:t xml:space="preserve"> к Указанию Банка России</w:t>
        <w:br/>
        <w:t xml:space="preserve"> от 12 ноября 2009 года № 2332-У</w:t>
        <w:br/>
        <w:t xml:space="preserve"> “О перечне, формах и порядке составления и представления</w:t>
        <w:br/>
        <w:t xml:space="preserve"> форм отчетности кредитных организаций</w:t>
        <w:br/>
        <w:t xml:space="preserve"> в Центральный банк Российской Федерации”</w:t>
      </w:r>
    </w:p>
    <w:p>
      <w:pPr>
        <w:pStyle w:val="MZagolovokCenter"/>
        <w:rPr>
          <w:color w:val="000000"/>
        </w:rPr>
      </w:pPr>
      <w:r>
        <w:rPr>
          <w:color w:val="000000"/>
        </w:rPr>
        <w:t>Перечень форм отчетности и другой информации, представляемых кредитными организациями в Центральный банк Российской Федерации</w:t>
      </w:r>
      <w:r>
        <w:rPr>
          <w:color w:val="000000"/>
          <w:vertAlign w:val="superscript"/>
        </w:rPr>
        <w:t>1</w:t>
      </w:r>
    </w:p>
    <w:tbl>
      <w:tblPr>
        <w:tblW w:w="16260" w:type="dxa"/>
        <w:jc w:val="center"/>
        <w:tblInd w:w="0" w:type="dxa"/>
        <w:tblLayout w:type="fixed"/>
        <w:tblCellMar>
          <w:top w:w="0" w:type="dxa"/>
          <w:start w:w="28" w:type="dxa"/>
          <w:bottom w:w="0" w:type="dxa"/>
          <w:end w:w="28" w:type="dxa"/>
        </w:tblCellMar>
      </w:tblPr>
      <w:tblGrid>
        <w:gridCol w:w="677"/>
        <w:gridCol w:w="3829"/>
        <w:gridCol w:w="7796"/>
        <w:gridCol w:w="3958"/>
      </w:tblGrid>
      <w:tr>
        <w:trPr>
          <w:tblHeader w:val="true"/>
          <w:cantSplit/>
        </w:trPr>
        <w:tc>
          <w:tcPr>
            <w:tcW w:w="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Номер п/п</w:t>
            </w:r>
          </w:p>
        </w:tc>
        <w:tc>
          <w:tcPr>
            <w:tcW w:w="382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Наименование формы отчетности, другой информации</w:t>
            </w:r>
          </w:p>
        </w:tc>
        <w:tc>
          <w:tcPr>
            <w:tcW w:w="77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Срок представления в территориальное учреждение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Нормативные акты, в соответствии с которыми осуществляются составление и представление отчетности, другой информации в Банк России</w:t>
            </w:r>
          </w:p>
        </w:tc>
      </w:tr>
      <w:tr>
        <w:trPr>
          <w:tblHeader w:val="true"/>
          <w:cantSplit/>
        </w:trPr>
        <w:tc>
          <w:tcPr>
            <w:tcW w:w="677"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1</w:t>
            </w:r>
          </w:p>
        </w:tc>
        <w:tc>
          <w:tcPr>
            <w:tcW w:w="3829"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2</w:t>
            </w:r>
          </w:p>
        </w:tc>
        <w:tc>
          <w:tcPr>
            <w:tcW w:w="7796"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3</w:t>
            </w:r>
          </w:p>
        </w:tc>
        <w:tc>
          <w:tcPr>
            <w:tcW w:w="3958"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sz w:val="16"/>
              </w:rPr>
            </w:pPr>
            <w:r>
              <w:rPr>
                <w:sz w:val="16"/>
              </w:rPr>
              <w:t>4</w:t>
            </w:r>
          </w:p>
        </w:tc>
      </w:tr>
      <w:tr>
        <w:trPr>
          <w:cantSplit/>
        </w:trPr>
        <w:tc>
          <w:tcPr>
            <w:tcW w:w="1626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b/>
                <w:sz w:val="16"/>
              </w:rPr>
            </w:pPr>
            <w:r>
              <w:rPr>
                <w:b/>
                <w:sz w:val="16"/>
              </w:rPr>
              <w:t>Суточная</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Процентные ставки по межбанковским кредитам </w:t>
              <w:br/>
              <w:t>(код формы 0409</w:t>
            </w:r>
            <w:r>
              <w:rPr>
                <w:b/>
                <w:sz w:val="16"/>
              </w:rPr>
              <w:t>325</w:t>
            </w:r>
            <w:r>
              <w:rPr>
                <w:sz w:val="16"/>
              </w:rPr>
              <w:t>)</w:t>
            </w:r>
            <w:r>
              <w:rPr>
                <w:sz w:val="16"/>
                <w:vertAlign w:val="superscript"/>
              </w:rPr>
              <w:t>2</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выборочному кругу кредитных организаций — не позднее 18 часов 00 минут по московскому времени дня представления отчетности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Оперативный отчет о движении средств в иностранной валюте на транзитных валютных счетах резидентов </w:t>
              <w:br/>
              <w:t>(код формы по ОКУД 0409</w:t>
            </w:r>
            <w:r>
              <w:rPr>
                <w:b/>
                <w:sz w:val="16"/>
              </w:rPr>
              <w:t>652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Уполномоченные банки — не позднее 16 часов 00 минут по местному времени рабочего дня,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об операциях на валютных и денежных рынках </w:t>
              <w:br/>
              <w:t>(код формы по ОКУД 0409</w:t>
            </w:r>
            <w:r>
              <w:rPr>
                <w:b/>
                <w:sz w:val="16"/>
              </w:rPr>
              <w:t>701</w:t>
            </w:r>
            <w:r>
              <w:rPr>
                <w:sz w:val="16"/>
              </w:rPr>
              <w:t>)</w:t>
            </w:r>
            <w:r>
              <w:rPr>
                <w:sz w:val="16"/>
                <w:vertAlign w:val="superscript"/>
              </w:rPr>
              <w:t>2</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Московского региона — не позднее 11 часов 00 минут по московскому времени рабочего дня,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об остатках денежных средств на счетах участников расчетных центров ОРЦБ </w:t>
              <w:br/>
              <w:t>(код формы по ОКУД 0409</w:t>
            </w:r>
            <w:r>
              <w:rPr>
                <w:b/>
                <w:sz w:val="16"/>
              </w:rPr>
              <w:t>705</w:t>
            </w:r>
            <w:r>
              <w:rPr>
                <w:sz w:val="16"/>
              </w:rPr>
              <w:t>)</w:t>
            </w:r>
            <w:r>
              <w:rPr>
                <w:sz w:val="16"/>
                <w:vertAlign w:val="superscript"/>
              </w:rPr>
              <w:t>2</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которые выполняют функции расчетных центров ОРЦБ, — по состоянию на 10 часов 30 минут по московскому времени дня представления отчетности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Оперативный отчет об остатках на счетах по учету доходов, распределяемых между бюджетами бюджетной системы Российской Федерации, и средств федерального бюджета </w:t>
              <w:br/>
              <w:t>(код формы по ОКУД 0409</w:t>
            </w:r>
            <w:r>
              <w:rPr>
                <w:b/>
                <w:sz w:val="16"/>
              </w:rPr>
              <w:t>901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сроки, установленные территориальным учреждением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1626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b/>
                <w:sz w:val="16"/>
              </w:rPr>
            </w:pPr>
            <w:r>
              <w:rPr>
                <w:b/>
                <w:sz w:val="16"/>
              </w:rPr>
              <w:t>Пятидневная</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Отдельные показатели, характеризующие деятельность кредитной организации </w:t>
              <w:br/>
              <w:t>(код формы по ОКУД 0409</w:t>
            </w:r>
            <w:r>
              <w:rPr>
                <w:b/>
                <w:sz w:val="16"/>
              </w:rPr>
              <w:t>301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выборочному кругу кредитных организаций по состоянию на начало рабочего дня 1, 5, 10, 15, 20, 25-го числа месяца: </w:t>
              <w:br/>
              <w:t xml:space="preserve">кредитные организации (за исключением крупных кредитных организаций с широкой сетью подразделений) — не позднее 13 часов 00 минут по московскому времени рабочего дня, следующего за отчетным; </w:t>
              <w:br/>
              <w:t>крупные кредитные организации с широкой сетью подразделений — не позднее 14 часов 00 минут по московскому времени рабочего дня,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1626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b/>
                <w:sz w:val="16"/>
              </w:rPr>
            </w:pPr>
            <w:r>
              <w:rPr>
                <w:b/>
                <w:sz w:val="16"/>
              </w:rPr>
              <w:t>Декадная</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наличии в кредитной организации неудовлетворенных требований отдельных кредиторов по денежным обязательствам и неисполнении обязанности по уплате обязательных платежей в связи с отсутствием или недостаточностью денежных средств на корреспондентских счетах кредитной организации </w:t>
              <w:br/>
              <w:t>(код формы по ОКУД 0409350)</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Кредитные организации (их филиалы) (включая небанковские кредитные организации (их филиалы): </w:t>
              <w:br/>
              <w:t xml:space="preserve">по состоянию на 1, 11, 21-е числа каждого месяца — не позднее 2-го рабочего дня, следующего за отчетным; </w:t>
              <w:br/>
              <w:t xml:space="preserve">сводный отчет по головному офису кредитной организации и филиалам — не позднее 3-го рабочего дня, следующего за отчетным; </w:t>
              <w:br/>
              <w:t xml:space="preserve">по состоянию на 1 января — не позднее 20 января года, следующего за отчетным; </w:t>
              <w:br/>
              <w:t>по состоянию на 11 января — не позднее 23 января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8</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об открытых валютных позициях </w:t>
              <w:br/>
              <w:t>(код формы по ОКУД 0409</w:t>
            </w:r>
            <w:r>
              <w:rPr>
                <w:b/>
                <w:sz w:val="16"/>
              </w:rPr>
              <w:t>634</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Декадная (с разбивкой за каждый рабочий день декады): </w:t>
              <w:br/>
              <w:t xml:space="preserve">кредитные организации (за исключением крупных кредитных организаций с широкой сетью подразделений), составляющие и представляющие отчетность по форме 0409701, а также подписавшие с Банком России генеральное соглашение о предоставлении Банком России кредитной организации кредитов без обеспечения, — не позднее 4-го рабочего дня, следующего за отчетной декадой; </w:t>
              <w:br/>
              <w:t xml:space="preserve">крупные кредитные организации с широкой сетью подразделений — не позднее 8-го рабочего дня, следующего за отчетной декадой. </w:t>
              <w:br/>
              <w:t xml:space="preserve">Месячная (по состоянию на 1-е число месяца, следующего за отчетным): </w:t>
              <w:br/>
              <w:t xml:space="preserve">кредитные организации (включая небанковские кредитные организации), не составляющие и не представляющие отчетность по форме 0409701, — не позднее 6-го рабочего дня месяца, следующего за отчетным. </w:t>
              <w:br/>
              <w:t xml:space="preserve">Квартальная (по состоянию на 1-е число первого месяца квартала, следующего за отчетным): </w:t>
              <w:br/>
              <w:t xml:space="preserve">головные кредитные организации банковских (консолидированных) групп (за исключением головных кредитных организаций банковских (консолидированных) групп, являющихся крупными кредитными организациями с широкой сетью подразделений) — не позднее 1-го месяца квартала, следующего за отчетным; </w:t>
              <w:br/>
              <w:t xml:space="preserve">головные кредитные организации банковских (консолидированных) групп, являющиеся крупными кредитными организациями с широкой сетью подразделений, — не позднее 8-го рабочего дня второго месяца квартала, следующего за отчетным. </w:t>
              <w:br/>
              <w:t xml:space="preserve">Годовая (по состоянию на 1 января): </w:t>
              <w:br/>
              <w:t>головные кредитные организации банковских (консолидированных) групп — не позднее 2 месяцев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Инструкция Банка России от 15 июля 2005 года № 124-И “Об установлении размеров (лимитов) открытых валютных позиций, методике их расчета и особенностях осуществления надзора за их соблюдением кредитными организациями”</w:t>
            </w:r>
          </w:p>
        </w:tc>
      </w:tr>
      <w:tr>
        <w:trPr>
          <w:cantSplit/>
        </w:trPr>
        <w:tc>
          <w:tcPr>
            <w:tcW w:w="1626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b/>
                <w:sz w:val="16"/>
              </w:rPr>
            </w:pPr>
            <w:r>
              <w:rPr>
                <w:b/>
                <w:sz w:val="16"/>
              </w:rPr>
              <w:t>Месячная</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9</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Оборотная ведомость по счетам бухгалтерского учета кредитной организации </w:t>
              <w:br/>
              <w:t>(код формы по ОКУД 0409</w:t>
            </w:r>
            <w:r>
              <w:rPr>
                <w:b/>
                <w:sz w:val="16"/>
              </w:rPr>
              <w:t>101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w:t>
              <w:b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 не позднее 4-го рабочего дня месяца, следующего за отчетным; </w:t>
              <w:br/>
              <w:t xml:space="preserve">головные офисы и филиалы кредитных организаций — не позднее 3-го рабочего дня месяца, следующего за отчетным; </w:t>
              <w:br/>
              <w:t xml:space="preserve">крупные кредитные организации с широкой сетью подразделений — не позднее 10-го рабочего дня месяца, следующего за отчетным; </w:t>
              <w:br/>
              <w:t xml:space="preserve">головные офисы и территориальные банки крупных кредитных организаций с широкой сетью подразделений (с учетом операций подчиненных им отделений) в разрезе субъектов Российской Федерации — не позднее 8-го рабочего дня месяца, следующего за отчетным. </w:t>
              <w:br/>
              <w:t xml:space="preserve">На ежедневной основе: </w:t>
              <w:br/>
              <w:t>банки, размер собственных средств (капитала) которых начиная с 1 января 2010 года составляет менее 90 миллионов рублей, — не позднее 3-го рабочего дня, следующего за отчетным; банки, размер собственных средств (капитала) которых начиная с 1 января 2012 года составляет менее 180 миллионов рублей, — не позднее 3-го рабочего дня,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10</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Расшифровки отдельных показателей деятельности кредитной организации </w:t>
              <w:br/>
              <w:t>(код формы по ОКУД 0409</w:t>
            </w:r>
            <w:r>
              <w:rPr>
                <w:b/>
                <w:sz w:val="16"/>
              </w:rPr>
              <w:t>110</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w:t>
              <w:br/>
              <w:t xml:space="preserve">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 </w:t>
              <w:br/>
              <w:t>крупные кредитные организации с широкой сетью подразделений — 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Информация о качестве активов кредитной организации </w:t>
              <w:br/>
              <w:t>(код формы по ОКУД 0409</w:t>
            </w:r>
            <w:r>
              <w:rPr>
                <w:b/>
                <w:sz w:val="16"/>
              </w:rPr>
              <w:t>115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Месячная (по состоянию на 1-е число месяца, следующего за отчетным): </w:t>
              <w:br/>
              <w:t xml:space="preserve">кредитные организации (включая расчетные небанковские кредитные организации) (за исключением крупных кредитных организаций с широкой сетью подразделений и небанковских кредитных организаций, осуществляющих депозитно-кредитные операции) — не позднее 7-го рабочего дня месяца, следующего за отчетным; </w:t>
              <w:br/>
              <w:t xml:space="preserve">крупные кредитные организации с широкой сетью подразделений — не позднее 17-го рабочего дня месяца, следующего за отчетным. </w:t>
              <w:br/>
              <w:t xml:space="preserve">Квартальная (по состоянию на 1-е число месяца, следующего за отчетным кварталом): </w:t>
              <w:br/>
              <w:t>небанковские кредитные организации, осуществляющие депозитно-кредитные операции, — не позднее 7-го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ценных бумагах, приобретенных кредитной организацией </w:t>
              <w:br/>
              <w:t>(код формы по ОКУД 0409</w:t>
            </w:r>
            <w:r>
              <w:rPr>
                <w:b/>
                <w:sz w:val="16"/>
              </w:rPr>
              <w:t>116</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Месячная (по состоянию на 1-е число месяца, следующего за отчетным): </w:t>
              <w:br/>
              <w:t xml:space="preserve">кредитные организации (за исключением крупных кредитных организаций с широкой сетью подразделений и небанковских кредитных организаций) — не позднее 7-го рабочего дня месяца, следующего за отчетным; </w:t>
              <w:br/>
              <w:t xml:space="preserve">крупные кредитные организации с широкой сетью подразделений — не позднее 17-го рабочего дня месяца, следующего за отчетным. </w:t>
              <w:br/>
              <w:t xml:space="preserve">Квартальная (по состоянию на 1-е число месяца, следующего за отчетным кварталом): </w:t>
              <w:br/>
              <w:t>небанковские кредитные организации — не позднее 7-го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Данные о крупных ссудах </w:t>
              <w:br/>
              <w:t>(код формы по ОКУД 0409</w:t>
            </w:r>
            <w:r>
              <w:rPr>
                <w:b/>
                <w:sz w:val="16"/>
              </w:rPr>
              <w:t>117</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Месячная (по состоянию на 1-е число месяца, следующего за отчетным): </w:t>
              <w:br/>
              <w:t xml:space="preserve">кредитные организации (за исключением крупных кредитных организаций с широкой сетью подразделений и небанковских кредитных организаций) — не позднее 7-го рабочего дня месяца, следующего за отчетным; </w:t>
              <w:br/>
              <w:t xml:space="preserve">крупные кредитные организации с широкой сетью подразделений — не позднее 17-го рабочего дня месяца, следующего за отчетным. </w:t>
              <w:br/>
              <w:t xml:space="preserve">Квартальная (по состоянию на 1-е число месяца, следующего за отчетным кварталом): </w:t>
              <w:br/>
              <w:t>небанковские кредитные организации — не позднее 7-го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14</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Данные о концентрации кредитного риска </w:t>
              <w:br/>
              <w:t>(код формы по ОКУД 0409</w:t>
            </w:r>
            <w:r>
              <w:rPr>
                <w:b/>
                <w:sz w:val="16"/>
              </w:rPr>
              <w:t>118</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Месячная (по состоянию на 1-е число месяца, следующего за отчетным): </w:t>
              <w:br/>
              <w:t xml:space="preserve">кредитные организации (за исключением крупных кредитных организаций с широкой сетью подразделений и небанковских кредитных организаций) — не позднее 7-го рабочего дня месяца, следующего за отчетным; </w:t>
              <w:br/>
              <w:t xml:space="preserve">крупные кредитные организации с широкой сетью подразделений — не позднее 17-го рабочего дня месяца, следующего за отчетным. </w:t>
              <w:br/>
              <w:t xml:space="preserve">Квартальная (по состоянию на 1-е число месяца, следующего за отчетным кварталом): </w:t>
              <w:br/>
              <w:t>небанковские кредитные организации — не позднее 7-го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15</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об активах и пассивах по срокам востребования и погашения </w:t>
              <w:br/>
              <w:t>(код формы по ОКУД 0409</w:t>
            </w:r>
            <w:r>
              <w:rPr>
                <w:b/>
                <w:sz w:val="16"/>
              </w:rPr>
              <w:t>125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Месячная (по состоянию на 1-е число месяца, следующего за отчетным): </w:t>
              <w:br/>
              <w:t xml:space="preserve">кредитные организации (включая расчетные небанковские кредитные организации) (за исключением крупных кредитных организаций с широкой сетью подразделений и небанковских кредитных организаций, осуществляющих депозитно-кредитные операции) — не позднее 8-го рабочего дня месяца, следующего за отчетным; </w:t>
              <w:br/>
              <w:t xml:space="preserve">крупные кредитные организации с широкой сетью подразделений — не позднее 16-го рабочего дня месяца, следующего за отчетным. </w:t>
              <w:br/>
              <w:t xml:space="preserve">Квартальная (по состоянию на 1-е число месяца, следующего за отчетным кварталом): </w:t>
              <w:br/>
              <w:t>небанковские кредитные организации, осуществляющие депозитно-кредитные операции, — не позднее 8-го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16</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Данные о средневзвешенных процентных ставках по средствам, предоставленным кредитной организацией </w:t>
              <w:br/>
              <w:t>(код формы по ОКУД 0409</w:t>
            </w:r>
            <w:r>
              <w:rPr>
                <w:b/>
                <w:sz w:val="16"/>
              </w:rPr>
              <w:t>128</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Кредитные организации (их филиалы) (за исключением крупных кредитных организаций с широкой сетью подразделений) — не позднее 7-го рабочего дня месяца, следующего за отчетным; </w:t>
              <w:br/>
              <w:t>крупные кредитные организации с широкой сетью подразделений (территориальные банки и филиалы) — не позднее 19-го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17</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Данные о средневзвешенных процентных ставках по привлеченным кредитной организацией средствам </w:t>
              <w:br/>
              <w:t>(код формы по ОКУД 0409</w:t>
            </w:r>
            <w:r>
              <w:rPr>
                <w:b/>
                <w:sz w:val="16"/>
              </w:rPr>
              <w:t>129</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Кредитные организации (их филиалы) (за исключением крупных кредитных организаций с широкой сетью подразделений) — не позднее 7-го рабочего дня месяца, следующего за отчетным; </w:t>
              <w:br/>
              <w:t>крупные кредитные организации с широкой сетью подразделений (территориальные банки и филиалы) — не позднее 19-го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18</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Расчет собственных средств (капитала) </w:t>
              <w:br/>
              <w:t>(код формы по ОКУД 0409</w:t>
            </w:r>
            <w:r>
              <w:rPr>
                <w:b/>
                <w:sz w:val="16"/>
              </w:rPr>
              <w:t>134</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по состоянию на 1-е число месяца, следующего за отчетным, — не позднее 4-го рабочего дня месяца, следующего за отчетным; </w:t>
              <w:br/>
              <w:t xml:space="preserve">крупные кредитные организации с широкой сетью подразделений — не позднее 12-го рабочего дня месяца, следующего за отчетным. </w:t>
              <w:br/>
              <w:t xml:space="preserve">На ежедневной основе: </w:t>
              <w:br/>
              <w:t xml:space="preserve">банки, размер собственных средств (капитала) которых начиная с 1 января 2010 года составляет менее 90 миллионов рублей, — не позднее 3-го рабочего дня, следующего за отчетным; </w:t>
              <w:br/>
              <w:t>банки, размер собственных средств (капитала) которых начиная с 1 января 2012 года составляет менее 180 миллионов рублей, — не позднее 3-го рабочего дня,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Положение Банка России от 10 февраля 2003 года № 215-П “О методике определения собственных средств (капитала) кредитных организаций”</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19</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Информация об обязательных нормативах </w:t>
              <w:br/>
              <w:t>(код формы по ОКУД 0409</w:t>
            </w:r>
            <w:r>
              <w:rPr>
                <w:b/>
                <w:sz w:val="16"/>
              </w:rPr>
              <w:t>135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w:t>
              <w:b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 не позднее 6-го рабочего дня месяца, следующего за отчетным; </w:t>
              <w:br/>
              <w:t>крупные кредитные организации с широкой сетью подразделений — не позднее 15-го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20</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Сводный отчет о величине рыночного риска </w:t>
              <w:br/>
              <w:t>(код формы по ОКУД 0409</w:t>
            </w:r>
            <w:r>
              <w:rPr>
                <w:b/>
                <w:sz w:val="16"/>
              </w:rPr>
              <w:t>153</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Кредитные организации (включая расчетные небанковские кредитные организации) (за исключением крупных кредитных организаций с широкой сетью подразделений) — не позднее 6-го рабочего дня месяца, следующего за отчетным; </w:t>
              <w:br/>
              <w:t>крупные кредитные организации с широкой сетью подразделений — не позднее 15-го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Положение Банка России от 14 ноября 2007 года № 313-П “О порядке расчета кредитными организациями величины рыночного риска”</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финансовых инструментах, отражаемых на внебалансовых счетах </w:t>
              <w:br/>
              <w:t>(код формы по ОКУД 0409</w:t>
            </w:r>
            <w:r>
              <w:rPr>
                <w:b/>
                <w:sz w:val="16"/>
              </w:rPr>
              <w:t>155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Месячная (по состоянию на 1-е число месяца, следующего за отчетным): </w:t>
              <w:br/>
              <w:t xml:space="preserve">кредитные организации (включая расчетные небанковские кредитные организации) (за исключением крупных кредитных организаций с широкой сетью подразделений и небанковских кредитных организаций, осуществляющих депозитно-кредитные операции) — не позднее 7-го рабочего дня месяца, следующего за отчетным; </w:t>
              <w:br/>
              <w:t xml:space="preserve">крупные кредитные организации с широкой сетью подразделений — не позднее 17-го рабочего дня месяца, следующего за отчетным. </w:t>
              <w:br/>
              <w:t xml:space="preserve">Квартальная (по состоянию на 1-е число месяца, следующего за отчетным кварталом): </w:t>
              <w:br/>
              <w:t>небанковские кредитные организации, осуществляющие депозитно-кредитные операции, — не позднее 7-го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крупных кредиторах (вкладчиках) кредитной организации </w:t>
              <w:br/>
              <w:t>(код формы по ОКУД 0409</w:t>
            </w:r>
            <w:r>
              <w:rPr>
                <w:b/>
                <w:sz w:val="16"/>
              </w:rPr>
              <w:t>157</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w:t>
              <w:b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 </w:t>
              <w:br/>
              <w:t>крупные кредитные организации с широкой сетью подразделений — 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Информация о соблюдении кредитными организациями, осуществляющими эмиссию облигаций с ипотечным покрытием, требований к ипотечному покрытию облигаций </w:t>
              <w:br/>
              <w:t>(код формы по ОКУД 0409</w:t>
            </w:r>
            <w:r>
              <w:rPr>
                <w:b/>
                <w:sz w:val="16"/>
              </w:rPr>
              <w:t>159</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w:t>
              <w:br/>
              <w:t xml:space="preserve">кредитные организации, осуществляющие эмиссию облигаций с ипотечным покрытием (за исключением крупных кредитных организаций с широкой сетью подразделений, осуществляющих эмиссию облигаций с ипотечным покрытием) — не позднее 6-го рабочего дня месяца, следующего за отчетным; </w:t>
              <w:br/>
              <w:t>крупные кредитные организации с широкой сетью подразделений, осуществляющие эмиссию облигаций с ипотечным покрытием, — не позднее 15-го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24</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наличном денежном обороте </w:t>
              <w:br/>
              <w:t>(код формы по ОКУД 0409</w:t>
            </w:r>
            <w:r>
              <w:rPr>
                <w:b/>
                <w:sz w:val="16"/>
              </w:rPr>
              <w:t>202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Головные офисы и филиалы кредитных организаций (включая небанковские кредитные организации (их филиалы) (за исключением крупных кредитных организаций с широкой сетью подразделений) — не позднее 3-го рабочего дня месяца, следующего за отчетным; </w:t>
              <w:br/>
              <w:t>крупные кредитные организации с широкой сетью подразделений — не позднее 6-го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25</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размещенных и привлеченных средствах </w:t>
              <w:br/>
              <w:t>(код формы по ОКУД 0409</w:t>
            </w:r>
            <w:r>
              <w:rPr>
                <w:b/>
                <w:sz w:val="16"/>
              </w:rPr>
              <w:t>302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(включая небанковские кредитные организации) — не позднее 10-го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26</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жилищных кредитах </w:t>
              <w:br/>
              <w:t>(код формы по ОКУД 0409</w:t>
            </w:r>
            <w:r>
              <w:rPr>
                <w:b/>
                <w:sz w:val="16"/>
              </w:rPr>
              <w:t>316</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Месячная (по состоянию на 1-е число месяца, следующего за отчетным) (раздел 1): </w:t>
              <w:br/>
              <w:t xml:space="preserve">кредитные организации (включая небанковские депозитно-кредитные организации) — </w:t>
              <w:br/>
              <w:t xml:space="preserve">не позднее 10-го рабочего дня месяца, следующего за отчетным. </w:t>
              <w:br/>
              <w:t xml:space="preserve">Полугодовая (по состоянию на 1 июля и 1 января) (разделы 2 и 3): </w:t>
              <w:br/>
              <w:t xml:space="preserve">кредитные организации (включая небанковские депозитно-кредитные организации) — </w:t>
              <w:br/>
              <w:t>не позднее 3-го рабочего дня второго месяца, следующего за отчетным периодом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27</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выполнении плана мер по финансовому оздоровлению кредитной организации </w:t>
              <w:br/>
              <w:t>(код формы по ОКУД 0409</w:t>
            </w:r>
            <w:r>
              <w:rPr>
                <w:b/>
                <w:sz w:val="16"/>
              </w:rPr>
              <w:t>354</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кредитные организации (включая небанковские кредитные организации) — не позднее 8-го рабочего дня месяца, следующего за отчетным. </w:t>
              <w:br/>
              <w:t xml:space="preserve">По состоянию на 1 января: </w:t>
              <w:br/>
              <w:t>не позднее 5 февраля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Инструкция Банка России от 11 ноября 2005 года № 126-И “О порядке регулирования отношений, связанных с осуществлением мер по предупреждению несостоятельности (банкротства) кредитных организаций”</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28</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уполномоченного банка об иностранных операциях </w:t>
              <w:br/>
              <w:t>(код формы по ОКУД 0409</w:t>
            </w:r>
            <w:r>
              <w:rPr>
                <w:b/>
                <w:sz w:val="16"/>
              </w:rPr>
              <w:t>401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Не позднее 10-го рабочего дня месяца, следующего за отчетным; </w:t>
              <w:br/>
              <w:t>крупные кредитные организации с широкой сетью подразделений — не позднее 15-го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29</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расчетах между резидентами и нерезидентами за выполнение работ, оказание услуг, передачу информации, результатов интеллектуальной деятельности и операции неторгового характера </w:t>
              <w:br/>
              <w:t>(код формы по ОКУД 0409</w:t>
            </w:r>
            <w:r>
              <w:rPr>
                <w:b/>
                <w:sz w:val="16"/>
              </w:rPr>
              <w:t>402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30</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расчетах по операциям с ценными бумагами, долями, паями и вкладами в имуществе, совершенных между резидентами и нерезидентами </w:t>
              <w:br/>
              <w:t>(код формы по ОКУД 0409</w:t>
            </w:r>
            <w:r>
              <w:rPr>
                <w:b/>
                <w:sz w:val="16"/>
              </w:rPr>
              <w:t>405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межбанковских кредитах и депозитах </w:t>
              <w:br/>
              <w:t>(код формы по ОКУД 0409</w:t>
            </w:r>
            <w:r>
              <w:rPr>
                <w:b/>
                <w:sz w:val="16"/>
              </w:rPr>
              <w:t>501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w:t>
              <w:b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 </w:t>
              <w:br/>
              <w:t>крупные кредитные организации с широкой сетью подразделений — 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об операциях с наличной иностранной валютой и чеками в иностранной валюте </w:t>
              <w:br/>
              <w:t>(код формы по ОКУД 0409</w:t>
            </w:r>
            <w:r>
              <w:rPr>
                <w:b/>
                <w:sz w:val="16"/>
              </w:rPr>
              <w:t>601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Уполномоченные банки (за исключением уполномоченных банков — крупных кредитных организаций с широкой сетью подразделений) — не позднее 8-го рабочего дня месяца, следующего за отчетным; </w:t>
              <w:br/>
              <w:t xml:space="preserve">уполномоченные банки — крупные кредитные организации с широкой сетью подразделений — не позднее 15-го рабочего дня месяца, следующего за отчетным; </w:t>
              <w:br/>
              <w:t>филиалы, территориально расположенные отдельно от головных офисов уполномоченных банков, — не позднее 3-го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об открытых корреспондентских счетах и остатках средств на них </w:t>
              <w:br/>
              <w:t>(код формы по ОКУД 0409</w:t>
            </w:r>
            <w:r>
              <w:rPr>
                <w:b/>
                <w:sz w:val="16"/>
              </w:rPr>
              <w:t>603</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w:t>
              <w:b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 </w:t>
              <w:br/>
              <w:t>крупные кредитные организации с широкой сетью подразделений — 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34</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валютных операциях, осуществляемых по банковским счетам, счетам по вкладам (депозитам) клиентов в уполномоченных банках </w:t>
              <w:br/>
              <w:t>(код формы по ОКУД 0409</w:t>
            </w:r>
            <w:r>
              <w:rPr>
                <w:b/>
                <w:sz w:val="16"/>
              </w:rPr>
              <w:t>664</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15-го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35</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валютных операциях, осуществляемых с оформлением паспорта сделки </w:t>
              <w:br/>
              <w:t>(код формы по ОКУД 0409</w:t>
            </w:r>
            <w:r>
              <w:rPr>
                <w:b/>
                <w:sz w:val="16"/>
              </w:rPr>
              <w:t>665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36</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по ценным бумагам </w:t>
              <w:br/>
              <w:t>(код формы по ОКУД 0409</w:t>
            </w:r>
            <w:r>
              <w:rPr>
                <w:b/>
                <w:sz w:val="16"/>
              </w:rPr>
              <w:t>711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Кредитные организации (за исключением крупных кредитных организаций с широкой сетью подразделений) — не позднее 5-го рабочего дня месяца, следующего за отчетным; </w:t>
              <w:br/>
              <w:t xml:space="preserve">крупные кредитные организации с широкой сетью подразделений — не позднее 11-го рабочего дня месяца, следующего за отчетным. </w:t>
              <w:br/>
              <w:t xml:space="preserve">На 1 января: </w:t>
              <w:br/>
              <w:t xml:space="preserve">кредитные организации (за исключением крупных кредитных организаций с широкой сетью подразделений) — не позднее 10-го рабочего дня года, следующего за отчетным; </w:t>
              <w:br/>
              <w:t>крупные кредитные организации с широкой сетью подразделений — не позднее 5 февраля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37</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Информация для расчета размера обязательных резервов, подлежащих депонированию в Банке России</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 10-й рабочий день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Положение Банка России от 7 августа 2009 года № 342-П “Об обязательных резервах кредитных организаций”, зарегистрировано Минюстом России 15 сентября 2009 года № 14775 (“Вестник Банка России” от 21 сентября 2009 года № 55)</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38</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Паспорта сделок, ведомости банковского контроля (по перечню паспортов сделок, устанавливаемому Департаментом финансового мониторинга и валютного контроля Банка России) (в виде электронного сообщения, в форматах, установленных Департаментом финансового мониторинга и валютного контроля Банка России)</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Инструкция Банка России от 15 июня 2004 года № 117-И “О порядке представления резидентами и нерезидентами уполномоченным банкам документов и информации при осуществлении валютных операций, порядке учета уполномоченными банками валютных операций и оформления паспортов сделок”; </w:t>
              <w:br/>
              <w:t>Положение Банка России от 1 июня 2004 года № 258-П “О порядке представления резидентами уполномоченным банкам подтверждающих документов и информации, связанных с проведением валютных операций с нерезидентами по внешнеторговым сделкам, и осуществления уполномоченными банками контроля за проведением валютных операций”</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39</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Информация из базы данных по валютным операциям (перечень уполномоченных банков и перечень операций определяется и пересматривается Департаментом финансового мониторинга и валютного контроля Банка России) (в виде электронного сообщения, в форматах, установленных Департаментом финансового мониторинга и валютного контроля Банка России)</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15-го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Инструкция Банка России от 15 июня 2004 года № 117-И “О порядке представления резидентами и нерезидентами уполномоченным банкам документов и информации при осуществлении валютных операций, порядке учета уполномоченными банками валютных операций и оформления паспортов сделок”</w:t>
            </w:r>
          </w:p>
        </w:tc>
      </w:tr>
      <w:tr>
        <w:trPr>
          <w:cantSplit/>
        </w:trPr>
        <w:tc>
          <w:tcPr>
            <w:tcW w:w="1626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b/>
                <w:sz w:val="16"/>
              </w:rPr>
            </w:pPr>
            <w:r>
              <w:rPr>
                <w:b/>
                <w:sz w:val="16"/>
              </w:rPr>
              <w:t>Квартальная</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40</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прибылях и убытках кредитной организации </w:t>
              <w:br/>
              <w:t>(код формы по ОКУД 0409</w:t>
            </w:r>
            <w:r>
              <w:rPr>
                <w:b/>
                <w:sz w:val="16"/>
              </w:rPr>
              <w:t>102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1-е число месяца, следующего за отчетным кварталом: </w:t>
              <w:b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 не позднее 8-го рабочего дня месяца, следующего за отчетным кварталом; </w:t>
              <w:br/>
              <w:t>крупные кредитные организации с широкой сетью подразделений — не позднее 12-го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Положение Банка России от 26 марта 2007 года № 302-П “О правилах ведения бухгалтерского учета в кредитных организациях, расположенных на территории Российской Федерации”</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об операциях с использованием платежных карт и инфраструктуре, предназначенной для совершения с использованием и без использования платежных карт операций выдачи (приема) наличных денежных средств и платежей за товары (работы, услуги) </w:t>
              <w:br/>
              <w:t>(код формы по ОКУД 0409</w:t>
            </w:r>
            <w:r>
              <w:rPr>
                <w:b/>
                <w:sz w:val="16"/>
              </w:rPr>
              <w:t>250</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(их филиалы) (включая расчетные небанковские кредитные организации (их филиалы) — не позднее 7-го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счетах клиентов и платежах, проведенных через кредитную организацию (ее филиал) </w:t>
              <w:br/>
              <w:t>(код формы по ОКУД 0409</w:t>
            </w:r>
            <w:r>
              <w:rPr>
                <w:b/>
                <w:sz w:val="16"/>
              </w:rPr>
              <w:t>251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(их филиалы) (включая небанковские кредитные организации (их филиалы) — не позднее 10-го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Данные о ежедневных остатках подлежащих страхованию денежных средств физических лиц, размещенных во вклады </w:t>
              <w:br/>
              <w:t>(код формы по ОКУД 0409</w:t>
            </w:r>
            <w:r>
              <w:rPr>
                <w:b/>
                <w:sz w:val="16"/>
              </w:rPr>
              <w:t>345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 апреля, 1 июля и 1 октября: </w:t>
              <w:br/>
              <w:t xml:space="preserve">кредитными организациями (за исключением крупных кредитных организаций с широкой сетью подразделений) — не позднее 11-го рабочего дня месяца, следующего за отчетным кварталом; </w:t>
              <w:br/>
              <w:t xml:space="preserve">крупными кредитными организациями с широкой сетью подразделений — не позднее 18-го рабочего дня месяца, следующего за отчетным кварталом. </w:t>
              <w:br/>
              <w:t xml:space="preserve">По состоянию на 1 января: </w:t>
              <w:br/>
              <w:t xml:space="preserve">кредитными организациями (за исключением крупных кредитных организаций с широкой сетью подразделений) — не позднее 11-го рабочего дня месяца, следующего за отчетным кварталом; </w:t>
              <w:br/>
              <w:t>крупными кредитными организациями с широкой сетью подразделений — не позднее 24 января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44</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трансграничных переводах физических лиц </w:t>
              <w:br/>
              <w:t>(код формы по ОКУД 0409</w:t>
            </w:r>
            <w:r>
              <w:rPr>
                <w:b/>
                <w:sz w:val="16"/>
              </w:rPr>
              <w:t>407</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Квартальная: </w:t>
              <w:br/>
              <w:t xml:space="preserve">уполномоченные банки и их филиалы — не позднее 17-го рабочего дня месяца, следующего за отчетным кварталом. </w:t>
              <w:br/>
              <w:t xml:space="preserve">Месячная: </w:t>
              <w:br/>
              <w:t>уполномоченные банки, выполняющие функции расчетных (клиринговых) центров для соответствующих систем денежных переводов, — не позднее 17-го рабочего дня месяца,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45</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по операциям ввоза и вывоза валюты Российской Федерации </w:t>
              <w:br/>
              <w:t>(код формы по ОКУД 0409</w:t>
            </w:r>
            <w:r>
              <w:rPr>
                <w:b/>
                <w:sz w:val="16"/>
              </w:rPr>
              <w:t>608</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14-го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46</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об операциях с драгоценными металлами </w:t>
              <w:br/>
              <w:t>(код формы по ОКУД 0409</w:t>
            </w:r>
            <w:r>
              <w:rPr>
                <w:b/>
                <w:sz w:val="16"/>
              </w:rPr>
              <w:t>610</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Кредитные организации (за исключением крупных кредитных организаций с широкой сетью подразделений) — не позднее 11-го рабочего дня месяца, следующего за отчетным кварталом; </w:t>
              <w:br/>
              <w:t>крупные кредитные организации с широкой сетью подразделений — не позднее 15-го рабочего дня месяца, следующего за отчетным кварталом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47</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Консолидированная отчетность: </w:t>
              <w:br/>
              <w:t xml:space="preserve">1. Консолидированный балансовый отчет </w:t>
              <w:br/>
              <w:t>(код формы по ОКУД 0409</w:t>
            </w:r>
            <w:r>
              <w:rPr>
                <w:b/>
                <w:sz w:val="16"/>
              </w:rPr>
              <w:t>802</w:t>
            </w:r>
            <w:r>
              <w:rPr>
                <w:sz w:val="16"/>
              </w:rPr>
              <w:t xml:space="preserve">) </w:t>
              <w:br/>
              <w:t xml:space="preserve">2. Консолидированный отчет о прибылях и убытках </w:t>
              <w:br/>
              <w:t>(код формы по ОКУД 0409</w:t>
            </w:r>
            <w:r>
              <w:rPr>
                <w:b/>
                <w:sz w:val="16"/>
              </w:rPr>
              <w:t>803</w:t>
            </w:r>
            <w:r>
              <w:rPr>
                <w:sz w:val="16"/>
              </w:rPr>
              <w:t xml:space="preserve">) </w:t>
              <w:br/>
              <w:t xml:space="preserve">3. Отчет об обязательных нормативах банковской (консолидированной) группы </w:t>
              <w:br/>
              <w:t>(код формы по ОКУД 0409</w:t>
            </w:r>
            <w:r>
              <w:rPr>
                <w:b/>
                <w:sz w:val="16"/>
              </w:rPr>
              <w:t>805</w:t>
            </w:r>
            <w:r>
              <w:rPr>
                <w:sz w:val="16"/>
              </w:rPr>
              <w:t xml:space="preserve">) </w:t>
              <w:br/>
              <w:t xml:space="preserve">4. Отчет об открытых валютных позициях </w:t>
              <w:br/>
              <w:t>(код формы по ОКУД 0409</w:t>
            </w:r>
            <w:r>
              <w:rPr>
                <w:b/>
                <w:sz w:val="16"/>
              </w:rPr>
              <w:t>634</w:t>
            </w:r>
            <w:r>
              <w:rPr>
                <w:sz w:val="16"/>
              </w:rPr>
              <w:t xml:space="preserve">) </w:t>
              <w:br/>
              <w:t>5. Пояснительные примечания к консолидированной отчетности</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 апреля, 1 июля, 1 октября: </w:t>
              <w:br/>
              <w:t xml:space="preserve">головные кредитные организации банковских (консолидированных) групп (за исключением головных кредитных организаций банковских (консолидированных) групп, являющихся крупными кредитными организациями с широкой сетью подразделений) — не позднее 1-го месяца квартала, следующего за отчетным; </w:t>
              <w:br/>
              <w:t xml:space="preserve">головные кредитные организации банковских (консолидированных) групп, являющиеся крупными кредитными организациями с широкой сетью подразделений, — не позднее 8-го рабочего дня второго месяца квартала, следующего за отчетным. </w:t>
              <w:br/>
              <w:t>По состоянию на 1 января — не позднее 2 месяцев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 xml:space="preserve">Положение Банка России от 30 июля 2002 года № 191-П “О консолидированной отчетности”; </w:t>
              <w:br/>
              <w:t>Положение Банка России от 5 января 2004 года № 246-П “О порядке составления головной кредитной организацией банковской (консолидированной) группы консолидированной отчетности”</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48</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Публикуемая отчетность кредитных организаций в составе: </w:t>
              <w:br/>
              <w:t xml:space="preserve">1. Бухгалтерский баланс (публикуемая форма) </w:t>
              <w:br/>
              <w:t>(код формы по ОКУД 0409</w:t>
            </w:r>
            <w:r>
              <w:rPr>
                <w:b/>
                <w:sz w:val="16"/>
              </w:rPr>
              <w:t>806</w:t>
            </w:r>
            <w:r>
              <w:rPr>
                <w:sz w:val="16"/>
              </w:rPr>
              <w:t xml:space="preserve">) </w:t>
              <w:br/>
              <w:t xml:space="preserve">2. Отчет о прибылях и убытках (публикуемая форма) </w:t>
              <w:br/>
              <w:t>(код формы по ОКУД 0409</w:t>
            </w:r>
            <w:r>
              <w:rPr>
                <w:b/>
                <w:sz w:val="16"/>
              </w:rPr>
              <w:t>807</w:t>
            </w:r>
            <w:r>
              <w:rPr>
                <w:sz w:val="16"/>
              </w:rPr>
              <w:t xml:space="preserve">) </w:t>
              <w:br/>
              <w:t xml:space="preserve">3. Отчет об уровне достаточности капитала, величине резервов на покрытие сомнительных ссуд и иных активов (публикуемая форма) </w:t>
              <w:br/>
              <w:t>(код формы по ОКУД 0409</w:t>
            </w:r>
            <w:r>
              <w:rPr>
                <w:b/>
                <w:sz w:val="16"/>
              </w:rPr>
              <w:t>808</w:t>
            </w:r>
            <w:r>
              <w:rPr>
                <w:sz w:val="16"/>
              </w:rPr>
              <w:t xml:space="preserve">) </w:t>
              <w:br/>
              <w:t>4. Аудиторское заключение о достоверности квартальной публикуемой отчетности (в электронном виде и на бумажном носителе)</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(за исключением небанковских кредитных организаций) — не позднее 3 рабочих дней после дня опубликования</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Указание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49</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об остатках на счетах по учету доходов, распределяемых между бюджетами бюджетной системы Российской Федерации, и средств федерального бюджета </w:t>
              <w:br/>
              <w:t>(код формы по ОКУД 0409</w:t>
            </w:r>
            <w:r>
              <w:rPr>
                <w:b/>
                <w:sz w:val="16"/>
              </w:rPr>
              <w:t>902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состоянию на 1-е число месяца, следующего за отчетным кварталом, в сроки, установленные территориальным учреждением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50</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Информация о счетах, открытых федеральным учреждениям, финансовым органам и бюджетным учреждениям в кредитных организациях (их филиалах) </w:t>
              <w:br/>
              <w:t>(код формы по ОКУД 0409</w:t>
            </w:r>
            <w:r>
              <w:rPr>
                <w:b/>
                <w:sz w:val="16"/>
              </w:rPr>
              <w:t>909</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состоянию на 1-е число месяца, следующего за отчетным кварталом, в сроки, установленные территориальным учреждением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Информация, представляемая кредитными организациями — эмитентами ценных бумаг (ежеквартальные отчеты по ценным бумагам)</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45 календарных дней после окончания отчетного квартала</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В соответствии с законодательством Российской Федерации о рынке ценных бумаг; </w:t>
              <w:br/>
              <w:t>Инструкция Банка России от 10 марта 2006 года № 128-И “О правилах выпуска и регистрации ценных бумаг кредитными организациями на территории Российской Федерации”, зарегистрирована Минюстом России 13 апреля 2006 года № 7687, 20 февраля 2007 года № 8964, 23 апреля 2007 года № 9309 (“Вестник Банка России” от 27 апреля 2006 года № 25, от 1 марта 2007 года № 11, от 3 мая 2007 года № 24)</w:t>
            </w:r>
          </w:p>
        </w:tc>
      </w:tr>
      <w:tr>
        <w:trPr>
          <w:cantSplit/>
        </w:trPr>
        <w:tc>
          <w:tcPr>
            <w:tcW w:w="1626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b/>
                <w:sz w:val="16"/>
              </w:rPr>
            </w:pPr>
            <w:r>
              <w:rPr>
                <w:b/>
                <w:sz w:val="16"/>
              </w:rPr>
              <w:t>Годовая</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Информация о проверках соблюдения организациями порядка ведения кассовых операций и работы с наличными деньгами </w:t>
              <w:br/>
              <w:t>(код формы по ОКУД 0409</w:t>
            </w:r>
            <w:r>
              <w:rPr>
                <w:b/>
                <w:sz w:val="16"/>
              </w:rPr>
              <w:t>212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 сроки, установленные территориальным учреждением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об инвестициях уполномоченного банка и его клиентов-резидентов (кроме кредитных организаций) в ценные бумаги, выпущенные нерезидентами, и в уставный капитал (доли, паи) нерезидентов </w:t>
              <w:br/>
              <w:t>(код формы по ОКУД 0409</w:t>
            </w:r>
            <w:r>
              <w:rPr>
                <w:b/>
                <w:sz w:val="16"/>
              </w:rPr>
              <w:t>404</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15 февраля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54</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Справка о внутреннем контроле в кредитной организации </w:t>
              <w:br/>
              <w:t>(код формы по ОКУД 0409</w:t>
            </w:r>
            <w:r>
              <w:rPr>
                <w:b/>
                <w:sz w:val="16"/>
              </w:rPr>
              <w:t>639</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состоянию на 1 января года, следующего за отчетным: </w:t>
              <w:br/>
              <w:t xml:space="preserve">кредитные организации (включая небанковские кредитные организации) (за исключением крупных кредитных организаций с широкой сетью подразделений) — не позднее 25 января года, следующего за отчетным; </w:t>
              <w:br/>
              <w:t>крупные кредитные организации с широкой сетью подразделений — не позднее 1 марта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Положение Банка России от 16 декабря 2003 года № 242-П “Об организации внутреннего контроля в кредитных организациях и банковских группах”</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55</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Годовая консолидированная отчетность в составе: </w:t>
              <w:br/>
              <w:t xml:space="preserve">1. Консолидированный балансовый отчет (графы 1, 2, 10, 11) </w:t>
              <w:br/>
              <w:t>(код формы по ОКУД 0409</w:t>
            </w:r>
            <w:r>
              <w:rPr>
                <w:b/>
                <w:sz w:val="16"/>
              </w:rPr>
              <w:t>802</w:t>
            </w:r>
            <w:r>
              <w:rPr>
                <w:sz w:val="16"/>
              </w:rPr>
              <w:t xml:space="preserve">) </w:t>
              <w:br/>
              <w:t xml:space="preserve">2. Консолидированный отчет о прибылях и убытках (графы 1, 2, 9, 10) </w:t>
              <w:br/>
              <w:t>(код формы по ОКУД 0409</w:t>
            </w:r>
            <w:r>
              <w:rPr>
                <w:b/>
                <w:sz w:val="16"/>
              </w:rPr>
              <w:t>803</w:t>
            </w:r>
            <w:r>
              <w:rPr>
                <w:sz w:val="16"/>
              </w:rPr>
              <w:t xml:space="preserve">) </w:t>
              <w:br/>
              <w:t xml:space="preserve">3. Сведения о составе участников банковской (консолидированной) группы, уровне достаточности собственных средств и величине сформированных резервов на покрытие сомнительных ссуд и иных активов </w:t>
              <w:br/>
              <w:t>(код формы по ОКУД 0409</w:t>
            </w:r>
            <w:r>
              <w:rPr>
                <w:b/>
                <w:sz w:val="16"/>
              </w:rPr>
              <w:t>812</w:t>
            </w:r>
            <w:r>
              <w:rPr>
                <w:sz w:val="16"/>
              </w:rPr>
              <w:t xml:space="preserve">) </w:t>
              <w:br/>
              <w:t>4. Аудиторское заключение о достоверности годовой консолидированной отчетности (в электронном виде и на бумажном носителе)</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Головные кредитные организации банковских (консолидированных) групп: </w:t>
              <w:br/>
              <w:t>по состоянию на 1 января — не позднее 3 рабочих дней после дня опубликования годовой консолидированной отчетности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Указание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56</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Годовой отчет кредитных организаций (в электронном виде и на бумажном носителе) в составе: </w:t>
              <w:br/>
              <w:t xml:space="preserve">1. Бухгалтерский баланс (публикуемая форма) </w:t>
              <w:br/>
              <w:t>(код формы по ОКУД 0409</w:t>
            </w:r>
            <w:r>
              <w:rPr>
                <w:b/>
                <w:sz w:val="16"/>
              </w:rPr>
              <w:t>806</w:t>
            </w:r>
            <w:r>
              <w:rPr>
                <w:sz w:val="16"/>
              </w:rPr>
              <w:t xml:space="preserve">) </w:t>
              <w:br/>
              <w:t xml:space="preserve">2. Отчет о прибылях и убытках (публикуемая форма) </w:t>
              <w:br/>
              <w:t>(код формы по ОКУД 0409</w:t>
            </w:r>
            <w:r>
              <w:rPr>
                <w:b/>
                <w:sz w:val="16"/>
              </w:rPr>
              <w:t>807</w:t>
            </w:r>
            <w:r>
              <w:rPr>
                <w:sz w:val="16"/>
              </w:rPr>
              <w:t xml:space="preserve">) </w:t>
              <w:br/>
              <w:t xml:space="preserve">3. Отчет об уровне достаточности капитала, величине резервов на покрытие сомнительных ссуд и иных активов (публикуемая форма) </w:t>
              <w:br/>
              <w:t>(код формы по ОКУД 0409</w:t>
            </w:r>
            <w:r>
              <w:rPr>
                <w:b/>
                <w:sz w:val="16"/>
              </w:rPr>
              <w:t>808</w:t>
            </w:r>
            <w:r>
              <w:rPr>
                <w:sz w:val="16"/>
              </w:rPr>
              <w:t xml:space="preserve">) </w:t>
              <w:br/>
              <w:t xml:space="preserve">4. Сведения об обязательных нормативах (публикуемая форма) </w:t>
              <w:br/>
              <w:t>(код формы по ОКУД 0409</w:t>
            </w:r>
            <w:r>
              <w:rPr>
                <w:b/>
                <w:sz w:val="16"/>
              </w:rPr>
              <w:t>813</w:t>
            </w:r>
            <w:r>
              <w:rPr>
                <w:sz w:val="16"/>
              </w:rPr>
              <w:t xml:space="preserve">) </w:t>
              <w:br/>
              <w:t xml:space="preserve">5. Отчет о движении денежных средств (публикуемая форма) </w:t>
              <w:br/>
              <w:t>(код формы по ОКУД 0409</w:t>
            </w:r>
            <w:r>
              <w:rPr>
                <w:b/>
                <w:sz w:val="16"/>
              </w:rPr>
              <w:t>814</w:t>
            </w:r>
            <w:r>
              <w:rPr>
                <w:sz w:val="16"/>
              </w:rPr>
              <w:t xml:space="preserve">) </w:t>
              <w:br/>
              <w:t>6. Аудиторское заключение по годовому отчету</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(включая небанковские кредитные организации) — не позднее 3 рабочих дней после дня опубликования годовых отчетов</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 xml:space="preserve">Указание Банка России от 8 октября 2008 года № 2089-У “О порядке составления кредитными организациями годового отчета”; </w:t>
              <w:br/>
              <w:t>Указание Банка России от 20 января 2009 года № 2172-У “Об опубликовании и представлении информации о деятельности кредитных организаций и банковских (консолидированных) групп”</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57</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количестве счетов по учету средств бюджетов бюджетной системы Российской Федерации и средств от приносящей доход деятельности </w:t>
              <w:br/>
              <w:t>(код формы по ОКУД 0409</w:t>
            </w:r>
            <w:r>
              <w:rPr>
                <w:b/>
                <w:sz w:val="16"/>
              </w:rPr>
              <w:t>906</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состоянию на 1 января года, следующего за отчетным, — не позднее 1 февраля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58</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об остатках на счетах по учету средств бюджетов бюджетной системы Российской Федерации и средств от приносящей доход деятельности </w:t>
              <w:br/>
              <w:t>(код формы по ОКУД 0409</w:t>
            </w:r>
            <w:r>
              <w:rPr>
                <w:b/>
                <w:sz w:val="16"/>
              </w:rPr>
              <w:t>907</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состоянию на 1 января года, следующего за отчетным, — не позднее 1 февраля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59</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об остатках на счетах, открытых организациям, по учету средств федерального бюджета, выделенных на возвратной и платной основе на финансирование инвестиционных проектов и программ конверсии оборонной промышленности, формирование специального фонда льготного кредитования сезонных затрат в агропромышленном комплексе </w:t>
              <w:br/>
              <w:t>(код формы по ОКУД 0409</w:t>
            </w:r>
            <w:r>
              <w:rPr>
                <w:b/>
                <w:sz w:val="16"/>
              </w:rPr>
              <w:t>908</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состоянию на 1 января года, следующего за отчетным, — не позднее 1 февраля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60</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1. Консолидированная финансовая отчетность </w:t>
              <w:br/>
              <w:t>2. Неконсолидированная финансовая отчетность</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 июля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Указание Банка России от 25 декабря 2003 года № 1363-У “О составлении и представлении финансовой отчетности кредитными организациями”, зарегистрировано Минюстом России 25 декабря 2003 года № 5365, 19 октября 2005 года № 7095, 27 октября 2008 года № 12525 (“Вестник Банка России” от 31 декабря 2003 года № 72, от 26 октября 2005 года № 56, от 7 ноября 2008 года № 63)</w:t>
            </w:r>
          </w:p>
        </w:tc>
      </w:tr>
      <w:tr>
        <w:trPr>
          <w:cantSplit/>
        </w:trPr>
        <w:tc>
          <w:tcPr>
            <w:tcW w:w="16260" w:type="dxa"/>
            <w:gridSpan w:val="4"/>
            <w:tcBorders>
              <w:top w:val="single" w:sz="6" w:space="0" w:color="000000"/>
              <w:start w:val="single" w:sz="6" w:space="0" w:color="000000"/>
              <w:bottom w:val="single" w:sz="6" w:space="0" w:color="000000"/>
              <w:end w:val="single" w:sz="6" w:space="0" w:color="000000"/>
            </w:tcBorders>
          </w:tcPr>
          <w:p>
            <w:pPr>
              <w:pStyle w:val="MainText"/>
              <w:ind w:hanging="0" w:end="0"/>
              <w:jc w:val="start"/>
              <w:rPr>
                <w:b/>
                <w:sz w:val="16"/>
              </w:rPr>
            </w:pPr>
            <w:r>
              <w:rPr>
                <w:b/>
                <w:sz w:val="16"/>
              </w:rPr>
              <w:t>На нерегулярной основе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заключении договора на проведение аудиторской проверки деятельности кредитной организации, банковской (консолидированной) группы </w:t>
              <w:br/>
              <w:t>(код формы по ОКУД 0409</w:t>
            </w:r>
            <w:r>
              <w:rPr>
                <w:b/>
                <w:sz w:val="16"/>
              </w:rPr>
              <w:t>024</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Кредитные организации (включая небанковские кредитные организации) и головные кредитные организации банковской (консолидированной) группы — не позднее 5 рабочих дней после дня заключения договора (дополнительного соглашения к договору) с аудиторской организацией на проведение аудиторской проверки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1. Список аффилированных лиц </w:t>
              <w:br/>
              <w:t>(код формы по ОКУД 0409</w:t>
            </w:r>
            <w:r>
              <w:rPr>
                <w:b/>
                <w:sz w:val="16"/>
              </w:rPr>
              <w:t>051</w:t>
            </w:r>
            <w:r>
              <w:rPr>
                <w:sz w:val="16"/>
              </w:rPr>
              <w:t xml:space="preserve">) </w:t>
              <w:br/>
              <w:t xml:space="preserve">2. Список аффилированных лиц, принадлежащих к группе лиц, к которой принадлежит кредитная организация </w:t>
              <w:br/>
              <w:t>(код формы по ОКУД 0409</w:t>
            </w:r>
            <w:r>
              <w:rPr>
                <w:b/>
                <w:sz w:val="16"/>
              </w:rPr>
              <w:t>052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По мере внесения сведений в Отчет: </w:t>
              <w:br/>
              <w:t xml:space="preserve">не позднее 10 рабочих дней со дня внесения сведений; </w:t>
              <w:br/>
              <w:t xml:space="preserve">по требованию Банка России: </w:t>
              <w:br/>
              <w:t>не позднее 10 рабочих дней со дня получения письменного требования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Положение Банка России от 20 июля 2007 года № 307-П “О порядке ведения учета и представления информации об аффилированных лицах кредитных организаций”</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об использовании кредитной организацией интернет-технологий </w:t>
              <w:br/>
              <w:t>(код формы по ОКУД 0409</w:t>
            </w:r>
            <w:r>
              <w:rPr>
                <w:b/>
                <w:sz w:val="16"/>
              </w:rPr>
              <w:t>070</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2 недель со дня ввода WEB-сайта в эксплуатацию, изменения функционального назначения и (или) функциональных возможностей WEB-сайта, изменения места нахождения WEB-сайта или прекращения использования WEB-сайта</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Указание Банка России от 1 марта 2004 года № 1390-У “О порядке информирования кредитными организациями Центрального банка Российской Федерации об использовании в своей деятельности интернет-технологий”</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64</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Отчетность реорганизуемых кредитных организаций </w:t>
              <w:br/>
              <w:t xml:space="preserve">1. Оборотная ведомость по счетам бухгалтерского учета кредитной организации </w:t>
              <w:br/>
              <w:t>(код формы по ОКУД 0409</w:t>
            </w:r>
            <w:r>
              <w:rPr>
                <w:b/>
                <w:sz w:val="16"/>
              </w:rPr>
              <w:t>101</w:t>
            </w:r>
            <w:r>
              <w:rPr>
                <w:sz w:val="16"/>
              </w:rPr>
              <w:t xml:space="preserve">) </w:t>
              <w:br/>
              <w:t xml:space="preserve">2. Отчет о прибылях и убытках кредитной организации </w:t>
              <w:br/>
              <w:t>(код формы по ОКУД 0409</w:t>
            </w:r>
            <w:r>
              <w:rPr>
                <w:b/>
                <w:sz w:val="16"/>
              </w:rPr>
              <w:t>102</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Заключительная бухгалтерская отчетность — не позднее 10-го рабочего дня месяца после дня внесения соответствующих изменений в Единый государственный реестр юридических лиц (после дня получения уведомления о внесении соответствующей записи в Единый государственный реестр юридических лиц). </w:t>
              <w:br/>
              <w:t>Вступительная бухгалтерская отчетность — не позднее 10-го рабочего дня месяца после дня их государственной регистрации (после дня составления отчетности)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Настоящее Указание; </w:t>
              <w:br/>
              <w:t>Указание Банка России от 16 января 2004 года № 1375-У “О правилах составления и представления отчетности кредитными организациями в Центральный банк Российской Федерации”</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65</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 дочерних организациях — нерезидентах </w:t>
              <w:br/>
              <w:t>(код формы по ОКУД 0409</w:t>
            </w:r>
            <w:r>
              <w:rPr>
                <w:b/>
                <w:sz w:val="16"/>
              </w:rPr>
              <w:t>170</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 месяца со дня приобретения организацией-нерезидентом статуса дочерней организации по отношению к отчитывающейся кредитной организации и не позднее 5 рабочих дней со дня изменения одного из реквизитов отчета</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66</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об имеющих признаки подделки денежных знаках, переданных территориальным органам внутренних дел </w:t>
              <w:br/>
              <w:t>(код формы по ОКУД 0409</w:t>
            </w:r>
            <w:r>
              <w:rPr>
                <w:b/>
                <w:sz w:val="16"/>
              </w:rPr>
              <w:t>207</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5 рабочих дней со дня выявления денежных знаков, имеющих признаки подделки, и (или) получения отчета от внутренних структурных подразделений кредитной организации (ее филиала)</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67</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Сведения кредитных организаций о начале (завершении) эмиссии и (или) эквайринга платежных карт </w:t>
              <w:br/>
              <w:t>(код формы по ОКУД 0409</w:t>
            </w:r>
            <w:r>
              <w:rPr>
                <w:b/>
                <w:sz w:val="16"/>
              </w:rPr>
              <w:t>255</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Не позднее 10 рабочих дней со дня начала (завершения) эмиссии и (или) эквайринга платежных карт или изменения сведений в ранее присланных отчетах</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68</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Отчет о составе участников банковской (консолидированной) группы </w:t>
              <w:br/>
              <w:t>(код формы по ОКУД 0409</w:t>
            </w:r>
            <w:r>
              <w:rPr>
                <w:b/>
                <w:sz w:val="16"/>
              </w:rPr>
              <w:t>801</w:t>
            </w:r>
            <w:r>
              <w:rPr>
                <w:sz w:val="16"/>
              </w:rPr>
              <w:t>)</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Головные кредитные организации банковских (консолидированных) групп: </w:t>
              <w:br/>
              <w:t xml:space="preserve">не позднее 8 рабочих дней со дня образования банковской (консолидированной) группы; </w:t>
              <w:br/>
              <w:t xml:space="preserve">по мере внесения сведений — не позднее 10 рабочих дней со дня внесения сведений. </w:t>
              <w:br/>
              <w:t xml:space="preserve">По требованию Банка России — не позднее 10 рабочих дней со дня получения письменного требования Банка России. </w:t>
              <w:br/>
              <w:t>По состоянию на 1 января — не позднее 2 месяцев года, следующего за отчетным</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Настоящее Указание</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69</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Список участников (акционеров) кредитной организации (в электронном виде)</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 регистрации и по мере возникновения соответствующих оснований</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Инструкция Банка России от 14 января 2004 года № 109-И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 зарегистрирована Минюстом России 13 февраля 2004 года № 5551, 1 ноября 2005 года № 7127, 2 июня 2006 года № 7910, 19 декабря 2006 года № 8640, 7 марта 2007 года № 9071, 14 марта 2007 года № 9098, 22 мая 2007 года № 9521, 14 декабря 2007 года № 10749, 27 февраля 2008 года № 11234, 28 июля 2008 года № 12037, 31 октября 2008 года № 12555, 3 февраля 2009 года № 13254, 23 сентября 2009 года № 14849 (“Вестник Банка России” от 20 февраля 2004 года № 15, от 7 декабря 2005 года № 64, от 21 июня 2006 года № 35, от 27 декабря 2006 года № 73, от 21 марта 2007 года № 15, от 28 марта 2007 года № 16, от 30 мая 2007 года № 32, от 26 декабря 2007 года № 71, от 5 марта 2008 года № 11, от 6 августа 2008 года № 41, от 1 ноября 2008 года № 62, от 9 февраля 2009 года № 8, от 14 октября 2009 года № 59)</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70</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Сведения для ведения Книги государственной регистрации и реестров кредитных организаций (их филиалов) и их подразделений</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При регистрации и по мере возникновения изменений в учредительных документах кредитной организации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Инструкция Банка России от 14 января 2004 года № 109-И “О порядке принятия Банком России решения о государственной регистрации кредитных организаций и выдаче лицензий на осуществление банковских операций”</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71</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 xml:space="preserve">1. Информация о величине кредитного риска по условным обязательствам кредитного характера </w:t>
              <w:br/>
              <w:t>2. Информация о величине кредитного риска по срочным сделкам</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запросу территориальных учреждений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Инструкция Банка России от 16 января 2004 года № 110-И “Об обязательных нормативах банков”</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72</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Выписка из Реестра операций с наличной валютой и чеками по операциям на сумму, равную или превышающую 600 000 рублей (в иностранной валюте — на сумму, эквивалентную 600 000 рублей или превышающую ее), совершенным за отчетный месяц (в электронном виде)</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запросу Председателя Банка России, Руководителя Комитета банковского надзора, заместителя Председателя Банка России в соответствии с распределением обязанностей</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Инструкция Банка России от 28 апреля 2004 года № 113-И “О порядке открытия, закрытия, организации работы обменных пунктов и порядке осуществления уполномоченными банками отдельных видов банковских операций и иных сделок с наличной иностранной валютой и валютой Российской Федерации, чеками (в том числе дорожными чеками), номинальная стоимость которых указана в иностранной валюте, с участием физических лиц”, зарегистрирована Минюстом России 2 июня 2004 года № 5824, 11 ноября 2005 года № 7158, 22 декабря 2006 года № 8664 (“Вестник Банка России” от 9 июня 2004 года № 33, от 23 ноября 2005 года № 62, от 28 декабря 2006 года № 74)</w:t>
            </w:r>
          </w:p>
        </w:tc>
      </w:tr>
      <w:tr>
        <w:trPr>
          <w:cantSplit/>
        </w:trPr>
        <w:tc>
          <w:tcPr>
            <w:tcW w:w="677"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sz w:val="16"/>
              </w:rPr>
            </w:pPr>
            <w:r>
              <w:rPr>
                <w:sz w:val="16"/>
              </w:rPr>
              <w:t>73</w:t>
            </w:r>
          </w:p>
        </w:tc>
        <w:tc>
          <w:tcPr>
            <w:tcW w:w="3829"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Разъяснения (пояснения) по отчетности и другой информации о деятельности кредитных организаций, полученной в соответствии с перечнем (включая расшифровки отдельных балансовых счетов и статей форм отчетности)</w:t>
            </w:r>
          </w:p>
        </w:tc>
        <w:tc>
          <w:tcPr>
            <w:tcW w:w="7796"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По запросу Банка России и территориальных учреждений Банка России</w:t>
            </w:r>
          </w:p>
        </w:tc>
        <w:tc>
          <w:tcPr>
            <w:tcW w:w="3958" w:type="dxa"/>
            <w:tcBorders>
              <w:top w:val="single" w:sz="6" w:space="0" w:color="000000"/>
              <w:start w:val="single" w:sz="6" w:space="0" w:color="000000"/>
              <w:bottom w:val="single" w:sz="6" w:space="0" w:color="000000"/>
              <w:end w:val="single" w:sz="6" w:space="0" w:color="000000"/>
            </w:tcBorders>
          </w:tcPr>
          <w:p>
            <w:pPr>
              <w:pStyle w:val="MainText"/>
              <w:ind w:hanging="0" w:end="0"/>
              <w:jc w:val="start"/>
              <w:rPr>
                <w:sz w:val="16"/>
              </w:rPr>
            </w:pPr>
            <w:r>
              <w:rPr>
                <w:sz w:val="16"/>
              </w:rPr>
              <w:t>Федеральный закон от 10 июля 2002 года № 86-ФЗ “О Центральном банке Российской Федерации (Банке России)” (Собрание законодательства Российской Федерации, 2002, № 28, ст. 2790; 2003, № 2, ст. 157; № 52, ст. 5032; 2004, № 27, ст. 2711; № 31, ст. 3233; 2005, № 25, ст. 2426; № 30, ст. 3101; 2006, № 19, ст. 2061; № 25, ст. 2648; 2007, № 1, ст. 9, ст. 10; № 10, ст. 1151; № 18, ст. 2117; 2008, № 42, ст. 4696, ст. 4699; № 44, ст. 4982; № 52, ст. 6229, ст. 6231; 2009, № 1, ст. 25; № 29, ст. 3629)</w:t>
            </w:r>
          </w:p>
        </w:tc>
      </w:tr>
    </w:tbl>
    <w:p>
      <w:pPr>
        <w:pStyle w:val="SnoskaLineTab"/>
        <w:keepNext w:val="true"/>
        <w:pBdr>
          <w:top w:val="single" w:sz="6" w:space="1" w:color="000000"/>
        </w:pBdr>
        <w:spacing w:before="240" w:after="0"/>
        <w:rPr/>
      </w:pPr>
      <w:r>
        <w:rPr>
          <w:vertAlign w:val="superscript"/>
        </w:rPr>
        <w:t>1</w:t>
      </w:r>
      <w:r>
        <w:rPr/>
        <w:t> В перечень не включены формы отчетности, составляемые и представляемые в особом порядке, установленном Банком России.</w:t>
      </w:r>
    </w:p>
    <w:p>
      <w:pPr>
        <w:pStyle w:val="Snoska"/>
        <w:keepLines w:val="false"/>
        <w:rPr/>
      </w:pPr>
      <w:r>
        <w:rPr>
          <w:vertAlign w:val="superscript"/>
        </w:rPr>
        <w:t>2</w:t>
      </w:r>
      <w:r>
        <w:rPr/>
        <w:t> Указанная отчетность представляется непосредственно в Банк России.</w:t>
      </w:r>
    </w:p>
    <w:p>
      <w:pPr>
        <w:pStyle w:val="MainText"/>
        <w:rPr/>
        <w:sectPr>
          <w:type w:val="nextPage"/>
          <w:pgSz w:orient="landscape" w:w="16838" w:h="11906"/>
          <w:pgMar w:left="397" w:right="397" w:gutter="0" w:header="0" w:top="397" w:footer="0" w:bottom="397"/>
          <w:pgNumType w:fmt="decimal"/>
          <w:formProt w:val="false"/>
          <w:titlePg/>
          <w:textDirection w:val="lrTb"/>
          <w:docGrid w:type="default" w:linePitch="360" w:charSpace="0"/>
        </w:sect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Baltica">
    <w:charset w:val="00" w:characterSet="windows-1252"/>
    <w:family w:val="auto"/>
    <w:pitch w:val="variable"/>
  </w:font>
  <w:font w:name="JournalSans">
    <w:charset w:val="00" w:characterSet="windows-1252"/>
    <w:family w:val="auto"/>
    <w:pitch w:val="variable"/>
  </w:font>
  <w:font w:name="Liberation Sans">
    <w:altName w:val="Arial"/>
    <w:charset w:val="01" w:characterSet="utf-8"/>
    <w:family w:val="swiss"/>
    <w:pitch w:val="variable"/>
  </w:font>
  <w:font w:name="Pragmatica">
    <w:charset w:val="00" w:characterSet="windows-1252"/>
    <w:family w:val="auto"/>
    <w:pitch w:val="variable"/>
  </w:font>
  <w:font w:name="Arial">
    <w:charset w:val="cc" w:characterSet="windows-1251"/>
    <w:family w:val="swiss"/>
    <w:pitch w:val="variable"/>
  </w:font>
  <w:font w:name="Courier New">
    <w:charset w:val="cc" w:characterSet="windows-1251"/>
    <w:family w:val="modern"/>
    <w:pitch w:val="default"/>
  </w:font>
  <w:font w:name="PragmaticaCondC">
    <w:charset w:val="00" w:characterSet="windows-1252"/>
    <w:family w:val="decorative"/>
    <w:pitch w:val="variable"/>
  </w:font>
  <w:font w:name="PragmaticaC">
    <w:charset w:val="00" w:characterSet="windows-1252"/>
    <w:family w:val="decorative"/>
    <w:pitch w:val="variable"/>
  </w:font>
  <w:font w:name="AGOpus">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Baltica" w:hAnsi="Baltica" w:eastAsia="Times New Roman" w:cs="Baltica"/>
      <w:color w:val="auto"/>
      <w:sz w:val="19"/>
      <w:szCs w:val="20"/>
      <w:lang w:bidi="ar-SA" w:val="ru-RU" w:eastAsia="zh-CN"/>
    </w:rPr>
  </w:style>
  <w:style w:type="paragraph" w:styleId="Heading1">
    <w:name w:val="heading 1"/>
    <w:basedOn w:val="Normal"/>
    <w:next w:val="Normal"/>
    <w:qFormat/>
    <w:pPr>
      <w:keepNext w:val="true"/>
      <w:numPr>
        <w:ilvl w:val="0"/>
        <w:numId w:val="1"/>
      </w:numPr>
      <w:jc w:val="end"/>
      <w:outlineLvl w:val="0"/>
    </w:pPr>
    <w:rPr>
      <w:rFonts w:ascii="JournalSans" w:hAnsi="JournalSans" w:cs="JournalSans"/>
      <w:b/>
      <w:kern w:val="2"/>
      <w:sz w:val="40"/>
    </w:rPr>
  </w:style>
  <w:style w:type="paragraph" w:styleId="Heading2">
    <w:name w:val="heading 2"/>
    <w:basedOn w:val="Normal"/>
    <w:next w:val="Normal"/>
    <w:qFormat/>
    <w:pPr>
      <w:keepNext w:val="true"/>
      <w:numPr>
        <w:ilvl w:val="1"/>
        <w:numId w:val="1"/>
      </w:numPr>
      <w:jc w:val="both"/>
      <w:outlineLvl w:val="1"/>
    </w:pPr>
    <w:rPr>
      <w:b/>
    </w:rPr>
  </w:style>
  <w:style w:type="paragraph" w:styleId="Heading3">
    <w:name w:val="heading 3"/>
    <w:basedOn w:val="Normal"/>
    <w:next w:val="Normal"/>
    <w:qFormat/>
    <w:pPr>
      <w:keepNext w:val="true"/>
      <w:keepLines/>
      <w:numPr>
        <w:ilvl w:val="2"/>
        <w:numId w:val="1"/>
      </w:numPr>
      <w:outlineLvl w:val="2"/>
    </w:pPr>
    <w:rPr>
      <w:b/>
    </w:rPr>
  </w:style>
  <w:style w:type="character" w:styleId="Style11">
    <w:name w:val="Основной шрифт абзаца"/>
    <w:qFormat/>
    <w:rPr/>
  </w:style>
  <w:style w:type="character" w:styleId="FootnoteCharacters">
    <w:name w:val="Footnote Characters"/>
    <w:basedOn w:val="Style11"/>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ing4">
    <w:name w:val="Heading4"/>
    <w:basedOn w:val="Normal"/>
    <w:next w:val="Normal"/>
    <w:qFormat/>
    <w:pPr>
      <w:ind w:hanging="0" w:start="0" w:end="-1134"/>
    </w:pPr>
    <w:rPr>
      <w:rFonts w:ascii="JournalSans" w:hAnsi="JournalSans" w:cs="JournalSans"/>
      <w:sz w:val="18"/>
    </w:rPr>
  </w:style>
  <w:style w:type="paragraph" w:styleId="TOC1">
    <w:name w:val="toc 1"/>
    <w:basedOn w:val="Normal"/>
    <w:next w:val="Normal"/>
    <w:pPr>
      <w:tabs>
        <w:tab w:val="clear" w:pos="720"/>
        <w:tab w:val="right" w:pos="6804" w:leader="none"/>
      </w:tabs>
    </w:pPr>
    <w:rPr>
      <w:rFonts w:ascii="Pragmatica" w:hAnsi="Pragmatica" w:cs="Pragmatica"/>
      <w:b/>
      <w:caps/>
      <w:sz w:val="20"/>
      <w:u w:val="single"/>
    </w:rPr>
  </w:style>
  <w:style w:type="paragraph" w:styleId="TOC2">
    <w:name w:val="toc 2"/>
    <w:basedOn w:val="Normal"/>
    <w:next w:val="Normal"/>
    <w:pPr/>
    <w:rPr>
      <w:rFonts w:ascii="JournalSans" w:hAnsi="JournalSans" w:cs="JournalSans"/>
      <w:caps/>
      <w:sz w:val="14"/>
    </w:rPr>
  </w:style>
  <w:style w:type="paragraph" w:styleId="TelePodpisAlone">
    <w:name w:val="TelePodpisAlone"/>
    <w:basedOn w:val="Normal"/>
    <w:next w:val="MainText"/>
    <w:qFormat/>
    <w:pPr>
      <w:keepLines/>
      <w:tabs>
        <w:tab w:val="clear" w:pos="720"/>
        <w:tab w:val="right" w:pos="10206" w:leader="none"/>
      </w:tabs>
      <w:spacing w:before="120" w:after="0"/>
      <w:ind w:hanging="0" w:start="567" w:end="0"/>
    </w:pPr>
    <w:rPr>
      <w:rFonts w:ascii="Arial" w:hAnsi="Arial" w:cs="Arial"/>
      <w:caps/>
      <w:lang w:val="en-US"/>
    </w:rPr>
  </w:style>
  <w:style w:type="paragraph" w:styleId="MainText">
    <w:name w:val="MainText"/>
    <w:qFormat/>
    <w:pPr>
      <w:widowControl/>
      <w:overflowPunct w:val="false"/>
      <w:autoSpaceDE w:val="false"/>
      <w:bidi w:val="0"/>
      <w:ind w:firstLine="567" w:start="0" w:end="0"/>
      <w:jc w:val="both"/>
      <w:textAlignment w:val="baseline"/>
    </w:pPr>
    <w:rPr>
      <w:rFonts w:ascii="Arial" w:hAnsi="Arial" w:eastAsia="Times New Roman" w:cs="Arial"/>
      <w:color w:val="auto"/>
      <w:sz w:val="19"/>
      <w:szCs w:val="20"/>
      <w:lang w:val="en-US" w:bidi="ar-SA" w:eastAsia="zh-CN"/>
    </w:rPr>
  </w:style>
  <w:style w:type="paragraph" w:styleId="Style12">
    <w:name w:val="Текст макроса"/>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textAlignment w:val="baseline"/>
    </w:pPr>
    <w:rPr>
      <w:rFonts w:ascii="Courier New" w:hAnsi="Courier New" w:eastAsia="Times New Roman" w:cs="Courier New"/>
      <w:color w:val="auto"/>
      <w:sz w:val="20"/>
      <w:szCs w:val="20"/>
      <w:lang w:bidi="ar-SA" w:val="ru-RU" w:eastAsia="zh-CN"/>
    </w:rPr>
  </w:style>
  <w:style w:type="paragraph" w:styleId="MZagolovokCenter">
    <w:name w:val="MZagolovokCenter"/>
    <w:basedOn w:val="Normal"/>
    <w:qFormat/>
    <w:pPr>
      <w:keepNext w:val="true"/>
      <w:keepLines/>
      <w:spacing w:before="120" w:after="120"/>
      <w:jc w:val="center"/>
    </w:pPr>
    <w:rPr>
      <w:rFonts w:ascii="Arial" w:hAnsi="Arial" w:cs="Arial"/>
      <w:b/>
      <w:sz w:val="24"/>
      <w:lang w:val="en-US"/>
    </w:rPr>
  </w:style>
  <w:style w:type="paragraph" w:styleId="Prikaz">
    <w:name w:val="Prikaz"/>
    <w:basedOn w:val="Normal"/>
    <w:qFormat/>
    <w:pPr>
      <w:keepNext w:val="true"/>
      <w:keepLines/>
      <w:tabs>
        <w:tab w:val="clear" w:pos="720"/>
        <w:tab w:val="right" w:pos="10773" w:leader="none"/>
      </w:tabs>
    </w:pPr>
    <w:rPr>
      <w:rFonts w:ascii="Arial" w:hAnsi="Arial" w:cs="Arial"/>
      <w:lang w:val="en-US"/>
    </w:rPr>
  </w:style>
  <w:style w:type="paragraph" w:styleId="MainTextBezOtstupa">
    <w:name w:val="MainTextBezOtstupa"/>
    <w:basedOn w:val="MainText"/>
    <w:qFormat/>
    <w:pPr>
      <w:ind w:hanging="0" w:start="0" w:end="0"/>
    </w:pPr>
    <w:rPr/>
  </w:style>
  <w:style w:type="paragraph" w:styleId="BankovskajaOtchetnost">
    <w:name w:val="BankovskajaOtchetnost"/>
    <w:basedOn w:val="MainTextBezOtstupa"/>
    <w:next w:val="MZagolovokCenter"/>
    <w:qFormat/>
    <w:pPr>
      <w:keepNext w:val="true"/>
      <w:keepLines/>
      <w:pageBreakBefore/>
      <w:spacing w:before="0" w:after="60"/>
      <w:jc w:val="end"/>
    </w:pPr>
    <w:rPr>
      <w:sz w:val="16"/>
    </w:rPr>
  </w:style>
  <w:style w:type="paragraph" w:styleId="AdresLine">
    <w:name w:val="AdresLine"/>
    <w:basedOn w:val="MainTextBezOtstupa"/>
    <w:qFormat/>
    <w:pPr>
      <w:keepLines/>
      <w:tabs>
        <w:tab w:val="clear" w:pos="720"/>
        <w:tab w:val="right" w:pos="9072" w:leader="underscore"/>
      </w:tabs>
      <w:jc w:val="start"/>
    </w:pPr>
    <w:rPr/>
  </w:style>
  <w:style w:type="paragraph" w:styleId="Glavnyi">
    <w:name w:val="Glavnyi"/>
    <w:basedOn w:val="Normal"/>
    <w:qFormat/>
    <w:pPr>
      <w:keepLines/>
      <w:spacing w:before="120" w:after="120"/>
      <w:jc w:val="center"/>
    </w:pPr>
    <w:rPr>
      <w:rFonts w:ascii="Arial" w:hAnsi="Arial" w:cs="Arial"/>
      <w:b/>
      <w:sz w:val="36"/>
      <w:lang w:val="en-US"/>
    </w:rPr>
  </w:style>
  <w:style w:type="paragraph" w:styleId="Snoska">
    <w:name w:val="Snoska"/>
    <w:basedOn w:val="MainTextBezOtstupa"/>
    <w:qFormat/>
    <w:pPr>
      <w:keepLines/>
      <w:spacing w:before="60" w:after="0"/>
    </w:pPr>
    <w:rPr>
      <w:sz w:val="16"/>
    </w:rPr>
  </w:style>
  <w:style w:type="paragraph" w:styleId="MGlavaCenter">
    <w:name w:val="MGlavaCenter"/>
    <w:basedOn w:val="Normal"/>
    <w:next w:val="MainText"/>
    <w:qFormat/>
    <w:pPr>
      <w:keepNext w:val="true"/>
      <w:keepLines/>
      <w:spacing w:before="120" w:after="120"/>
      <w:jc w:val="center"/>
    </w:pPr>
    <w:rPr>
      <w:rFonts w:ascii="Arial" w:hAnsi="Arial" w:cs="Arial"/>
      <w:b/>
      <w:lang w:val="en-US"/>
    </w:rPr>
  </w:style>
  <w:style w:type="paragraph" w:styleId="Rasshifrovka">
    <w:name w:val="Rasshifrovka"/>
    <w:basedOn w:val="MainTextBezOtstupa"/>
    <w:qFormat/>
    <w:pPr>
      <w:keepNext w:val="true"/>
      <w:keepLines/>
      <w:spacing w:before="0" w:after="60"/>
      <w:jc w:val="center"/>
    </w:pPr>
    <w:rPr>
      <w:sz w:val="16"/>
    </w:rPr>
  </w:style>
  <w:style w:type="paragraph" w:styleId="TableInText61">
    <w:name w:val="TableInText61"/>
    <w:basedOn w:val="MainTextBezOtstupa"/>
    <w:qFormat/>
    <w:pPr>
      <w:tabs>
        <w:tab w:val="clear" w:pos="720"/>
        <w:tab w:val="center" w:pos="10348" w:leader="none"/>
      </w:tabs>
      <w:spacing w:before="60" w:after="0"/>
      <w:jc w:val="start"/>
    </w:pPr>
    <w:rPr/>
  </w:style>
  <w:style w:type="paragraph" w:styleId="TableInText61Line">
    <w:name w:val="TableInText61Line"/>
    <w:basedOn w:val="TableInText61"/>
    <w:qFormat/>
    <w:pPr>
      <w:pBdr>
        <w:top w:val="single" w:sz="6" w:space="2" w:color="000000"/>
      </w:pBdr>
    </w:pPr>
    <w:rPr/>
  </w:style>
  <w:style w:type="paragraph" w:styleId="SnoskaLineTab">
    <w:name w:val="SnoskaLineTab"/>
    <w:basedOn w:val="Snoska"/>
    <w:next w:val="Snoska"/>
    <w:qFormat/>
    <w:pPr>
      <w:pBdr>
        <w:top w:val="single" w:sz="6" w:space="2" w:color="000000"/>
      </w:pBdr>
    </w:pPr>
    <w:rPr/>
  </w:style>
  <w:style w:type="paragraph" w:styleId="MZagolovok">
    <w:name w:val="MZagolovok"/>
    <w:qFormat/>
    <w:pPr>
      <w:keepLines/>
      <w:widowControl/>
      <w:overflowPunct w:val="false"/>
      <w:autoSpaceDE w:val="false"/>
      <w:bidi w:val="0"/>
      <w:spacing w:before="113" w:after="113"/>
      <w:textAlignment w:val="baseline"/>
    </w:pPr>
    <w:rPr>
      <w:rFonts w:ascii="PragmaticaCondC" w:hAnsi="PragmaticaCondC" w:eastAsia="Times New Roman" w:cs="PragmaticaCondC"/>
      <w:b/>
      <w:color w:val="000000"/>
      <w:sz w:val="24"/>
      <w:szCs w:val="20"/>
      <w:lang w:val="en-US" w:bidi="ar-SA" w:eastAsia="zh-CN"/>
    </w:rPr>
  </w:style>
  <w:style w:type="paragraph" w:styleId="MZagolovokWOAfter">
    <w:name w:val="MZagolovokWOAfter"/>
    <w:basedOn w:val="MZagolovok"/>
    <w:qFormat/>
    <w:pPr>
      <w:keepNext w:val="true"/>
      <w:spacing w:before="120" w:after="0"/>
    </w:pPr>
    <w:rPr>
      <w:rFonts w:ascii="Arial" w:hAnsi="Arial" w:cs="Arial"/>
      <w:color w:val="000000"/>
    </w:rPr>
  </w:style>
  <w:style w:type="paragraph" w:styleId="Primer">
    <w:name w:val="Primer"/>
    <w:basedOn w:val="MainTextBezOtstupa"/>
    <w:qFormat/>
    <w:pPr>
      <w:spacing w:before="57" w:after="57"/>
      <w:ind w:hanging="0" w:start="567" w:end="0"/>
    </w:pPr>
    <w:rPr>
      <w:sz w:val="16"/>
    </w:rPr>
  </w:style>
  <w:style w:type="paragraph" w:styleId="BulletsMain">
    <w:name w:val="BulletsMain"/>
    <w:basedOn w:val="MainText"/>
    <w:qFormat/>
    <w:pPr>
      <w:tabs>
        <w:tab w:val="clear" w:pos="720"/>
        <w:tab w:val="left" w:pos="567" w:leader="none"/>
      </w:tabs>
      <w:ind w:hanging="283" w:start="567" w:end="0"/>
    </w:pPr>
    <w:rPr/>
  </w:style>
  <w:style w:type="paragraph" w:styleId="FootnoteText">
    <w:name w:val="footnote text"/>
    <w:basedOn w:val="Normal"/>
    <w:pPr/>
    <w:rPr>
      <w:sz w:val="20"/>
    </w:rPr>
  </w:style>
  <w:style w:type="paragraph" w:styleId="MGlavaItalic">
    <w:name w:val="MGlavaItalic"/>
    <w:basedOn w:val="Normal"/>
    <w:qFormat/>
    <w:pPr>
      <w:keepNext w:val="true"/>
      <w:keepLines/>
      <w:spacing w:before="120" w:after="0"/>
    </w:pPr>
    <w:rPr>
      <w:rFonts w:ascii="Arial" w:hAnsi="Arial" w:cs="Arial"/>
      <w:i/>
      <w:lang w:val="en-US"/>
    </w:rPr>
  </w:style>
  <w:style w:type="paragraph" w:styleId="Oglavlenie">
    <w:name w:val="Oglavlenie"/>
    <w:basedOn w:val="MainTextBezOtstupa"/>
    <w:qFormat/>
    <w:pPr>
      <w:tabs>
        <w:tab w:val="clear" w:pos="720"/>
        <w:tab w:val="center" w:pos="425" w:leader="none"/>
        <w:tab w:val="left" w:pos="935" w:leader="none"/>
        <w:tab w:val="right" w:pos="8617" w:leader="dot"/>
      </w:tabs>
      <w:ind w:hanging="936" w:start="936" w:end="0"/>
      <w:jc w:val="start"/>
    </w:pPr>
    <w:rPr>
      <w:sz w:val="18"/>
    </w:rPr>
  </w:style>
  <w:style w:type="paragraph" w:styleId="Podpis">
    <w:name w:val="Podpis"/>
    <w:basedOn w:val="MainText"/>
    <w:next w:val="MainText"/>
    <w:qFormat/>
    <w:pPr>
      <w:keepLines/>
      <w:tabs>
        <w:tab w:val="clear" w:pos="720"/>
        <w:tab w:val="right" w:pos="10206" w:leader="none"/>
      </w:tabs>
      <w:spacing w:before="120" w:after="0"/>
      <w:ind w:hanging="0" w:start="567" w:end="0"/>
      <w:jc w:val="start"/>
    </w:pPr>
    <w:rPr>
      <w:caps/>
      <w:color w:val="000000"/>
    </w:rPr>
  </w:style>
  <w:style w:type="paragraph" w:styleId="Glavnyi17BoldCentered">
    <w:name w:val="Glavnyi17BoldCentered"/>
    <w:basedOn w:val="Glavnyi"/>
    <w:next w:val="Glavnyi"/>
    <w:qFormat/>
    <w:pPr>
      <w:spacing w:before="113" w:after="113"/>
    </w:pPr>
    <w:rPr>
      <w:color w:val="000000"/>
      <w:sz w:val="34"/>
    </w:rPr>
  </w:style>
  <w:style w:type="paragraph" w:styleId="MainTextLine155">
    <w:name w:val="MainText+Line155"/>
    <w:basedOn w:val="MainTextBezOtstupa"/>
    <w:next w:val="MainTextBezOtstupa"/>
    <w:qFormat/>
    <w:pPr>
      <w:tabs>
        <w:tab w:val="clear" w:pos="720"/>
        <w:tab w:val="right" w:pos="8787" w:leader="underscore"/>
      </w:tabs>
    </w:pPr>
    <w:rPr>
      <w:color w:val="000000"/>
    </w:rPr>
  </w:style>
  <w:style w:type="paragraph" w:styleId="MainTextRightData">
    <w:name w:val="MainTextRightData"/>
    <w:basedOn w:val="MainTextBezOtstupa"/>
    <w:next w:val="MainText"/>
    <w:qFormat/>
    <w:pPr>
      <w:ind w:hanging="0" w:start="0" w:end="567"/>
    </w:pPr>
    <w:rPr>
      <w:rFonts w:ascii="PragmaticaC" w:hAnsi="PragmaticaC" w:cs="PragmaticaC"/>
      <w:color w:val="000000"/>
    </w:rPr>
  </w:style>
  <w:style w:type="paragraph" w:styleId="MGlava">
    <w:name w:val="MGlava"/>
    <w:basedOn w:val="MainTextBezOtstupa"/>
    <w:next w:val="MainText"/>
    <w:qFormat/>
    <w:pPr>
      <w:keepNext w:val="true"/>
      <w:keepLines/>
      <w:spacing w:before="113" w:after="113"/>
      <w:ind w:hanging="0" w:start="567" w:end="0"/>
      <w:jc w:val="start"/>
    </w:pPr>
    <w:rPr>
      <w:rFonts w:ascii="PragmaticaC" w:hAnsi="PragmaticaC" w:cs="PragmaticaC"/>
      <w:b/>
      <w:color w:val="000000"/>
    </w:rPr>
  </w:style>
  <w:style w:type="paragraph" w:styleId="Primer1">
    <w:name w:val="Primer1"/>
    <w:basedOn w:val="Primer"/>
    <w:next w:val="Primer2"/>
    <w:qFormat/>
    <w:pPr>
      <w:spacing w:before="57" w:after="0"/>
    </w:pPr>
    <w:rPr>
      <w:color w:val="000000"/>
    </w:rPr>
  </w:style>
  <w:style w:type="paragraph" w:styleId="Primer2">
    <w:name w:val="Primer2"/>
    <w:basedOn w:val="Primer"/>
    <w:qFormat/>
    <w:pPr>
      <w:spacing w:before="0" w:after="0"/>
      <w:ind w:firstLine="283" w:start="567" w:end="0"/>
    </w:pPr>
    <w:rPr>
      <w:color w:val="000000"/>
    </w:rPr>
  </w:style>
  <w:style w:type="paragraph" w:styleId="Primer3">
    <w:name w:val="Primer3"/>
    <w:basedOn w:val="Primer"/>
    <w:next w:val="MainText"/>
    <w:qFormat/>
    <w:pPr>
      <w:spacing w:before="0" w:after="57"/>
      <w:ind w:firstLine="283" w:start="567" w:end="0"/>
    </w:pPr>
    <w:rPr>
      <w:rFonts w:ascii="PragmaticaC" w:hAnsi="PragmaticaC" w:cs="PragmaticaC"/>
      <w:color w:val="000000"/>
    </w:rPr>
  </w:style>
  <w:style w:type="paragraph" w:styleId="Tema">
    <w:name w:val="Tema"/>
    <w:next w:val="Normal"/>
    <w:qFormat/>
    <w:pPr>
      <w:widowControl/>
      <w:pBdr>
        <w:top w:val="single" w:sz="6" w:space="0" w:color="000000"/>
      </w:pBdr>
      <w:tabs>
        <w:tab w:val="clear" w:pos="720"/>
        <w:tab w:val="right" w:pos="8731" w:leader="dot"/>
      </w:tabs>
      <w:overflowPunct w:val="false"/>
      <w:autoSpaceDE w:val="false"/>
      <w:bidi w:val="0"/>
      <w:spacing w:before="85" w:after="0"/>
      <w:textAlignment w:val="baseline"/>
    </w:pPr>
    <w:rPr>
      <w:rFonts w:ascii="AGOpus" w:hAnsi="AGOpus" w:eastAsia="Times New Roman" w:cs="AGOpus"/>
      <w:b/>
      <w:color w:val="000000"/>
      <w:spacing w:val="200"/>
      <w:sz w:val="28"/>
      <w:szCs w:val="20"/>
      <w:lang w:val="en-US" w:bidi="ar-SA" w:eastAsia="zh-CN"/>
    </w:rPr>
  </w:style>
  <w:style w:type="paragraph" w:styleId="Style13">
    <w:name w:val="тема"/>
    <w:basedOn w:val="Normal"/>
    <w:qFormat/>
    <w:pPr>
      <w:pBdr>
        <w:top w:val="single" w:sz="12" w:space="5" w:color="0000FF"/>
      </w:pBdr>
      <w:tabs>
        <w:tab w:val="clear" w:pos="720"/>
        <w:tab w:val="right" w:pos="9639" w:leader="dot"/>
      </w:tabs>
      <w:spacing w:before="180" w:after="180"/>
      <w:jc w:val="both"/>
    </w:pPr>
    <w:rPr>
      <w:rFonts w:ascii="AGOpus" w:hAnsi="AGOpus" w:cs="AGOpus"/>
      <w:b/>
      <w:color w:val="0000FF"/>
      <w:spacing w:val="100"/>
      <w:sz w:val="24"/>
    </w:rPr>
  </w:style>
  <w:style w:type="paragraph" w:styleId="MainTextPodzagolovok401">
    <w:name w:val="MainTextPodzagolovok401"/>
    <w:basedOn w:val="MainTextBezOtstupa"/>
    <w:next w:val="MainText"/>
    <w:qFormat/>
    <w:pPr>
      <w:keepNext w:val="true"/>
      <w:keepLines/>
      <w:spacing w:before="120" w:after="0"/>
      <w:jc w:val="start"/>
    </w:pPr>
    <w:rPr>
      <w:rFonts w:ascii="PragmaticaC" w:hAnsi="PragmaticaC" w:cs="PragmaticaC"/>
      <w:color w:val="000000"/>
    </w:rPr>
  </w:style>
  <w:style w:type="paragraph" w:styleId="BulletsInBullets">
    <w:name w:val="BulletsInBullets"/>
    <w:basedOn w:val="BulletsMain"/>
    <w:qFormat/>
    <w:pPr>
      <w:tabs>
        <w:tab w:val="clear" w:pos="567"/>
        <w:tab w:val="left" w:pos="850" w:leader="none"/>
      </w:tabs>
      <w:ind w:hanging="283" w:start="850" w:end="0"/>
    </w:pPr>
    <w:rPr>
      <w:rFonts w:ascii="PragmaticaC" w:hAnsi="PragmaticaC" w:cs="PragmaticaC"/>
      <w:color w:val="000000"/>
    </w:rPr>
  </w:style>
  <w:style w:type="paragraph" w:styleId="PrimerMiddle">
    <w:name w:val="PrimerMiddle"/>
    <w:basedOn w:val="Primer1"/>
    <w:next w:val="Primer1"/>
    <w:qFormat/>
    <w:pPr>
      <w:spacing w:before="0" w:after="0"/>
    </w:pPr>
    <w:rPr>
      <w:rFonts w:ascii="PragmaticaC" w:hAnsi="PragmaticaC" w:cs="PragmaticaC"/>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2009-12-25T18:47:00Z</dcterms:created>
  <dc:creator>Konstantin</dc:creator>
  <dc:description/>
  <cp:keywords/>
  <dc:language>ru-RU</dc:language>
  <cp:lastModifiedBy>lav</cp:lastModifiedBy>
  <cp:lastPrinted>2004-02-05T22:30:00Z</cp:lastPrinted>
  <dcterms:modified xsi:type="dcterms:W3CDTF">2009-12-25T18:47:00Z</dcterms:modified>
  <cp:revision>2</cp:revision>
  <dc:subject/>
  <dc:title>2332-У</dc:title>
</cp:coreProperties>
</file>