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ainText-BezOtstupa1"/>
        <w:keepNext w:val="true"/>
        <w:keepLines/>
        <w:spacing w:before="240" w:after="120"/>
        <w:jc w:val="start"/>
        <w:rPr>
          <w:rFonts w:ascii="Arial" w:hAnsi="Arial" w:cs="Arial"/>
        </w:rPr>
      </w:pPr>
      <w:r>
        <w:rPr>
          <w:rFonts w:cs="Arial" w:ascii="Arial" w:hAnsi="Arial"/>
        </w:rPr>
        <w:t>Зарегистрировано</w:t>
        <w:br/>
        <w:t>Министерством юстиции</w:t>
        <w:br/>
        <w:t>Российской Федерации</w:t>
        <w:br/>
        <w:t>26 апреля 2004 года</w:t>
        <w:br/>
        <w:t>Регистрационный № 5774</w:t>
      </w:r>
    </w:p>
    <w:p>
      <w:pPr>
        <w:pStyle w:val="Prikaz"/>
        <w:keepNext w:val="true"/>
        <w:keepLines/>
        <w:tabs>
          <w:tab w:val="clear" w:pos="720"/>
          <w:tab w:val="right" w:pos="10206" w:leader="none"/>
        </w:tabs>
        <w:spacing w:before="0" w:after="0"/>
        <w:jc w:val="start"/>
        <w:rPr>
          <w:rFonts w:ascii="Arial" w:hAnsi="Arial" w:cs="Arial"/>
          <w:color w:val="000000"/>
        </w:rPr>
      </w:pPr>
      <w:r>
        <w:rPr>
          <w:rFonts w:cs="Arial" w:ascii="Arial" w:hAnsi="Arial"/>
          <w:color w:val="000000"/>
        </w:rPr>
        <w:t>26 марта 2004 года</w:t>
        <w:tab/>
        <w:t>№ 254-П</w:t>
      </w:r>
    </w:p>
    <w:p>
      <w:pPr>
        <w:pStyle w:val="MZagolvok-Center"/>
        <w:keepNext w:val="true"/>
        <w:keepLines/>
        <w:spacing w:before="0" w:after="120"/>
        <w:rPr>
          <w:rFonts w:ascii="Arial" w:hAnsi="Arial" w:cs="Arial"/>
        </w:rPr>
      </w:pPr>
      <w:r>
        <w:rPr>
          <w:rFonts w:cs="Arial" w:ascii="Arial" w:hAnsi="Arial"/>
        </w:rPr>
        <w:t>ПОЛОЖЕНИЕ</w:t>
        <w:br/>
        <w:t>О порядке формирования кредитными организациями резервов на возможные потери по ссудам, по ссудной и приравненной к ней задолженности</w:t>
      </w:r>
    </w:p>
    <w:p>
      <w:pPr>
        <w:pStyle w:val="MainText"/>
        <w:rPr>
          <w:rFonts w:ascii="Arial" w:hAnsi="Arial" w:cs="Arial"/>
          <w:color w:val="000000"/>
        </w:rPr>
      </w:pPr>
      <w:r>
        <w:rPr>
          <w:rFonts w:cs="Arial" w:ascii="Arial" w:hAnsi="Arial"/>
        </w:rPr>
        <w:t>Настоящее Положение на основании Федерального закона “О Центральном банке Российской Федерации (Банке России)” (Собрание законодательства Российской Федерации, 2002, № 28, ст. 2790; 2003, № 2, ст. 157, № 52 (часть I), ст. 5032), Федерального закона “О банках и банковской деятельности” (Ведомости Съезда народных депутатов РСФСР и Верховного Совета РСФСР, 1990, № 27, ст. 357; Собрание законодательства Российской Федерации, 1996, № 6, ст. 492; 1998, № 31, ст. 3829; 1999, № 28, ст. 3459, 3469, 3470; 2001, № 26, ст. 2586; № 33 (часть I), ст. 3424; 2002, № 12, ст. 1093; 2003, № 27 (часть I), ст. 2700, № 50, ст. 4855, № 52, ст. 5033), статьи 292 Налогового кодекса Российской Федерации (Собрание законодательства Российской Федерации, 2000, № 32, ст. 3340; 2002, № 22, ст. 2026) и в соответствии с решением Совета директоров Банка России (протокол заседания Совета директоров Банка России от 19 марта 2004 года № 5) устанавливает порядок формирования кредитными организациями резервов на возможные потери по ссудам, по ссу</w:t>
      </w:r>
      <w:r>
        <w:rPr>
          <w:rFonts w:cs="Arial" w:ascii="Arial" w:hAnsi="Arial"/>
          <w:color w:val="000000"/>
        </w:rPr>
        <w:t>дной и приравненной к ней задолженности (далее — ссуды), к которым относятся денежные требования и требования, вытекающие из сделок с финансовыми инструментами, перечень которых приведен в приложении 1 к настоящему Положению, а также особенности осуществления Банком России надзора за соблюдением кредитными организациями порядка формирования резервов на возможные потери по ссудам.</w:t>
      </w:r>
    </w:p>
    <w:p>
      <w:pPr>
        <w:pStyle w:val="MGlavaCenter"/>
        <w:keepLines/>
        <w:spacing w:before="120" w:after="120"/>
        <w:rPr>
          <w:rFonts w:ascii="Arial" w:hAnsi="Arial" w:cs="Arial"/>
          <w:color w:val="000000"/>
        </w:rPr>
      </w:pPr>
      <w:r>
        <w:rPr>
          <w:rFonts w:cs="Arial" w:ascii="Arial" w:hAnsi="Arial"/>
          <w:color w:val="000000"/>
        </w:rPr>
        <w:t>Глава 1. Общие положения</w:t>
      </w:r>
    </w:p>
    <w:p>
      <w:pPr>
        <w:pStyle w:val="MainText"/>
        <w:rPr>
          <w:rFonts w:ascii="Arial" w:hAnsi="Arial" w:cs="Arial"/>
          <w:color w:val="000000"/>
        </w:rPr>
      </w:pPr>
      <w:r>
        <w:rPr>
          <w:rFonts w:cs="Arial" w:ascii="Arial" w:hAnsi="Arial"/>
          <w:color w:val="000000"/>
        </w:rPr>
        <w:t>1.1. Кредитные организации обязаны формировать резервы на возможные потери по ссудам (далее — резерв) в соответствии с порядком, установленным настоящим Положением.</w:t>
      </w:r>
    </w:p>
    <w:p>
      <w:pPr>
        <w:pStyle w:val="MainText"/>
        <w:rPr>
          <w:rFonts w:ascii="Arial" w:hAnsi="Arial" w:cs="Arial"/>
          <w:color w:val="000000"/>
        </w:rPr>
      </w:pPr>
      <w:r>
        <w:rPr>
          <w:rFonts w:cs="Arial" w:ascii="Arial" w:hAnsi="Arial"/>
          <w:color w:val="000000"/>
        </w:rPr>
        <w:t>1.2. Классификация (реклассификация) ссуд и формирование (регулирование) резерва осуществляются на основании следующих принципов:</w:t>
      </w:r>
    </w:p>
    <w:p>
      <w:pPr>
        <w:pStyle w:val="MainText"/>
        <w:rPr>
          <w:rFonts w:ascii="Arial" w:hAnsi="Arial" w:cs="Arial"/>
          <w:color w:val="000000"/>
        </w:rPr>
      </w:pPr>
      <w:r>
        <w:rPr>
          <w:rFonts w:cs="Arial" w:ascii="Arial" w:hAnsi="Arial"/>
          <w:color w:val="000000"/>
        </w:rPr>
        <w:t>соответствие фактических действий по классификации ссуд и формированию резерва требованиям настоящего Положения и внутренних документов кредитной организации;</w:t>
      </w:r>
    </w:p>
    <w:p>
      <w:pPr>
        <w:pStyle w:val="MainText"/>
        <w:rPr>
          <w:rFonts w:ascii="Arial" w:hAnsi="Arial" w:cs="Arial"/>
          <w:color w:val="000000"/>
        </w:rPr>
      </w:pPr>
      <w:r>
        <w:rPr>
          <w:rFonts w:cs="Arial" w:ascii="Arial" w:hAnsi="Arial"/>
          <w:color w:val="000000"/>
        </w:rPr>
        <w:t>комплексный и объективный анализ всей информации, относящейся к сфере классификации ссуд и формирования резервов;</w:t>
      </w:r>
    </w:p>
    <w:p>
      <w:pPr>
        <w:pStyle w:val="MainText"/>
        <w:rPr>
          <w:rFonts w:ascii="Arial" w:hAnsi="Arial" w:cs="Arial"/>
          <w:color w:val="000000"/>
        </w:rPr>
      </w:pPr>
      <w:r>
        <w:rPr>
          <w:rFonts w:cs="Arial" w:ascii="Arial" w:hAnsi="Arial"/>
          <w:color w:val="000000"/>
        </w:rPr>
        <w:t>своевременность классификации (реклассификации) ссуды и(или) формирования (регулирования) резерва и достоверность отражения изменений размера резерва в учете и отчетности.</w:t>
      </w:r>
    </w:p>
    <w:p>
      <w:pPr>
        <w:pStyle w:val="MainText"/>
        <w:rPr>
          <w:rFonts w:ascii="Arial" w:hAnsi="Arial" w:cs="Arial"/>
          <w:color w:val="000000"/>
        </w:rPr>
      </w:pPr>
      <w:r>
        <w:rPr>
          <w:rFonts w:cs="Arial" w:ascii="Arial" w:hAnsi="Arial"/>
          <w:color w:val="000000"/>
        </w:rPr>
        <w:t>1.3. Резерв формируется кредитной организацией при обесценении ссуды (ссуд), то есть при потере ссудой стоимости вследствие неисполнения либо ненадлежащего исполнения заемщиком обязательств по ссуде перед кредитной организацией в соответствии с условиями договора либо существования реальной угрозы такого неисполнения (ненадлежащего исполнения) (далее — кредитный риск по ссуде).</w:t>
      </w:r>
    </w:p>
    <w:p>
      <w:pPr>
        <w:pStyle w:val="MainText"/>
        <w:rPr>
          <w:rFonts w:ascii="Arial" w:hAnsi="Arial" w:cs="Arial"/>
          <w:color w:val="000000"/>
        </w:rPr>
      </w:pPr>
      <w:r>
        <w:rPr>
          <w:rFonts w:cs="Arial" w:ascii="Arial" w:hAnsi="Arial"/>
          <w:color w:val="000000"/>
        </w:rPr>
        <w:t>1.4. Величина потери ссудой стоимости определяется как разность между балансовой стоимостью ссуды, то есть остатком задолженности по ссуде, отраженным по счетам бухгалтерского учета на момент ее оценки, и ее справедливой стоимостью на момент оценки, осуществленной в порядке, установленном настоящим Положением (далее — текущая стоимость ссуды). Оценка справедливой стоимости ссуды (далее — оценка ссуды) осуществляется на постоянной основе начиная с момента выдачи ссуды.</w:t>
      </w:r>
    </w:p>
    <w:p>
      <w:pPr>
        <w:pStyle w:val="MainText"/>
        <w:rPr>
          <w:rFonts w:ascii="Arial" w:hAnsi="Arial" w:cs="Arial"/>
          <w:color w:val="000000"/>
        </w:rPr>
      </w:pPr>
      <w:r>
        <w:rPr>
          <w:rFonts w:cs="Arial" w:ascii="Arial" w:hAnsi="Arial"/>
          <w:color w:val="000000"/>
        </w:rPr>
        <w:t>1.5. Резерв формируется по конкретной ссуде либо по портфелю однородных ссуд, то есть по группе ссуд со сходными характеристиками кредитного риска, соответствующих требованиям, установленным настоящим Положением, и обособленных в целях формирования резерва (далее — портфель однородных ссуд) в связи с кредитным риском, обусловленным деятельностью конкретного заемщика либо группы заемщиков, предоставленные которым ссуды включены в портфель однородных ссуд.</w:t>
      </w:r>
    </w:p>
    <w:p>
      <w:pPr>
        <w:pStyle w:val="MainText"/>
        <w:rPr>
          <w:rFonts w:ascii="Arial" w:hAnsi="Arial" w:cs="Arial"/>
          <w:color w:val="000000"/>
        </w:rPr>
      </w:pPr>
      <w:r>
        <w:rPr>
          <w:rFonts w:cs="Arial" w:ascii="Arial" w:hAnsi="Arial"/>
          <w:color w:val="000000"/>
        </w:rPr>
        <w:t>1.6. При формировании резерва кредитные организации определяют в соответствии с порядком, установленным пунктом 1.7 и главой 5 настоящего Положения, размер расчетного резерва, то есть резерва, отражающего величину потерь кредитной организации по ссуде, которые должны быть признаны при соблюдении предусмотренного настоящим Положением порядка оценки факторов кредитного риска без учета факта наличия и качества обеспечения по ссуде.</w:t>
      </w:r>
    </w:p>
    <w:p>
      <w:pPr>
        <w:pStyle w:val="MainText"/>
        <w:rPr>
          <w:rFonts w:ascii="Arial" w:hAnsi="Arial" w:cs="Arial"/>
          <w:color w:val="000000"/>
        </w:rPr>
      </w:pPr>
      <w:r>
        <w:rPr>
          <w:rFonts w:cs="Arial" w:ascii="Arial" w:hAnsi="Arial"/>
          <w:color w:val="000000"/>
        </w:rPr>
        <w:t>При наличии обеспечения по ссуде, предусмотренного главой 6 настоящего Положения, размер формируемого резерва определяется в порядке, установленном указанной главой.</w:t>
      </w:r>
    </w:p>
    <w:p>
      <w:pPr>
        <w:pStyle w:val="MainText"/>
        <w:rPr>
          <w:rFonts w:ascii="Arial" w:hAnsi="Arial" w:cs="Arial"/>
          <w:color w:val="000000"/>
        </w:rPr>
      </w:pPr>
      <w:r>
        <w:rPr>
          <w:rFonts w:cs="Arial" w:ascii="Arial" w:hAnsi="Arial"/>
          <w:color w:val="000000"/>
        </w:rPr>
        <w:t>1.7. В целях определения размера расчетного резерва в связи с действием факторов кредитного риска ссуды классифицируются на основании профессионального суждения (за исключением ссуд, сгруппированных в портфель однородных ссуд) в одну из пяти категорий качества:</w:t>
      </w:r>
    </w:p>
    <w:p>
      <w:pPr>
        <w:pStyle w:val="MainText"/>
        <w:rPr>
          <w:rFonts w:ascii="Arial" w:hAnsi="Arial" w:cs="Arial"/>
          <w:color w:val="000000"/>
        </w:rPr>
      </w:pPr>
      <w:r>
        <w:rPr>
          <w:rFonts w:cs="Arial" w:ascii="Arial" w:hAnsi="Arial"/>
          <w:color w:val="000000"/>
        </w:rPr>
        <w:t>I (высшая) категория качества (стандартные ссуды) — отсутствие кредитного риска (вероятность финансовых потерь вследствие неисполнения либо ненадлежащего исполнения заемщиком обязательств по ссуде равна нулю);</w:t>
      </w:r>
    </w:p>
    <w:p>
      <w:pPr>
        <w:pStyle w:val="MainText"/>
        <w:rPr>
          <w:rFonts w:ascii="Arial" w:hAnsi="Arial" w:cs="Arial"/>
          <w:color w:val="000000"/>
        </w:rPr>
      </w:pPr>
      <w:r>
        <w:rPr>
          <w:rFonts w:cs="Arial" w:ascii="Arial" w:hAnsi="Arial"/>
          <w:color w:val="000000"/>
        </w:rPr>
        <w:t>II категория качества (нестандартные ссуды) — умеренный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одного до 20 процентов);</w:t>
      </w:r>
    </w:p>
    <w:p>
      <w:pPr>
        <w:pStyle w:val="MainText"/>
        <w:rPr>
          <w:rFonts w:ascii="Arial" w:hAnsi="Arial" w:cs="Arial"/>
          <w:color w:val="000000"/>
        </w:rPr>
      </w:pPr>
      <w:r>
        <w:rPr>
          <w:rFonts w:cs="Arial" w:ascii="Arial" w:hAnsi="Arial"/>
          <w:color w:val="000000"/>
        </w:rPr>
        <w:t>III категория качества (сомнительные ссуды) — значительный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21 до 50 процентов);</w:t>
      </w:r>
    </w:p>
    <w:p>
      <w:pPr>
        <w:pStyle w:val="MainText"/>
        <w:rPr>
          <w:rFonts w:ascii="Arial" w:hAnsi="Arial" w:cs="Arial"/>
          <w:color w:val="000000"/>
        </w:rPr>
      </w:pPr>
      <w:r>
        <w:rPr>
          <w:rFonts w:cs="Arial" w:ascii="Arial" w:hAnsi="Arial"/>
          <w:color w:val="000000"/>
        </w:rPr>
        <w:t>IV категория качества (проблемные ссуды) — высокий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51 до 100 процентов);</w:t>
      </w:r>
    </w:p>
    <w:p>
      <w:pPr>
        <w:pStyle w:val="MainText"/>
        <w:rPr>
          <w:rFonts w:ascii="Arial" w:hAnsi="Arial" w:cs="Arial"/>
          <w:color w:val="000000"/>
        </w:rPr>
      </w:pPr>
      <w:r>
        <w:rPr>
          <w:rFonts w:cs="Arial" w:ascii="Arial" w:hAnsi="Arial"/>
          <w:color w:val="000000"/>
        </w:rPr>
        <w:t>V (низшая) категория качества (безнадежные ссуды) — отсутствует вероятность возврата ссуды в силу неспособности или отказа заемщика выполнять обязательства по ссуде, что обусловливает полное (в размере 100 процентов) обесценение ссуды.</w:t>
      </w:r>
    </w:p>
    <w:p>
      <w:pPr>
        <w:pStyle w:val="MainText"/>
        <w:rPr>
          <w:rFonts w:ascii="Arial" w:hAnsi="Arial" w:cs="Arial"/>
          <w:color w:val="000000"/>
        </w:rPr>
      </w:pPr>
      <w:r>
        <w:rPr>
          <w:rFonts w:cs="Arial" w:ascii="Arial" w:hAnsi="Arial"/>
          <w:color w:val="000000"/>
        </w:rPr>
        <w:t>Ссуды, отнесенные ко II—V категориям качества, являются обесцененными.</w:t>
      </w:r>
    </w:p>
    <w:p>
      <w:pPr>
        <w:pStyle w:val="MainText"/>
        <w:rPr>
          <w:rFonts w:ascii="Arial" w:hAnsi="Arial" w:cs="Arial"/>
          <w:color w:val="000000"/>
        </w:rPr>
      </w:pPr>
      <w:r>
        <w:rPr>
          <w:rFonts w:cs="Arial" w:ascii="Arial" w:hAnsi="Arial"/>
          <w:color w:val="000000"/>
        </w:rPr>
        <w:t>1.8. Резерв формируется в пределах суммы основного долга (балансовой стоимости ссуды). В сумму основного долга не включаются: обусловленные законом, обычаями делового оборота или договором о предоставлении ссуды платежи в виде процентов за пользование ссудой, комиссионные, неустойки, а также иные платежи в пользу кредитной организации, вытекающие из договора о предоставлении ссуды (далее — проценты по ссуде).</w:t>
      </w:r>
    </w:p>
    <w:p>
      <w:pPr>
        <w:pStyle w:val="MainText"/>
        <w:rPr>
          <w:rFonts w:ascii="Arial" w:hAnsi="Arial" w:cs="Arial"/>
          <w:color w:val="000000"/>
        </w:rPr>
      </w:pPr>
      <w:r>
        <w:rPr>
          <w:rFonts w:cs="Arial" w:ascii="Arial" w:hAnsi="Arial"/>
          <w:color w:val="000000"/>
        </w:rPr>
        <w:t>1.9. Резерв формируется в валюте Российской Федерации независимо от валюты ссуды.</w:t>
      </w:r>
    </w:p>
    <w:p>
      <w:pPr>
        <w:pStyle w:val="MainText"/>
        <w:rPr>
          <w:rFonts w:ascii="Arial" w:hAnsi="Arial" w:cs="Arial"/>
          <w:color w:val="000000"/>
        </w:rPr>
      </w:pPr>
      <w:r>
        <w:rPr>
          <w:rFonts w:cs="Arial" w:ascii="Arial" w:hAnsi="Arial"/>
          <w:color w:val="000000"/>
        </w:rPr>
        <w:t>1.10. Требования настоящего Положения не распространяются на:</w:t>
      </w:r>
    </w:p>
    <w:p>
      <w:pPr>
        <w:pStyle w:val="MainText"/>
        <w:rPr>
          <w:rFonts w:ascii="Arial" w:hAnsi="Arial" w:cs="Arial"/>
          <w:color w:val="000000"/>
        </w:rPr>
      </w:pPr>
      <w:r>
        <w:rPr>
          <w:rFonts w:cs="Arial" w:ascii="Arial" w:hAnsi="Arial"/>
          <w:color w:val="000000"/>
        </w:rPr>
        <w:t>финансовые активы, отражаемые в бухгалтерском учете по рыночной стоимости, по которым осуществляется переоценка в соответствии с нормативными актами Банка России;</w:t>
      </w:r>
    </w:p>
    <w:p>
      <w:pPr>
        <w:pStyle w:val="MainText"/>
        <w:rPr>
          <w:rFonts w:ascii="Arial" w:hAnsi="Arial" w:cs="Arial"/>
          <w:color w:val="000000"/>
        </w:rPr>
      </w:pPr>
      <w:r>
        <w:rPr>
          <w:rFonts w:cs="Arial" w:ascii="Arial" w:hAnsi="Arial"/>
          <w:color w:val="000000"/>
        </w:rPr>
        <w:t>финансовые активы, являющиеся элементами расчетной базы в соответствии с Положением Банка России от 9 июля 2003 года № 232-П “О порядке формирования кредитными организациями резервов на возможные потери”, зарегистрированным Министерством юстиции Российской Федерации 24 июля 2003 года № 4922 (“Вестник Банка России” от 6 августа 2003 года № 45) (далее — Положение Банка России № 232-П).</w:t>
      </w:r>
    </w:p>
    <w:p>
      <w:pPr>
        <w:pStyle w:val="MGlavaCenter"/>
        <w:keepLines/>
        <w:spacing w:before="120" w:after="120"/>
        <w:rPr>
          <w:rFonts w:ascii="Arial" w:hAnsi="Arial" w:cs="Arial"/>
          <w:color w:val="000000"/>
        </w:rPr>
      </w:pPr>
      <w:r>
        <w:rPr>
          <w:rFonts w:cs="Arial" w:ascii="Arial" w:hAnsi="Arial"/>
          <w:color w:val="000000"/>
        </w:rPr>
        <w:t>Глава 2. Общие требования по оценке кредитных рисков</w:t>
      </w:r>
    </w:p>
    <w:p>
      <w:pPr>
        <w:pStyle w:val="MainText"/>
        <w:rPr>
          <w:rFonts w:ascii="Arial" w:hAnsi="Arial" w:cs="Arial"/>
          <w:color w:val="000000"/>
        </w:rPr>
      </w:pPr>
      <w:r>
        <w:rPr>
          <w:rFonts w:cs="Arial" w:ascii="Arial" w:hAnsi="Arial"/>
          <w:color w:val="000000"/>
        </w:rPr>
        <w:t>2.1. Оценка кредитного риска, классификация и оценка ссуды, определение размера расчетного резерва и резерва производятся при возникновении оснований, предусмотренных настоящим Положением, но не реже одного раза в месяц на отчетную дату. Оценка кредитного риска и определение резерва по ссудам, сгруппированным в портфель однородных ссуд, производится в соответствии с требованиями главы 5 и приложением 4 к настоящему Положению.</w:t>
      </w:r>
    </w:p>
    <w:p>
      <w:pPr>
        <w:pStyle w:val="MainText"/>
        <w:rPr>
          <w:rFonts w:ascii="Arial" w:hAnsi="Arial" w:cs="Arial"/>
          <w:color w:val="000000"/>
        </w:rPr>
      </w:pPr>
      <w:r>
        <w:rPr>
          <w:rFonts w:cs="Arial" w:ascii="Arial" w:hAnsi="Arial"/>
          <w:color w:val="000000"/>
        </w:rPr>
        <w:t>2.2. Оценка ссуды и определение размера расчетного резерва и резерва осуществляется кредитными организациями самостоятельно на основе профессионального суждения, за исключением случаев, когда оценка ссуды и(или) определение размера резерва производится на основании оценки Банка России в соответствии со статьей 72 Федерального закона “О Центральном банке Российской Федерации (Банке России)” и с главой 7 настоящего Положения.</w:t>
      </w:r>
    </w:p>
    <w:p>
      <w:pPr>
        <w:pStyle w:val="MainText"/>
        <w:rPr>
          <w:rFonts w:ascii="Arial" w:hAnsi="Arial" w:cs="Arial"/>
          <w:color w:val="000000"/>
        </w:rPr>
      </w:pPr>
      <w:r>
        <w:rPr>
          <w:rFonts w:cs="Arial" w:ascii="Arial" w:hAnsi="Arial"/>
          <w:color w:val="000000"/>
        </w:rPr>
        <w:t>2.3. Внутренние документы кредитной организации по вопросам классификации ссуд и формирования резерва (далее — внутренние документы), принимаемые уполномоченным органом (уполномоченными органами) кредитной организации, должны соответствовать требованиям настоящего Положения и иных нормативных правовых актов по вопросам кредитной политики кредитных организаций и(или) методов ее реализации.</w:t>
      </w:r>
    </w:p>
    <w:p>
      <w:pPr>
        <w:pStyle w:val="MainText"/>
        <w:rPr>
          <w:rFonts w:ascii="Arial" w:hAnsi="Arial" w:cs="Arial"/>
          <w:color w:val="000000"/>
        </w:rPr>
      </w:pPr>
      <w:r>
        <w:rPr>
          <w:rFonts w:cs="Arial" w:ascii="Arial" w:hAnsi="Arial"/>
          <w:color w:val="000000"/>
        </w:rPr>
        <w:t>Кредитная организация отражает во внутренних документах:</w:t>
      </w:r>
    </w:p>
    <w:p>
      <w:pPr>
        <w:pStyle w:val="MainText"/>
        <w:rPr>
          <w:rFonts w:ascii="Arial" w:hAnsi="Arial" w:cs="Arial"/>
          <w:color w:val="000000"/>
        </w:rPr>
      </w:pPr>
      <w:r>
        <w:rPr>
          <w:rFonts w:cs="Arial" w:ascii="Arial" w:hAnsi="Arial"/>
          <w:color w:val="000000"/>
        </w:rPr>
        <w:t>систему оценки кредитного риска по ссудам, позволяющую классифицировать ссуды по категориям качества, предусмотренным настоящим Положением, в том числе содержащую более детализированные процедуры оценки качества ссуд и формирования резерва, чем это предусмотрено настоящим Положением;</w:t>
      </w:r>
    </w:p>
    <w:p>
      <w:pPr>
        <w:pStyle w:val="MainText"/>
        <w:rPr>
          <w:rFonts w:ascii="Arial" w:hAnsi="Arial" w:cs="Arial"/>
          <w:color w:val="000000"/>
        </w:rPr>
      </w:pPr>
      <w:r>
        <w:rPr>
          <w:rFonts w:cs="Arial" w:ascii="Arial" w:hAnsi="Arial"/>
          <w:color w:val="000000"/>
        </w:rPr>
        <w:t>порядок оценки ссуд, в том числе критерии оценки ссуд, порядок документального оформления и подтверждения оценки ссуд;</w:t>
      </w:r>
    </w:p>
    <w:p>
      <w:pPr>
        <w:pStyle w:val="MainText"/>
        <w:rPr>
          <w:rFonts w:ascii="Arial" w:hAnsi="Arial" w:cs="Arial"/>
          <w:color w:val="000000"/>
        </w:rPr>
      </w:pPr>
      <w:r>
        <w:rPr>
          <w:rFonts w:cs="Arial" w:ascii="Arial" w:hAnsi="Arial"/>
          <w:color w:val="000000"/>
        </w:rPr>
        <w:t>процедуры принятия и исполнения решений по формированию резерва;</w:t>
      </w:r>
    </w:p>
    <w:p>
      <w:pPr>
        <w:pStyle w:val="MainText"/>
        <w:rPr>
          <w:rFonts w:ascii="Arial" w:hAnsi="Arial" w:cs="Arial"/>
          <w:color w:val="000000"/>
        </w:rPr>
      </w:pPr>
      <w:r>
        <w:rPr>
          <w:rFonts w:cs="Arial" w:ascii="Arial" w:hAnsi="Arial"/>
          <w:color w:val="000000"/>
        </w:rPr>
        <w:t>процедуры принятия и исполнения решений по списанию с баланса кредитной организации нереальных для взыскания ссуд, то есть ссуд, в отношении которых кредитной организацией предприняты все необходимые и достаточные юридические и фактические действия по их взысканию, а также по реализации прав, вытекающих из наличия обеспечения по ссуде (реализация залога, обращение требования к гаранту (поручителю), и проведение дальнейших действий по взысканию ссуды либо по реализации прав, вытекающих из наличия обеспечения по ссуде, юридически невозможно и(или) когда предполагаемые издержки кредитной организации будут выше получаемого результата, включая указания на документы и(или) акты уполномоченных государственных органов, необходимые и достаточные для принятия решения о списании ссуды с баланса кредитной организации;</w:t>
      </w:r>
    </w:p>
    <w:p>
      <w:pPr>
        <w:pStyle w:val="MainText"/>
        <w:rPr>
          <w:rFonts w:ascii="Arial" w:hAnsi="Arial" w:cs="Arial"/>
          <w:color w:val="000000"/>
        </w:rPr>
      </w:pPr>
      <w:r>
        <w:rPr>
          <w:rFonts w:cs="Arial" w:ascii="Arial" w:hAnsi="Arial"/>
          <w:color w:val="000000"/>
        </w:rPr>
        <w:t>описание методов, правил и процедур, используемых при оценке финансового положения заемщика, перечень основных используемых источников информации по данному вопросу, круг сведений, необходимых для оценки финансового положения заемщика, а также полномочия работников кредитной организации, участвующих в проведении указанной оценки;</w:t>
      </w:r>
    </w:p>
    <w:p>
      <w:pPr>
        <w:pStyle w:val="MainText"/>
        <w:rPr>
          <w:rFonts w:ascii="Arial" w:hAnsi="Arial" w:cs="Arial"/>
          <w:color w:val="000000"/>
        </w:rPr>
      </w:pPr>
      <w:r>
        <w:rPr>
          <w:rFonts w:cs="Arial" w:ascii="Arial" w:hAnsi="Arial"/>
          <w:color w:val="000000"/>
        </w:rPr>
        <w:t>порядок составления и дальнейшего ведения досье заемщика;</w:t>
      </w:r>
    </w:p>
    <w:p>
      <w:pPr>
        <w:pStyle w:val="MainText"/>
        <w:rPr>
          <w:rFonts w:ascii="Arial" w:hAnsi="Arial" w:cs="Arial"/>
          <w:color w:val="000000"/>
        </w:rPr>
      </w:pPr>
      <w:r>
        <w:rPr>
          <w:rFonts w:cs="Arial" w:ascii="Arial" w:hAnsi="Arial"/>
          <w:color w:val="000000"/>
        </w:rPr>
        <w:t>порядок и периодичность определения справедливой стоимости залога, то есть такой его цены, по которой залогодатель в случае, если бы он являлся продавцом имущества, предоставленного в залог, имеющий полную информацию о стоимости имущества и не обязанный его продавать, согласен был бы его продать, а покупатель, имеющий полную информацию о стоимости указанного имущества и не обязанный его приобрести, согласен был бы его приобрести в разумно короткий срок, не превышающий 180 календарных дней (далее — справедливая стоимость залога);</w:t>
      </w:r>
    </w:p>
    <w:p>
      <w:pPr>
        <w:pStyle w:val="MainText"/>
        <w:rPr>
          <w:rFonts w:ascii="Arial" w:hAnsi="Arial" w:cs="Arial"/>
          <w:color w:val="000000"/>
        </w:rPr>
      </w:pPr>
      <w:r>
        <w:rPr>
          <w:rFonts w:cs="Arial" w:ascii="Arial" w:hAnsi="Arial"/>
          <w:color w:val="000000"/>
        </w:rPr>
        <w:t>порядок и периодичность оценки ликвидности залога, а также порядок определения размера резерва с учетом обеспечения по ссуде;</w:t>
      </w:r>
    </w:p>
    <w:p>
      <w:pPr>
        <w:pStyle w:val="MainText"/>
        <w:rPr>
          <w:rFonts w:ascii="Arial" w:hAnsi="Arial" w:cs="Arial"/>
          <w:color w:val="000000"/>
        </w:rPr>
      </w:pPr>
      <w:r>
        <w:rPr>
          <w:rFonts w:cs="Arial" w:ascii="Arial" w:hAnsi="Arial"/>
          <w:color w:val="000000"/>
        </w:rPr>
        <w:t>порядок оценки кредитного риска по портфелю однородных ссуд;</w:t>
      </w:r>
    </w:p>
    <w:p>
      <w:pPr>
        <w:pStyle w:val="MainText"/>
        <w:rPr>
          <w:rFonts w:ascii="Arial" w:hAnsi="Arial" w:cs="Arial"/>
          <w:color w:val="000000"/>
        </w:rPr>
      </w:pPr>
      <w:r>
        <w:rPr>
          <w:rFonts w:cs="Arial" w:ascii="Arial" w:hAnsi="Arial"/>
          <w:color w:val="000000"/>
        </w:rPr>
        <w:t>порядок и периодичность формирования (регулирования) резерва;</w:t>
      </w:r>
    </w:p>
    <w:p>
      <w:pPr>
        <w:pStyle w:val="MainText"/>
        <w:rPr>
          <w:rFonts w:ascii="Arial" w:hAnsi="Arial" w:cs="Arial"/>
          <w:color w:val="000000"/>
        </w:rPr>
      </w:pPr>
      <w:r>
        <w:rPr>
          <w:rFonts w:cs="Arial" w:ascii="Arial" w:hAnsi="Arial"/>
          <w:color w:val="000000"/>
        </w:rPr>
        <w:t>иные существенные положения.</w:t>
      </w:r>
    </w:p>
    <w:p>
      <w:pPr>
        <w:pStyle w:val="MainText"/>
        <w:rPr>
          <w:rFonts w:ascii="Arial" w:hAnsi="Arial" w:cs="Arial"/>
          <w:color w:val="000000"/>
        </w:rPr>
      </w:pPr>
      <w:r>
        <w:rPr>
          <w:rFonts w:cs="Arial" w:ascii="Arial" w:hAnsi="Arial"/>
          <w:color w:val="000000"/>
        </w:rPr>
        <w:t>2.4. Кредитная организация раскрывает информацию о кредитной политике (правилах, процедурах, методиках), которая применяется при классификации ссуд и формировании резерва по соответствующим типам и видам ссуд, включая отраслевые, территориальные и иные аспекты, а также по портфелям однородных ссуд, в составе отчетности, представляемой в соответствии с требованиями нормативных актов Банка России.</w:t>
      </w:r>
    </w:p>
    <w:p>
      <w:pPr>
        <w:pStyle w:val="MGlavaCenter"/>
        <w:keepLines/>
        <w:spacing w:before="120" w:after="120"/>
        <w:rPr>
          <w:rFonts w:ascii="Arial" w:hAnsi="Arial" w:cs="Arial"/>
          <w:color w:val="000000"/>
        </w:rPr>
      </w:pPr>
      <w:r>
        <w:rPr>
          <w:rFonts w:cs="Arial" w:ascii="Arial" w:hAnsi="Arial"/>
          <w:color w:val="000000"/>
        </w:rPr>
        <w:t>Глава 3. Оценка кредитного риска по выданной ссуде</w:t>
      </w:r>
    </w:p>
    <w:p>
      <w:pPr>
        <w:pStyle w:val="MainText"/>
        <w:rPr>
          <w:rFonts w:ascii="Arial" w:hAnsi="Arial" w:cs="Arial"/>
          <w:color w:val="000000"/>
        </w:rPr>
      </w:pPr>
      <w:r>
        <w:rPr>
          <w:rFonts w:cs="Arial" w:ascii="Arial" w:hAnsi="Arial"/>
          <w:color w:val="000000"/>
        </w:rPr>
        <w:t>3.1. Оценка кредитного риска по каждой выданной ссуде (профессиональное суждение) должна проводиться кредитной организацией на постоянной основе.</w:t>
      </w:r>
    </w:p>
    <w:p>
      <w:pPr>
        <w:pStyle w:val="MainText"/>
        <w:rPr>
          <w:rFonts w:ascii="Arial" w:hAnsi="Arial" w:cs="Arial"/>
          <w:color w:val="000000"/>
        </w:rPr>
      </w:pPr>
      <w:r>
        <w:rPr>
          <w:rFonts w:cs="Arial" w:ascii="Arial" w:hAnsi="Arial"/>
          <w:color w:val="000000"/>
        </w:rPr>
        <w:t>3.1.1. Профессиональное суждение выносится по результатам комплексного и объективного анализа деятельности заемщика с учетом его финансового положения, качества обслуживания заемщиком долга по ссуде, а также всей имеющейся в распоряжении кредитной организации информации о любых рисках заемщика, включая сведения о внешних обязательствах заемщика, о функционировании рынка (рынков), на котором (которых) работает заемщик.</w:t>
      </w:r>
    </w:p>
    <w:p>
      <w:pPr>
        <w:pStyle w:val="MainText"/>
        <w:rPr>
          <w:rFonts w:ascii="Arial" w:hAnsi="Arial" w:cs="Arial"/>
          <w:color w:val="000000"/>
        </w:rPr>
      </w:pPr>
      <w:r>
        <w:rPr>
          <w:rFonts w:cs="Arial" w:ascii="Arial" w:hAnsi="Arial"/>
          <w:color w:val="000000"/>
        </w:rPr>
        <w:t>3.1.2. Источниками получения информации о рисках заемщика являются правоустанавливающие документы заемщика, его бухгалтерская, налоговая, статистическая и иная отчетность, дополнительно предоставляемые заемщиком сведения, средства массовой информации и другие источники, определяемые кредитной организацией самостоятельно. Кредитная организация должна обеспечить получение информации, необходимой и достаточной для формирования профессионального суждения о размере расчетного резерва.</w:t>
      </w:r>
    </w:p>
    <w:p>
      <w:pPr>
        <w:pStyle w:val="MainText"/>
        <w:rPr>
          <w:rFonts w:ascii="Arial" w:hAnsi="Arial" w:cs="Arial"/>
          <w:color w:val="000000"/>
        </w:rPr>
      </w:pPr>
      <w:r>
        <w:rPr>
          <w:rFonts w:cs="Arial" w:ascii="Arial" w:hAnsi="Arial"/>
          <w:color w:val="000000"/>
        </w:rPr>
        <w:t>3.1.3. Вся информация о заемщике, включая информацию о рисках заемщика, фиксируется в досье заемщика. Информация, использованная кредитной организацией для оценки качества ссуды, включая оценку финансового положения заемщика, должна быть доступна органам управления, подразделениям внутреннего контроля кредитной организации, аудиторам и органам банковского надзора.</w:t>
      </w:r>
    </w:p>
    <w:p>
      <w:pPr>
        <w:pStyle w:val="MainText"/>
        <w:rPr>
          <w:rFonts w:ascii="Arial" w:hAnsi="Arial" w:cs="Arial"/>
          <w:color w:val="000000"/>
        </w:rPr>
      </w:pPr>
      <w:r>
        <w:rPr>
          <w:rFonts w:cs="Arial" w:ascii="Arial" w:hAnsi="Arial"/>
          <w:color w:val="000000"/>
        </w:rPr>
        <w:t>3.1.4. Формирование (регулирование) резерва осуществляется кредитной организацией на момент получения информации о появлении (изменении) кредитного риска и(или) качества обеспечения ссуды. При изменении финансового положения заемщика, изменении качества обслуживания ссуды, а также при наличии иных сведений о рисках заемщика кредитная организация обязана осуществить реклассификацию ссуды и при наличии оснований уточнить размер резерва.</w:t>
      </w:r>
    </w:p>
    <w:p>
      <w:pPr>
        <w:pStyle w:val="MainText"/>
        <w:rPr>
          <w:rFonts w:ascii="Arial" w:hAnsi="Arial" w:cs="Arial"/>
          <w:color w:val="000000"/>
        </w:rPr>
      </w:pPr>
      <w:r>
        <w:rPr>
          <w:rFonts w:cs="Arial" w:ascii="Arial" w:hAnsi="Arial"/>
          <w:color w:val="000000"/>
        </w:rPr>
        <w:t>3.1.5. Кредитная организация в порядке, установленном уполномоченным органом (уполномоченными органами) кредитной организации, документально оформляет и включает в досье заемщика информацию о заемщике, включая профессиональное суждение кредитной организации об уровне кредитного риска по ссуде, информацию об анализе, по результатам которого вынесено профессиональное суждение, заключение о результатах оценки финансового положения заемщика, расчет резерва. Указанные документы составляются:</w:t>
      </w:r>
    </w:p>
    <w:p>
      <w:pPr>
        <w:pStyle w:val="MainText"/>
        <w:rPr>
          <w:rFonts w:ascii="Arial" w:hAnsi="Arial" w:cs="Arial"/>
          <w:color w:val="000000"/>
        </w:rPr>
      </w:pPr>
      <w:r>
        <w:rPr>
          <w:rFonts w:cs="Arial" w:ascii="Arial" w:hAnsi="Arial"/>
          <w:color w:val="000000"/>
        </w:rPr>
        <w:t>по ссудам, предоставленным физическим лицам, — не реже одного раза в квартал по состоянию на отчетную дату;</w:t>
      </w:r>
    </w:p>
    <w:p>
      <w:pPr>
        <w:pStyle w:val="MainText"/>
        <w:rPr>
          <w:rFonts w:ascii="Arial" w:hAnsi="Arial" w:cs="Arial"/>
          <w:color w:val="000000"/>
        </w:rPr>
      </w:pPr>
      <w:r>
        <w:rPr>
          <w:rFonts w:cs="Arial" w:ascii="Arial" w:hAnsi="Arial"/>
          <w:color w:val="000000"/>
        </w:rPr>
        <w:t>по юридическим лицам, не являющимся кредитными организациями, — не реже одного раза в квартал по состоянию на дату, следующую за отчетной;</w:t>
      </w:r>
    </w:p>
    <w:p>
      <w:pPr>
        <w:pStyle w:val="MainText"/>
        <w:rPr>
          <w:rFonts w:ascii="Arial" w:hAnsi="Arial" w:cs="Arial"/>
          <w:color w:val="000000"/>
        </w:rPr>
      </w:pPr>
      <w:r>
        <w:rPr>
          <w:rFonts w:cs="Arial" w:ascii="Arial" w:hAnsi="Arial"/>
          <w:color w:val="000000"/>
        </w:rPr>
        <w:t>по ссудам, предоставленным кредитным организациям, — не реже одного раза в месяц по состоянию на отчетную дату.</w:t>
      </w:r>
    </w:p>
    <w:p>
      <w:pPr>
        <w:pStyle w:val="MainText"/>
        <w:rPr>
          <w:rFonts w:ascii="Arial" w:hAnsi="Arial" w:cs="Arial"/>
          <w:color w:val="000000"/>
        </w:rPr>
      </w:pPr>
      <w:r>
        <w:rPr>
          <w:rFonts w:cs="Arial" w:ascii="Arial" w:hAnsi="Arial"/>
          <w:color w:val="000000"/>
        </w:rPr>
        <w:t>При изменении суммы основного долга по ссуде, кроме случаев изменения суммы основного долга в связи с изменением курса иностранной валюты к рублю, в которой номинирована ссуда, размер резерва по ссуде регулируется на момент изменения суммы основного долга.</w:t>
      </w:r>
    </w:p>
    <w:p>
      <w:pPr>
        <w:pStyle w:val="MainText"/>
        <w:rPr>
          <w:rFonts w:ascii="Arial" w:hAnsi="Arial" w:cs="Arial"/>
          <w:color w:val="000000"/>
        </w:rPr>
      </w:pPr>
      <w:r>
        <w:rPr>
          <w:rFonts w:cs="Arial" w:ascii="Arial" w:hAnsi="Arial"/>
          <w:color w:val="000000"/>
        </w:rPr>
        <w:t>При изменении суммы основного долга по ссуде в связи с изменением курса иностранной валюты к рублю, в которой номинирована ссуда, размер резерва по ссуде регулируется не реже одного раза в месяц на отчетную дату.</w:t>
      </w:r>
    </w:p>
    <w:p>
      <w:pPr>
        <w:pStyle w:val="MainText"/>
        <w:rPr>
          <w:rFonts w:ascii="Arial" w:hAnsi="Arial" w:cs="Arial"/>
          <w:color w:val="000000"/>
        </w:rPr>
      </w:pPr>
      <w:r>
        <w:rPr>
          <w:rFonts w:cs="Arial" w:ascii="Arial" w:hAnsi="Arial"/>
          <w:color w:val="000000"/>
        </w:rPr>
        <w:t>3.2. Финансовое положение заемщика оценивается в соответствии с методикой (методиками), утвержденной (утвержденными) внутренними документами кредитной организации, соответствующими требованиям настоящего Положения.</w:t>
      </w:r>
    </w:p>
    <w:p>
      <w:pPr>
        <w:pStyle w:val="MainText"/>
        <w:rPr>
          <w:rFonts w:ascii="Arial" w:hAnsi="Arial" w:cs="Arial"/>
          <w:color w:val="000000"/>
        </w:rPr>
      </w:pPr>
      <w:r>
        <w:rPr>
          <w:rFonts w:cs="Arial" w:ascii="Arial" w:hAnsi="Arial"/>
          <w:color w:val="000000"/>
        </w:rPr>
        <w:t>3.2.1. Примерный перечень информации, которую кредитная организация может использовать для анализа финансового положения заемщика в момент выдачи ссуды и в течение периода ее нахождения на балансе, приведены в приложении 2 к настоящему Положению.</w:t>
      </w:r>
    </w:p>
    <w:p>
      <w:pPr>
        <w:pStyle w:val="MainText"/>
        <w:rPr>
          <w:rFonts w:ascii="Arial" w:hAnsi="Arial" w:cs="Arial"/>
          <w:color w:val="000000"/>
        </w:rPr>
      </w:pPr>
      <w:r>
        <w:rPr>
          <w:rFonts w:cs="Arial" w:ascii="Arial" w:hAnsi="Arial"/>
          <w:color w:val="000000"/>
        </w:rPr>
        <w:t>3.2.2. Перечень показателей, используемых для анализа финансового положения заемщика, и порядок их расчета определяются кредитной организацией самостоятельно в зависимости от отрасли и сферы деятельности заемщика, задач анализа, с учетом всей имеющейся информации как на отчетные, так и на внутримесячные (внутриквартальные) даты.</w:t>
      </w:r>
    </w:p>
    <w:p>
      <w:pPr>
        <w:pStyle w:val="MainText"/>
        <w:rPr>
          <w:rFonts w:ascii="Arial" w:hAnsi="Arial" w:cs="Arial"/>
          <w:color w:val="000000"/>
        </w:rPr>
      </w:pPr>
      <w:r>
        <w:rPr>
          <w:rFonts w:cs="Arial" w:ascii="Arial" w:hAnsi="Arial"/>
          <w:color w:val="000000"/>
        </w:rPr>
        <w:t>Значения показателей, несоответствие которым позволяет оценить на основании пункта 3.3 настоящего Положения финансовое положение заемщика не лучше, чем среднее, должны быть определены в отношении отдельных ссуд (совокупности ссуд, предоставленных одному заемщику) величиной пять процентов и более от величины собственных средств (капитала) кредитной организации. Величина собственных средств (капитала) кредитной организации определяется в соответствии с Положением Банка России от 10 февраля 2003 года № 215-П “О методике определения собственных средств (капитала) кредитных организаций”, зарегистрированным Министерством юстиции Российской Федерации 17 марта 2003 года № 4269 (“Вестник Банка России” от 20 марта 2003 года № 15). Кредитная организация вправе определять значения показателей в отношении других ссуд.</w:t>
      </w:r>
    </w:p>
    <w:p>
      <w:pPr>
        <w:pStyle w:val="MainText"/>
        <w:rPr>
          <w:rFonts w:ascii="Arial" w:hAnsi="Arial" w:cs="Arial"/>
          <w:color w:val="000000"/>
        </w:rPr>
      </w:pPr>
      <w:r>
        <w:rPr>
          <w:rFonts w:cs="Arial" w:ascii="Arial" w:hAnsi="Arial"/>
          <w:color w:val="000000"/>
        </w:rPr>
        <w:t>3.3. Финансовое положение заемщика:</w:t>
      </w:r>
    </w:p>
    <w:p>
      <w:pPr>
        <w:pStyle w:val="MainText"/>
        <w:rPr>
          <w:rFonts w:ascii="Arial" w:hAnsi="Arial" w:cs="Arial"/>
          <w:color w:val="000000"/>
        </w:rPr>
      </w:pPr>
      <w:r>
        <w:rPr>
          <w:rFonts w:cs="Arial" w:ascii="Arial" w:hAnsi="Arial"/>
          <w:color w:val="000000"/>
        </w:rPr>
        <w:t>может быть оценено как хорошее, если комплексный анализ производственной и финансово-хозяйственной деятельности заемщика и иные сведения о нем, включая информацию о внешних условиях, свидетельствуют о стабильности производства, положительной величине чистых активов, рентабельности и платежеспособности и отсутствуют какие-либо негативные явления (тенденции), способные повлиять на финансовую устойчивость заемщика в перспективе. К негативным явлениям (тенденциям) могут быть отнесены не связанные с сезонными факторами существенное снижение темпов роста объемов производства, показателей рентабельности, существенный рост кредиторской и(или) дебиторской задолженности, другие явления;</w:t>
      </w:r>
    </w:p>
    <w:p>
      <w:pPr>
        <w:pStyle w:val="MainText"/>
        <w:rPr>
          <w:rFonts w:ascii="Arial" w:hAnsi="Arial" w:cs="Arial"/>
          <w:color w:val="000000"/>
        </w:rPr>
      </w:pPr>
      <w:r>
        <w:rPr>
          <w:rFonts w:cs="Arial" w:ascii="Arial" w:hAnsi="Arial"/>
          <w:color w:val="000000"/>
        </w:rPr>
        <w:t>оценивается не лучше, чем среднее, если комплексный анализ производственной и финансово-хозяйственной деятельности заемщика и(или) иные сведения о нем свидетельствуют об отсутствии прямых угроз текущему финансовому положению при наличии в деятельности заемщика негативных явлений (тенденций), которые в обозримой перспективе (год или менее) могут привести к появлению финансовых трудностей, если заемщиком не будут приняты меры, позволяющие улучшить ситуацию;</w:t>
      </w:r>
    </w:p>
    <w:p>
      <w:pPr>
        <w:pStyle w:val="MainText"/>
        <w:rPr>
          <w:rFonts w:ascii="Arial" w:hAnsi="Arial" w:cs="Arial"/>
          <w:color w:val="000000"/>
        </w:rPr>
      </w:pPr>
      <w:r>
        <w:rPr>
          <w:rFonts w:cs="Arial" w:ascii="Arial" w:hAnsi="Arial"/>
          <w:color w:val="000000"/>
        </w:rPr>
        <w:t>оценивается как плохое, если заемщик признан несостоятельным (банкротом) в соответствии с законодательством либо если он является устойчиво неплатежеспособным, а также если анализ производственной и(или) финансово-хозяйственной деятельности заемщика и(или) иные сведения о нем свидетельствуют об угрожающих негативных явлениях (тенденциях), вероятным результатом которых могут явиться несостоятельность (банкротство) либо устойчивая неплатежеспособность заемщика. К угрожающим негативным явлениям (тенденциям) в деятельности заемщика могут относиться: убыточная деятельность, отрицательная величина либо существенное сокращение чистых активов, существенное падение объемов производства, существенный рост кредиторской и(или) дебиторской задолженности, другие явления.</w:t>
      </w:r>
    </w:p>
    <w:p>
      <w:pPr>
        <w:pStyle w:val="MainText"/>
        <w:rPr>
          <w:rFonts w:ascii="Arial" w:hAnsi="Arial" w:cs="Arial"/>
          <w:color w:val="000000"/>
        </w:rPr>
      </w:pPr>
      <w:r>
        <w:rPr>
          <w:rFonts w:cs="Arial" w:ascii="Arial" w:hAnsi="Arial"/>
          <w:color w:val="000000"/>
        </w:rPr>
        <w:t>3.4. Финансовое положение заемщика не может быть оценено как хорошее в следующих случаях.</w:t>
      </w:r>
    </w:p>
    <w:p>
      <w:pPr>
        <w:pStyle w:val="MainText"/>
        <w:rPr>
          <w:rFonts w:ascii="Arial" w:hAnsi="Arial" w:cs="Arial"/>
          <w:color w:val="000000"/>
        </w:rPr>
      </w:pPr>
      <w:r>
        <w:rPr>
          <w:rFonts w:cs="Arial" w:ascii="Arial" w:hAnsi="Arial"/>
          <w:color w:val="000000"/>
        </w:rPr>
        <w:t>3.4.1. Если в отношении для заемщика — юридического лица выявлено хотя бы одно из следующих обстоятельств:</w:t>
      </w:r>
    </w:p>
    <w:p>
      <w:pPr>
        <w:pStyle w:val="MainText"/>
        <w:rPr>
          <w:rFonts w:ascii="Arial" w:hAnsi="Arial" w:cs="Arial"/>
          <w:color w:val="000000"/>
        </w:rPr>
      </w:pPr>
      <w:r>
        <w:rPr>
          <w:rFonts w:cs="Arial" w:ascii="Arial" w:hAnsi="Arial"/>
          <w:color w:val="000000"/>
        </w:rPr>
        <w:t>наличие текущей картотеки неоплаченных расчетных документов к банковским счетам заемщика; наличие просроченной задолженности перед федеральным бюджетом, бюджетами субъектов Российской Федерации, местными бюджетами и внебюджетными фондами; наличие просроченной задолженности перед работниками по заработной плате;</w:t>
      </w:r>
    </w:p>
    <w:p>
      <w:pPr>
        <w:pStyle w:val="MainText"/>
        <w:rPr>
          <w:rFonts w:ascii="Arial" w:hAnsi="Arial" w:cs="Arial"/>
          <w:color w:val="000000"/>
        </w:rPr>
      </w:pPr>
      <w:r>
        <w:rPr>
          <w:rFonts w:cs="Arial" w:ascii="Arial" w:hAnsi="Arial"/>
          <w:color w:val="000000"/>
        </w:rPr>
        <w:t>наличие информации о несоблюдении заемщиком — кредитной организацией норматива достаточности капитала (Н1) и(или) применении Банком России к заемщику — кредитной организации принудительных мер воздействия в соответствии с пунктом 10.4 Инструкции Банка России от 16 января 2004 года № 110-И “Об обязательных нормативах банков”, зарегистрированной Министерством юстиции Российской Федерации 6 февраля 2004 года № 5529 (“Вестник Банка России” от 11 февраля 2004 года № 11) (далее — Инструкция Банка России № 110-И), за несоблюдение норматива достаточности капитала (Н1);</w:t>
      </w:r>
    </w:p>
    <w:p>
      <w:pPr>
        <w:pStyle w:val="MainText"/>
        <w:rPr>
          <w:rFonts w:ascii="Arial" w:hAnsi="Arial" w:cs="Arial"/>
          <w:color w:val="000000"/>
        </w:rPr>
      </w:pPr>
      <w:r>
        <w:rPr>
          <w:rFonts w:cs="Arial" w:ascii="Arial" w:hAnsi="Arial"/>
          <w:color w:val="000000"/>
        </w:rPr>
        <w:t>наличие у заемщика скрытых потерь (например, неликвидных запасов готовой продукции и(или) требований, безнадежных ко взысканию) в размере, равном или превышающем 25 процентов его чистых активов (собственных средств (капитала);</w:t>
      </w:r>
    </w:p>
    <w:p>
      <w:pPr>
        <w:pStyle w:val="MainText"/>
        <w:rPr>
          <w:rFonts w:ascii="Arial" w:hAnsi="Arial" w:cs="Arial"/>
          <w:color w:val="000000"/>
        </w:rPr>
      </w:pPr>
      <w:r>
        <w:rPr>
          <w:rFonts w:cs="Arial" w:ascii="Arial" w:hAnsi="Arial"/>
          <w:color w:val="000000"/>
        </w:rPr>
        <w:t>случай (случаи) неисполнения в течение последнего года заемщиком обязательств по иным договорам с кредитной организацией — кредитором либо прекращение заемщиком обязательств по иным договорам с кредитной организацией — кредитором предоставлением взамен исполнения обязательства отступного в форме имущества, которое не реализовано кредитной организацией в течение 180 календарных дней или более;</w:t>
      </w:r>
    </w:p>
    <w:p>
      <w:pPr>
        <w:pStyle w:val="MainText"/>
        <w:rPr>
          <w:rFonts w:ascii="Arial" w:hAnsi="Arial" w:cs="Arial"/>
          <w:color w:val="000000"/>
        </w:rPr>
      </w:pPr>
      <w:r>
        <w:rPr>
          <w:rFonts w:cs="Arial" w:ascii="Arial" w:hAnsi="Arial"/>
          <w:color w:val="000000"/>
        </w:rPr>
        <w:t>не предусмотренная планом развития заемщика (бизнес-планом), согласованным с кредитной организацией, убыточная деятельность заемщика, приведшая к существенному (25 процентов и более) снижению его чистых активов (для кредитных организаций — собственных средств (капитала) по сравнению с их максимально достигнутым уровнем.</w:t>
      </w:r>
    </w:p>
    <w:p>
      <w:pPr>
        <w:pStyle w:val="MainText"/>
        <w:rPr>
          <w:rFonts w:ascii="Arial" w:hAnsi="Arial" w:cs="Arial"/>
          <w:color w:val="000000"/>
        </w:rPr>
      </w:pPr>
      <w:r>
        <w:rPr>
          <w:rFonts w:cs="Arial" w:ascii="Arial" w:hAnsi="Arial"/>
          <w:color w:val="000000"/>
        </w:rPr>
        <w:t>3.4.2. Если в отношении заемщика — физического лица стала известна информация о потере либо существенном снижении доходов или имущества, за счет которых предполагалось погашение задолженности физическим лицом (например, прекращение трудовых отношений между работодателем и физическим лицом при отсутствии у последнего существенных накоплений, наличие вступивших в силу решений суда о привлечении физического лица к уголовной ответственности в виде лишения свободы, наличие документально подтвержденных сведений об отзыве лицензии у кредитной организации, в которой размещен вклад физического лица, если невозвращение этого вклада окажет влияние на способность заемщика — физического лица выполнить свои обязательства по ссуде).</w:t>
      </w:r>
    </w:p>
    <w:p>
      <w:pPr>
        <w:pStyle w:val="MainText"/>
        <w:rPr>
          <w:rFonts w:ascii="Arial" w:hAnsi="Arial" w:cs="Arial"/>
          <w:color w:val="000000"/>
        </w:rPr>
      </w:pPr>
      <w:r>
        <w:rPr>
          <w:rFonts w:cs="Arial" w:ascii="Arial" w:hAnsi="Arial"/>
          <w:color w:val="000000"/>
        </w:rPr>
        <w:t>3.5. На всех этапах оценки финансового положения заемщика кредитная организация учитывает вероятность наличия неполной и(или) необъективной информации о заемщике.</w:t>
      </w:r>
    </w:p>
    <w:p>
      <w:pPr>
        <w:pStyle w:val="MainText"/>
        <w:rPr>
          <w:rFonts w:ascii="Arial" w:hAnsi="Arial" w:cs="Arial"/>
          <w:color w:val="000000"/>
        </w:rPr>
      </w:pPr>
      <w:r>
        <w:rPr>
          <w:rFonts w:cs="Arial" w:ascii="Arial" w:hAnsi="Arial"/>
          <w:color w:val="000000"/>
        </w:rPr>
        <w:t>3.6. В рамках системы внутреннего контроля кредитная организация осуществляет контроль за правильностью оценки ссуд и определения размера резервов в первую очередь в случаях, если:</w:t>
      </w:r>
    </w:p>
    <w:p>
      <w:pPr>
        <w:pStyle w:val="MainText"/>
        <w:rPr>
          <w:rFonts w:ascii="Arial" w:hAnsi="Arial" w:cs="Arial"/>
          <w:color w:val="000000"/>
        </w:rPr>
      </w:pPr>
      <w:r>
        <w:rPr>
          <w:rFonts w:cs="Arial" w:ascii="Arial" w:hAnsi="Arial"/>
          <w:color w:val="000000"/>
        </w:rPr>
        <w:t>ссуды предоставлены связанным с кредитной организацией лицам и их величина составляет один процент и более от величины собственных средств (капитала) кредитной организации (связанными с кредитной организацией лицами признаются лица, указанные в Инструкции Банка России № 110-И);</w:t>
      </w:r>
    </w:p>
    <w:p>
      <w:pPr>
        <w:pStyle w:val="MainText"/>
        <w:rPr>
          <w:rFonts w:ascii="Arial" w:hAnsi="Arial" w:cs="Arial"/>
          <w:color w:val="000000"/>
        </w:rPr>
      </w:pPr>
      <w:r>
        <w:rPr>
          <w:rFonts w:cs="Arial" w:ascii="Arial" w:hAnsi="Arial"/>
          <w:color w:val="000000"/>
        </w:rPr>
        <w:t>величина ссуды составляет пять процентов и более от величины собственных средств (капитала) кредитной организации;</w:t>
      </w:r>
    </w:p>
    <w:p>
      <w:pPr>
        <w:pStyle w:val="MainText"/>
        <w:rPr>
          <w:rFonts w:ascii="Arial" w:hAnsi="Arial" w:cs="Arial"/>
          <w:color w:val="000000"/>
        </w:rPr>
      </w:pPr>
      <w:r>
        <w:rPr>
          <w:rFonts w:cs="Arial" w:ascii="Arial" w:hAnsi="Arial"/>
          <w:color w:val="000000"/>
        </w:rPr>
        <w:t>величина ссуды превышает 50 процентов чистых активов заемщика (группы связанных заемщиков, определенных в качестве таковых пунктом 4.6 Инструкции Банка России № 110-И);</w:t>
      </w:r>
    </w:p>
    <w:p>
      <w:pPr>
        <w:pStyle w:val="MainText"/>
        <w:rPr>
          <w:rFonts w:ascii="Arial" w:hAnsi="Arial" w:cs="Arial"/>
          <w:color w:val="000000"/>
        </w:rPr>
      </w:pPr>
      <w:r>
        <w:rPr>
          <w:rFonts w:cs="Arial" w:ascii="Arial" w:hAnsi="Arial"/>
          <w:color w:val="000000"/>
        </w:rPr>
        <w:t>ссуды возникли в результате прекращения ранее существовавших обязательств заемщика новацией, предоставлением отступного, включая случаи, когда предметом отступного являются права (требования) заемщика к должнику — третьему лицу, уступаемые им кредитной организации;</w:t>
      </w:r>
    </w:p>
    <w:p>
      <w:pPr>
        <w:pStyle w:val="MainText"/>
        <w:rPr>
          <w:rFonts w:ascii="Arial" w:hAnsi="Arial" w:cs="Arial"/>
          <w:color w:val="000000"/>
        </w:rPr>
      </w:pPr>
      <w:r>
        <w:rPr>
          <w:rFonts w:cs="Arial" w:ascii="Arial" w:hAnsi="Arial"/>
          <w:color w:val="000000"/>
        </w:rPr>
        <w:t>ссуда предоставлена на срок более полугода с выплатами по основному долгу и(или) по процентам не ранее, чем через шесть месяцев после выдачи ссуды.</w:t>
      </w:r>
    </w:p>
    <w:p>
      <w:pPr>
        <w:pStyle w:val="MainText"/>
        <w:rPr>
          <w:rFonts w:ascii="Arial" w:hAnsi="Arial" w:cs="Arial"/>
          <w:color w:val="000000"/>
        </w:rPr>
      </w:pPr>
      <w:r>
        <w:rPr>
          <w:rFonts w:cs="Arial" w:ascii="Arial" w:hAnsi="Arial"/>
          <w:color w:val="000000"/>
        </w:rPr>
        <w:t>3.7. В зависимости от качества обслуживания заемщиком долга ссуды относятся в одну из трех категорий: хорошее, среднее, неудовлетворительное обслуживание долга.</w:t>
      </w:r>
    </w:p>
    <w:p>
      <w:pPr>
        <w:pStyle w:val="MainText"/>
        <w:rPr>
          <w:rFonts w:ascii="Arial" w:hAnsi="Arial" w:cs="Arial"/>
          <w:color w:val="000000"/>
        </w:rPr>
      </w:pPr>
      <w:r>
        <w:rPr>
          <w:rFonts w:cs="Arial" w:ascii="Arial" w:hAnsi="Arial"/>
          <w:color w:val="000000"/>
        </w:rPr>
        <w:t>3.7.1. Обслуживание долга по ссуде может быть признано хорошим, если:</w:t>
      </w:r>
    </w:p>
    <w:p>
      <w:pPr>
        <w:pStyle w:val="MainText"/>
        <w:rPr>
          <w:rFonts w:ascii="Arial" w:hAnsi="Arial" w:cs="Arial"/>
          <w:color w:val="000000"/>
        </w:rPr>
      </w:pPr>
      <w:r>
        <w:rPr>
          <w:rFonts w:cs="Arial" w:ascii="Arial" w:hAnsi="Arial"/>
          <w:color w:val="000000"/>
        </w:rPr>
        <w:t>3.7.1.1. платежи по основному долгу и процентам осуществляются своевременно и в полном объеме;</w:t>
      </w:r>
    </w:p>
    <w:p>
      <w:pPr>
        <w:pStyle w:val="MainText"/>
        <w:rPr>
          <w:rFonts w:ascii="Arial" w:hAnsi="Arial" w:cs="Arial"/>
          <w:color w:val="000000"/>
        </w:rPr>
      </w:pPr>
      <w:r>
        <w:rPr>
          <w:rFonts w:cs="Arial" w:ascii="Arial" w:hAnsi="Arial"/>
          <w:color w:val="000000"/>
        </w:rPr>
        <w:t>3.7.1.2. имеется единичный случай просроченных платежей по основному долгу и(или) процентам в течение последних 180 календарных дней, в том числе:</w:t>
      </w:r>
    </w:p>
    <w:p>
      <w:pPr>
        <w:pStyle w:val="MainText"/>
        <w:rPr>
          <w:rFonts w:ascii="Arial" w:hAnsi="Arial" w:cs="Arial"/>
          <w:color w:val="000000"/>
        </w:rPr>
      </w:pPr>
      <w:r>
        <w:rPr>
          <w:rFonts w:cs="Arial" w:ascii="Arial" w:hAnsi="Arial"/>
          <w:color w:val="000000"/>
        </w:rPr>
        <w:t>по ссудам, предоставленным юридическим лицам, — до пяти календарных дней включительно,</w:t>
      </w:r>
    </w:p>
    <w:p>
      <w:pPr>
        <w:pStyle w:val="MainText"/>
        <w:rPr>
          <w:rFonts w:ascii="Arial" w:hAnsi="Arial" w:cs="Arial"/>
          <w:color w:val="000000"/>
        </w:rPr>
      </w:pPr>
      <w:r>
        <w:rPr>
          <w:rFonts w:cs="Arial" w:ascii="Arial" w:hAnsi="Arial"/>
          <w:color w:val="000000"/>
        </w:rPr>
        <w:t>по ссудам, предоставленным физическим лицам, — до 30 календарных дней включительно.</w:t>
      </w:r>
    </w:p>
    <w:p>
      <w:pPr>
        <w:pStyle w:val="MainText"/>
        <w:rPr>
          <w:rFonts w:ascii="Arial" w:hAnsi="Arial" w:cs="Arial"/>
          <w:color w:val="000000"/>
        </w:rPr>
      </w:pPr>
      <w:r>
        <w:rPr>
          <w:rFonts w:cs="Arial" w:ascii="Arial" w:hAnsi="Arial"/>
          <w:color w:val="000000"/>
        </w:rPr>
        <w:t>3.7.2. Обслуживание долга по ссуде не может быть признано хорошим, если:</w:t>
      </w:r>
    </w:p>
    <w:p>
      <w:pPr>
        <w:pStyle w:val="MainText"/>
        <w:rPr>
          <w:rFonts w:ascii="Arial" w:hAnsi="Arial" w:cs="Arial"/>
          <w:color w:val="000000"/>
        </w:rPr>
      </w:pPr>
      <w:r>
        <w:rPr>
          <w:rFonts w:cs="Arial" w:ascii="Arial" w:hAnsi="Arial"/>
          <w:color w:val="000000"/>
        </w:rPr>
        <w:t>3.7.2.1. платежи по основному долгу и(или) по процентам осуществляются за счет денежных средств и(или) иного имущества, предоставленных заемщику кредитной организацией — ссудодателем прямо либо косвенно (через третьих лиц), либо кредитная организация — ссудодатель прямо или косвенно (через третьих лиц) приняла на себя риски (опасность) понесения потерь в связи с предоставлением заемщику денежных средств и(или) иного имущества, кроме случаев, когда ссуда предоставлена кредитной организацией в целях погашения долга по ранее предоставленной ссуде заемщику, финансовое положение которого на протяжении последнего завершенного и текущего года может быть оценено как хорошее в соответствии с пунктом 3.3 и с учетом подпункта 3.4.1 настоящего Положения;</w:t>
      </w:r>
    </w:p>
    <w:p>
      <w:pPr>
        <w:pStyle w:val="MainText"/>
        <w:rPr>
          <w:rFonts w:ascii="Arial" w:hAnsi="Arial" w:cs="Arial"/>
          <w:color w:val="000000"/>
        </w:rPr>
      </w:pPr>
      <w:r>
        <w:rPr>
          <w:rFonts w:cs="Arial" w:ascii="Arial" w:hAnsi="Arial"/>
          <w:color w:val="000000"/>
        </w:rPr>
        <w:t>3.7.2.2. ссуда реструктурирована, то есть на основании соглашений с заемщиком изменены существенные условия первоначального договора по ссуде в сторону, более благоприятную для заемщика, в том числе если указанные соглашения предусматривают увеличение сроков возврата основного долга, снижение процентной ставки, за исключением изменения процентной ставки, осуществляемого в соответствии с условиями договора (например, в случае плавающей процентной ставки, если ее изменение осуществляется в соответствии с условиями первоначального договора, в том числе в связи с изменением ставки рефинансирования Банка России, иной базовой процентной ставки), увеличение суммы основного долга, изменение графика уплаты процентов по ссуде, изменение порядка расчета процентной ставки, кроме случаев, когда платежи по реструктурированной ссуде осуществляются своевременно и в полном объеме, а финансовое положение заемщика на протяжении последнего завершенного и текущего года может быть оценено не хуже, чем среднее в соответствии с пунктом 3.3 настоящего Положения;</w:t>
      </w:r>
    </w:p>
    <w:p>
      <w:pPr>
        <w:pStyle w:val="MainText"/>
        <w:rPr>
          <w:rFonts w:ascii="Arial" w:hAnsi="Arial" w:cs="Arial"/>
          <w:color w:val="000000"/>
        </w:rPr>
      </w:pPr>
      <w:r>
        <w:rPr>
          <w:rFonts w:cs="Arial" w:ascii="Arial" w:hAnsi="Arial"/>
          <w:color w:val="000000"/>
        </w:rPr>
        <w:t>3.7.2.3. имеется случай просроченных платежей по основному долгу и(или) по процентам в течение последних 180 календарных дней, в том числе:</w:t>
      </w:r>
    </w:p>
    <w:p>
      <w:pPr>
        <w:pStyle w:val="MainText"/>
        <w:rPr>
          <w:rFonts w:ascii="Arial" w:hAnsi="Arial" w:cs="Arial"/>
          <w:color w:val="000000"/>
        </w:rPr>
      </w:pPr>
      <w:r>
        <w:rPr>
          <w:rFonts w:cs="Arial" w:ascii="Arial" w:hAnsi="Arial"/>
          <w:color w:val="000000"/>
        </w:rPr>
        <w:t>по ссудам, предоставленным юридическим лицам, — от шести до 30 календарных дней включительно,</w:t>
      </w:r>
    </w:p>
    <w:p>
      <w:pPr>
        <w:pStyle w:val="MainText"/>
        <w:rPr>
          <w:rFonts w:ascii="Arial" w:hAnsi="Arial" w:cs="Arial"/>
          <w:color w:val="000000"/>
        </w:rPr>
      </w:pPr>
      <w:r>
        <w:rPr>
          <w:rFonts w:cs="Arial" w:ascii="Arial" w:hAnsi="Arial"/>
          <w:color w:val="000000"/>
        </w:rPr>
        <w:t>по ссудам, предоставленным физическим лицам, — от 31 до 60 календарных дней включительно;</w:t>
      </w:r>
    </w:p>
    <w:p>
      <w:pPr>
        <w:pStyle w:val="MainText"/>
        <w:rPr>
          <w:rFonts w:ascii="Arial" w:hAnsi="Arial" w:cs="Arial"/>
          <w:color w:val="000000"/>
        </w:rPr>
      </w:pPr>
      <w:r>
        <w:rPr>
          <w:rFonts w:cs="Arial" w:ascii="Arial" w:hAnsi="Arial"/>
          <w:color w:val="000000"/>
        </w:rPr>
        <w:t>3.7.2.4. ссуда прямо либо косвенно (через третьих лиц) предоставлена заемщику кредитной организацией в целях погашения долга по ранее предоставленной ссуде либо кредитная организация прямо или косвенно (через третьих лиц) приняла на себя риски (опасность) понесения потерь в связи с предоставлением заемщику денежных средств в указанных целях, при условии отсутствия просроченных платежей по новой ссуде, а также при условии, что по ранее предоставленной ссуде обслуживание долга признавалось хорошим, а финансовое положение заемщика не может быть оценено как хорошее в соответствии с пунктом 3.3 настоящего Положения.</w:t>
      </w:r>
    </w:p>
    <w:p>
      <w:pPr>
        <w:pStyle w:val="MainText"/>
        <w:rPr>
          <w:rFonts w:ascii="Arial" w:hAnsi="Arial" w:cs="Arial"/>
          <w:color w:val="000000"/>
        </w:rPr>
      </w:pPr>
      <w:r>
        <w:rPr>
          <w:rFonts w:cs="Arial" w:ascii="Arial" w:hAnsi="Arial"/>
          <w:color w:val="000000"/>
        </w:rPr>
        <w:t>3.7.3. Обслуживание долга признается плохим, если:</w:t>
      </w:r>
    </w:p>
    <w:p>
      <w:pPr>
        <w:pStyle w:val="MainText"/>
        <w:rPr>
          <w:rFonts w:ascii="Arial" w:hAnsi="Arial" w:cs="Arial"/>
          <w:color w:val="000000"/>
        </w:rPr>
      </w:pPr>
      <w:r>
        <w:rPr>
          <w:rFonts w:cs="Arial" w:ascii="Arial" w:hAnsi="Arial"/>
          <w:color w:val="000000"/>
        </w:rPr>
        <w:t>3.7.3.1. имеются просроченные платежи по основному долгу и(или) по процентам в течение последних 180 календарных дней:</w:t>
      </w:r>
    </w:p>
    <w:p>
      <w:pPr>
        <w:pStyle w:val="MainText"/>
        <w:rPr>
          <w:rFonts w:ascii="Arial" w:hAnsi="Arial" w:cs="Arial"/>
          <w:color w:val="000000"/>
        </w:rPr>
      </w:pPr>
      <w:r>
        <w:rPr>
          <w:rFonts w:cs="Arial" w:ascii="Arial" w:hAnsi="Arial"/>
          <w:color w:val="000000"/>
        </w:rPr>
        <w:t>по ссудам, предоставленным юридическим лицам, — свыше 30 календарных дней,</w:t>
      </w:r>
    </w:p>
    <w:p>
      <w:pPr>
        <w:pStyle w:val="MainText"/>
        <w:rPr>
          <w:rFonts w:ascii="Arial" w:hAnsi="Arial" w:cs="Arial"/>
          <w:color w:val="000000"/>
        </w:rPr>
      </w:pPr>
      <w:r>
        <w:rPr>
          <w:rFonts w:cs="Arial" w:ascii="Arial" w:hAnsi="Arial"/>
          <w:color w:val="000000"/>
        </w:rPr>
        <w:t>по ссудам, предоставленным физическим лицам, — свыше 60 календарных дней;</w:t>
      </w:r>
    </w:p>
    <w:p>
      <w:pPr>
        <w:pStyle w:val="MainText"/>
        <w:rPr>
          <w:rFonts w:ascii="Arial" w:hAnsi="Arial" w:cs="Arial"/>
          <w:color w:val="000000"/>
        </w:rPr>
      </w:pPr>
      <w:r>
        <w:rPr>
          <w:rFonts w:cs="Arial" w:ascii="Arial" w:hAnsi="Arial"/>
          <w:color w:val="000000"/>
        </w:rPr>
        <w:t>3.7.3.2. ссуда реструктурирована, и по ней имеются просроченные платежи по основному долгу и(или) по процентам, а финансовое положение заемщика оценивается как плохое в соответствии с пунктом 3.3 настоящего Положения;</w:t>
      </w:r>
    </w:p>
    <w:p>
      <w:pPr>
        <w:pStyle w:val="MainText"/>
        <w:rPr>
          <w:rFonts w:ascii="Arial" w:hAnsi="Arial" w:cs="Arial"/>
          <w:color w:val="000000"/>
        </w:rPr>
      </w:pPr>
      <w:r>
        <w:rPr>
          <w:rFonts w:cs="Arial" w:ascii="Arial" w:hAnsi="Arial"/>
          <w:color w:val="000000"/>
        </w:rPr>
        <w:t>3.7.3.3. ссуда предоставлена заемщику кредитной организацией прямо либо косвенно (через третьих лиц) в целях погашения долга по ранее предоставленной ссуде, либо кредитная организация прямо или косвенно (через третьих лиц) приняла на себя риски (опасность) понесения потерь в связи с предоставлением денежных средств заемщику, чье финансовое положение не может быть оценено лучше, чем среднее, в соответствии с пунктом 3.3 настоящего Положения при условии, что ранее предоставленная ссуда была отнесена по качеству обслуживания долга к категории ссуд со средним обслуживанием долга по основаниям, изложенным в подпункте 3.7.2.4 настоящего Положения для указанных ссуд либо при наличии просроченных платежей по новой ссуде;</w:t>
      </w:r>
    </w:p>
    <w:p>
      <w:pPr>
        <w:pStyle w:val="MainText"/>
        <w:rPr>
          <w:rFonts w:ascii="Arial" w:hAnsi="Arial" w:cs="Arial"/>
          <w:color w:val="000000"/>
        </w:rPr>
      </w:pPr>
      <w:r>
        <w:rPr>
          <w:rFonts w:cs="Arial" w:ascii="Arial" w:hAnsi="Arial"/>
          <w:color w:val="000000"/>
        </w:rPr>
        <w:t>качество обслуживания долга не может быть признано хорошим или средним в соответствии с подпунктами 3.7.1 и 3.7.2 настоящего Положения или качество обслуживания долга не оценивается в соответствии с подпунктом 3.8 настоящего Положения.</w:t>
      </w:r>
    </w:p>
    <w:p>
      <w:pPr>
        <w:pStyle w:val="MainText"/>
        <w:rPr>
          <w:rFonts w:ascii="Arial" w:hAnsi="Arial" w:cs="Arial"/>
          <w:color w:val="000000"/>
        </w:rPr>
      </w:pPr>
      <w:r>
        <w:rPr>
          <w:rFonts w:cs="Arial" w:ascii="Arial" w:hAnsi="Arial"/>
          <w:color w:val="000000"/>
        </w:rPr>
        <w:t>3.8. При осуществлении оценки ссуды до определенного договором срока выплаты процентов и(или) суммы основного долга обслуживание долга может быть оценено:</w:t>
      </w:r>
    </w:p>
    <w:p>
      <w:pPr>
        <w:pStyle w:val="MainText"/>
        <w:rPr>
          <w:rFonts w:ascii="Arial" w:hAnsi="Arial" w:cs="Arial"/>
          <w:color w:val="000000"/>
        </w:rPr>
      </w:pPr>
      <w:r>
        <w:rPr>
          <w:rFonts w:cs="Arial" w:ascii="Arial" w:hAnsi="Arial"/>
          <w:color w:val="000000"/>
        </w:rPr>
        <w:t>при оценке финансового положения как хорошего — как хорошее;</w:t>
      </w:r>
    </w:p>
    <w:p>
      <w:pPr>
        <w:pStyle w:val="MainText"/>
        <w:rPr>
          <w:rFonts w:ascii="Arial" w:hAnsi="Arial" w:cs="Arial"/>
          <w:color w:val="000000"/>
        </w:rPr>
      </w:pPr>
      <w:r>
        <w:rPr>
          <w:rFonts w:cs="Arial" w:ascii="Arial" w:hAnsi="Arial"/>
          <w:color w:val="000000"/>
        </w:rPr>
        <w:t>при оценке финансового положения заемщика как среднего — не лучше, чем среднее;</w:t>
      </w:r>
    </w:p>
    <w:p>
      <w:pPr>
        <w:pStyle w:val="MainText"/>
        <w:rPr>
          <w:rFonts w:ascii="Arial" w:hAnsi="Arial" w:cs="Arial"/>
          <w:color w:val="000000"/>
        </w:rPr>
      </w:pPr>
      <w:r>
        <w:rPr>
          <w:rFonts w:cs="Arial" w:ascii="Arial" w:hAnsi="Arial"/>
          <w:color w:val="000000"/>
        </w:rPr>
        <w:t>при оценке финансового положения заемщика как плохого — только как плохое.</w:t>
      </w:r>
    </w:p>
    <w:p>
      <w:pPr>
        <w:pStyle w:val="MainText"/>
        <w:rPr>
          <w:rFonts w:ascii="Arial" w:hAnsi="Arial" w:cs="Arial"/>
          <w:color w:val="000000"/>
        </w:rPr>
      </w:pPr>
      <w:r>
        <w:rPr>
          <w:rFonts w:cs="Arial" w:ascii="Arial" w:hAnsi="Arial"/>
          <w:color w:val="000000"/>
        </w:rPr>
        <w:t>3.9. Определение категории качества ссуды (определение вероятности обесценения ссуды) в отсутствие иных существенных факторов, принимаемых во внимание при классификации ссуды, осуществляется с применением профессионального суждения на основе комбинации двух классификационных критериев (финансовое положение заемщика и качество обслуживания им долга) в соответствии с таблицей 1.</w:t>
      </w:r>
    </w:p>
    <w:p>
      <w:pPr>
        <w:pStyle w:val="MainText-BezOtstupa1"/>
        <w:keepNext w:val="true"/>
        <w:keepLines/>
        <w:spacing w:before="120" w:after="0"/>
        <w:jc w:val="end"/>
        <w:rPr>
          <w:rFonts w:ascii="Arial" w:hAnsi="Arial" w:cs="Arial"/>
        </w:rPr>
      </w:pPr>
      <w:r>
        <w:rPr>
          <w:rFonts w:cs="Arial" w:ascii="Arial" w:hAnsi="Arial"/>
        </w:rPr>
        <w:t>Таблица 1</w:t>
      </w:r>
    </w:p>
    <w:p>
      <w:pPr>
        <w:pStyle w:val="MGlavaCenter"/>
        <w:keepLines/>
        <w:spacing w:before="60" w:after="120"/>
        <w:rPr>
          <w:rFonts w:ascii="Arial" w:hAnsi="Arial" w:cs="Arial"/>
          <w:color w:val="000000"/>
        </w:rPr>
      </w:pPr>
      <w:r>
        <w:rPr>
          <w:rFonts w:cs="Arial" w:ascii="Arial" w:hAnsi="Arial"/>
          <w:color w:val="000000"/>
        </w:rPr>
        <w:t>Определение категории качества ссуды с учетом финансового положения заемщика и качества обслуживания долга</w:t>
      </w:r>
    </w:p>
    <w:tbl>
      <w:tblPr>
        <w:tblW w:w="10423" w:type="dxa"/>
        <w:jc w:val="center"/>
        <w:tblInd w:w="0" w:type="dxa"/>
        <w:tblLayout w:type="fixed"/>
        <w:tblCellMar>
          <w:top w:w="0" w:type="dxa"/>
          <w:start w:w="108" w:type="dxa"/>
          <w:bottom w:w="0" w:type="dxa"/>
          <w:end w:w="108" w:type="dxa"/>
        </w:tblCellMar>
      </w:tblPr>
      <w:tblGrid>
        <w:gridCol w:w="1810"/>
        <w:gridCol w:w="2871"/>
        <w:gridCol w:w="2871"/>
        <w:gridCol w:w="2871"/>
      </w:tblGrid>
      <w:tr>
        <w:trPr>
          <w:cantSplit/>
        </w:trPr>
        <w:tc>
          <w:tcPr>
            <w:tcW w:w="18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end"/>
              <w:rPr>
                <w:rFonts w:ascii="Arial" w:hAnsi="Arial" w:cs="Arial"/>
                <w:color w:val="000000"/>
              </w:rPr>
            </w:pPr>
            <w:r>
              <w:rPr>
                <w:rFonts w:cs="Arial" w:ascii="Arial" w:hAnsi="Arial"/>
                <w:color w:val="000000"/>
              </w:rPr>
              <w:t>Обслуживание долга</w:t>
            </w:r>
          </w:p>
        </w:tc>
        <w:tc>
          <w:tcPr>
            <w:tcW w:w="2871" w:type="dxa"/>
            <w:tcBorders>
              <w:top w:val="single" w:sz="6" w:space="0" w:color="000000"/>
              <w:start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Хорошее</w:t>
            </w:r>
          </w:p>
        </w:tc>
        <w:tc>
          <w:tcPr>
            <w:tcW w:w="2871" w:type="dxa"/>
            <w:tcBorders>
              <w:top w:val="single" w:sz="6" w:space="0" w:color="000000"/>
              <w:start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Среднее</w:t>
            </w:r>
          </w:p>
        </w:tc>
        <w:tc>
          <w:tcPr>
            <w:tcW w:w="2871" w:type="dxa"/>
            <w:tcBorders>
              <w:top w:val="single" w:sz="6" w:space="0" w:color="000000"/>
              <w:start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Плохое</w:t>
            </w:r>
          </w:p>
        </w:tc>
      </w:tr>
      <w:tr>
        <w:trPr>
          <w:cantSplit/>
        </w:trPr>
        <w:tc>
          <w:tcPr>
            <w:tcW w:w="18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start"/>
              <w:rPr>
                <w:rFonts w:ascii="Arial" w:hAnsi="Arial" w:cs="Arial"/>
                <w:color w:val="000000"/>
              </w:rPr>
            </w:pPr>
            <w:r>
              <w:rPr>
                <w:rFonts w:cs="Arial" w:ascii="Arial" w:hAnsi="Arial"/>
                <w:color w:val="000000"/>
              </w:rPr>
              <w:t>Финансовое положение</w:t>
            </w:r>
          </w:p>
        </w:tc>
        <w:tc>
          <w:tcPr>
            <w:tcW w:w="287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rFonts w:ascii="Arial" w:hAnsi="Arial" w:cs="Arial"/>
                <w:color w:val="000000"/>
              </w:rPr>
            </w:pPr>
            <w:r>
              <w:rPr>
                <w:rFonts w:cs="Arial" w:ascii="Arial" w:hAnsi="Arial"/>
                <w:color w:val="000000"/>
              </w:rPr>
            </w:r>
          </w:p>
        </w:tc>
        <w:tc>
          <w:tcPr>
            <w:tcW w:w="287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rFonts w:ascii="Arial" w:hAnsi="Arial" w:cs="Arial"/>
                <w:color w:val="000000"/>
              </w:rPr>
            </w:pPr>
            <w:r>
              <w:rPr>
                <w:rFonts w:cs="Arial" w:ascii="Arial" w:hAnsi="Arial"/>
                <w:color w:val="000000"/>
              </w:rPr>
            </w:r>
          </w:p>
        </w:tc>
        <w:tc>
          <w:tcPr>
            <w:tcW w:w="2871" w:type="dxa"/>
            <w:tcBorders>
              <w:start w:val="single" w:sz="6" w:space="0" w:color="000000"/>
              <w:bottom w:val="single" w:sz="6" w:space="0" w:color="000000"/>
              <w:end w:val="single" w:sz="6" w:space="0" w:color="000000"/>
            </w:tcBorders>
          </w:tcPr>
          <w:p>
            <w:pPr>
              <w:pStyle w:val="MainText"/>
              <w:keepNext w:val="true"/>
              <w:snapToGrid w:val="false"/>
              <w:ind w:hanging="0" w:end="0"/>
              <w:jc w:val="center"/>
              <w:rPr>
                <w:rFonts w:ascii="Arial" w:hAnsi="Arial" w:cs="Arial"/>
                <w:color w:val="000000"/>
              </w:rPr>
            </w:pPr>
            <w:r>
              <w:rPr>
                <w:rFonts w:cs="Arial" w:ascii="Arial" w:hAnsi="Arial"/>
                <w:color w:val="000000"/>
              </w:rPr>
            </w:r>
          </w:p>
        </w:tc>
      </w:tr>
      <w:tr>
        <w:trPr>
          <w:cantSplit/>
        </w:trPr>
        <w:tc>
          <w:tcPr>
            <w:tcW w:w="18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Хорошее</w:t>
            </w:r>
          </w:p>
        </w:tc>
        <w:tc>
          <w:tcPr>
            <w:tcW w:w="28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Стандартные (I категория качества)</w:t>
            </w:r>
          </w:p>
        </w:tc>
        <w:tc>
          <w:tcPr>
            <w:tcW w:w="28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Нестандартные (II категория качества)</w:t>
            </w:r>
          </w:p>
        </w:tc>
        <w:tc>
          <w:tcPr>
            <w:tcW w:w="28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Сомнительные (III категория качества)</w:t>
            </w:r>
          </w:p>
        </w:tc>
      </w:tr>
      <w:tr>
        <w:trPr>
          <w:cantSplit/>
        </w:trPr>
        <w:tc>
          <w:tcPr>
            <w:tcW w:w="1810"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Среднее</w:t>
            </w:r>
          </w:p>
        </w:tc>
        <w:tc>
          <w:tcPr>
            <w:tcW w:w="28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Нестандартные (II категория качества)</w:t>
            </w:r>
          </w:p>
        </w:tc>
        <w:tc>
          <w:tcPr>
            <w:tcW w:w="28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Сомнительные (III категория качества)</w:t>
            </w:r>
          </w:p>
        </w:tc>
        <w:tc>
          <w:tcPr>
            <w:tcW w:w="287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Проблемные (IV категория качества)</w:t>
            </w:r>
          </w:p>
        </w:tc>
      </w:tr>
      <w:tr>
        <w:trPr>
          <w:cantSplit/>
        </w:trPr>
        <w:tc>
          <w:tcPr>
            <w:tcW w:w="1810"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Плохое</w:t>
            </w:r>
          </w:p>
        </w:tc>
        <w:tc>
          <w:tcPr>
            <w:tcW w:w="287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Сомнительные (III категория качества)</w:t>
            </w:r>
          </w:p>
        </w:tc>
        <w:tc>
          <w:tcPr>
            <w:tcW w:w="287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Проблемные (IV категория качества)</w:t>
            </w:r>
          </w:p>
        </w:tc>
        <w:tc>
          <w:tcPr>
            <w:tcW w:w="287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Безнадежные (V категория качества)</w:t>
            </w:r>
          </w:p>
        </w:tc>
      </w:tr>
    </w:tbl>
    <w:p>
      <w:pPr>
        <w:pStyle w:val="MainText"/>
        <w:spacing w:before="120" w:after="0"/>
        <w:rPr>
          <w:rFonts w:ascii="Arial" w:hAnsi="Arial" w:cs="Arial"/>
          <w:color w:val="000000"/>
        </w:rPr>
      </w:pPr>
      <w:r>
        <w:rPr>
          <w:rFonts w:cs="Arial" w:ascii="Arial" w:hAnsi="Arial"/>
          <w:color w:val="000000"/>
        </w:rPr>
        <w:t>3.10. Решение об уточнении классификации ссуды на основании признания обслуживания долга хорошим по реструктурированным ссудам и ссудам, предоставленным кредитной организацией заемщику прямо или косвенно в целях погашения долга по ранее предоставленной ссуде, принимает орган управления кредитной организации, уполномоченный на принятие подобных решений. Информация о принятии такого решения в отношении ссуд (совокупности ссуд, выданных одному заемщику или группе связанных заемщиков), превышающих один процент от величины собственных средств (капитала) кредитной организации, и о классификационной категории качества ссуды представляется кредитной организацией в территориальное учреждение Банка России одновременно с формой отчетности 0409115 “Информация о качестве ссуд, ссудной и приравненной к ней задолженности”, установленной Указанием Банка России от 16 января 2004 года № 1376-У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зарегистрированным Министерством юстиции Российской Федерации 23 января 2004 года № 5488 (“Вестник Банка России” от 12 февраля 2004 года № 12—13) (далее — Указание Банка России № 1376-У).</w:t>
      </w:r>
    </w:p>
    <w:p>
      <w:pPr>
        <w:pStyle w:val="MainText"/>
        <w:rPr>
          <w:rFonts w:ascii="Arial" w:hAnsi="Arial" w:cs="Arial"/>
          <w:color w:val="000000"/>
        </w:rPr>
      </w:pPr>
      <w:r>
        <w:rPr>
          <w:rFonts w:cs="Arial" w:ascii="Arial" w:hAnsi="Arial"/>
          <w:color w:val="000000"/>
        </w:rPr>
        <w:t>3.11. Размер расчетного резерва определяется исходя из результатов классификации ссуды в соответствии с пунктами 3.1—3.10 настоящего Положения в соответствии с таблицей 2.</w:t>
      </w:r>
    </w:p>
    <w:p>
      <w:pPr>
        <w:pStyle w:val="MainText-BezOtstupa1"/>
        <w:keepNext w:val="true"/>
        <w:keepLines/>
        <w:jc w:val="end"/>
        <w:rPr>
          <w:rFonts w:ascii="Arial" w:hAnsi="Arial" w:cs="Arial"/>
        </w:rPr>
      </w:pPr>
      <w:r>
        <w:rPr>
          <w:rFonts w:cs="Arial" w:ascii="Arial" w:hAnsi="Arial"/>
        </w:rPr>
        <w:t>Таблица 2</w:t>
      </w:r>
    </w:p>
    <w:p>
      <w:pPr>
        <w:pStyle w:val="MGlavaCenter"/>
        <w:keepLines/>
        <w:spacing w:before="0" w:after="120"/>
        <w:rPr>
          <w:rFonts w:ascii="Arial" w:hAnsi="Arial" w:cs="Arial"/>
          <w:color w:val="000000"/>
        </w:rPr>
      </w:pPr>
      <w:r>
        <w:rPr>
          <w:rFonts w:cs="Arial" w:ascii="Arial" w:hAnsi="Arial"/>
          <w:color w:val="000000"/>
        </w:rPr>
        <w:t>Величина расчетного резерва по классифицированным ссудам</w:t>
      </w:r>
    </w:p>
    <w:tbl>
      <w:tblPr>
        <w:tblW w:w="10421" w:type="dxa"/>
        <w:jc w:val="center"/>
        <w:tblInd w:w="0" w:type="dxa"/>
        <w:tblLayout w:type="fixed"/>
        <w:tblCellMar>
          <w:top w:w="0" w:type="dxa"/>
          <w:start w:w="108" w:type="dxa"/>
          <w:bottom w:w="0" w:type="dxa"/>
          <w:end w:w="108" w:type="dxa"/>
        </w:tblCellMar>
      </w:tblPr>
      <w:tblGrid>
        <w:gridCol w:w="3085"/>
        <w:gridCol w:w="1701"/>
        <w:gridCol w:w="5635"/>
      </w:tblGrid>
      <w:tr>
        <w:trPr>
          <w:tblHeader w:val="true"/>
          <w:cantSplit/>
        </w:trPr>
        <w:tc>
          <w:tcPr>
            <w:tcW w:w="308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Kатегория качества</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Наименование</w:t>
            </w:r>
          </w:p>
        </w:tc>
        <w:tc>
          <w:tcPr>
            <w:tcW w:w="56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Размер расчетного резерва в процентах от суммы основного долга по ссуде</w:t>
            </w:r>
          </w:p>
        </w:tc>
      </w:tr>
      <w:tr>
        <w:trPr>
          <w:cantSplit/>
        </w:trPr>
        <w:tc>
          <w:tcPr>
            <w:tcW w:w="308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I категория качества (высшая)</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Стандартные</w:t>
            </w:r>
          </w:p>
        </w:tc>
        <w:tc>
          <w:tcPr>
            <w:tcW w:w="56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0%</w:t>
            </w:r>
          </w:p>
        </w:tc>
      </w:tr>
      <w:tr>
        <w:trPr>
          <w:cantSplit/>
        </w:trPr>
        <w:tc>
          <w:tcPr>
            <w:tcW w:w="308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II категория качества</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Нестандартные</w:t>
            </w:r>
          </w:p>
        </w:tc>
        <w:tc>
          <w:tcPr>
            <w:tcW w:w="56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от 1 до 20%</w:t>
            </w:r>
          </w:p>
        </w:tc>
      </w:tr>
      <w:tr>
        <w:trPr>
          <w:cantSplit/>
        </w:trPr>
        <w:tc>
          <w:tcPr>
            <w:tcW w:w="308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III категория качества</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Сомнительные</w:t>
            </w:r>
          </w:p>
        </w:tc>
        <w:tc>
          <w:tcPr>
            <w:tcW w:w="56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от 21 до 50%</w:t>
            </w:r>
          </w:p>
        </w:tc>
      </w:tr>
      <w:tr>
        <w:trPr>
          <w:cantSplit/>
        </w:trPr>
        <w:tc>
          <w:tcPr>
            <w:tcW w:w="308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IV категория качества</w:t>
            </w:r>
          </w:p>
        </w:tc>
        <w:tc>
          <w:tcPr>
            <w:tcW w:w="1701"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Проблемные</w:t>
            </w:r>
          </w:p>
        </w:tc>
        <w:tc>
          <w:tcPr>
            <w:tcW w:w="5635" w:type="dxa"/>
            <w:tcBorders>
              <w:top w:val="single" w:sz="6" w:space="0" w:color="000000"/>
              <w:start w:val="single" w:sz="6" w:space="0" w:color="000000"/>
              <w:bottom w:val="single" w:sz="6" w:space="0" w:color="000000"/>
              <w:end w:val="single" w:sz="6" w:space="0" w:color="000000"/>
            </w:tcBorders>
          </w:tcPr>
          <w:p>
            <w:pPr>
              <w:pStyle w:val="MainText"/>
              <w:keepNext w:val="true"/>
              <w:ind w:hanging="0" w:end="0"/>
              <w:jc w:val="center"/>
              <w:rPr>
                <w:rFonts w:ascii="Arial" w:hAnsi="Arial" w:cs="Arial"/>
                <w:color w:val="000000"/>
              </w:rPr>
            </w:pPr>
            <w:r>
              <w:rPr>
                <w:rFonts w:cs="Arial" w:ascii="Arial" w:hAnsi="Arial"/>
                <w:color w:val="000000"/>
              </w:rPr>
              <w:t>от 51 до 100%</w:t>
            </w:r>
          </w:p>
        </w:tc>
      </w:tr>
      <w:tr>
        <w:trPr>
          <w:cantSplit/>
        </w:trPr>
        <w:tc>
          <w:tcPr>
            <w:tcW w:w="308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V категория качества (низшая)</w:t>
            </w:r>
          </w:p>
        </w:tc>
        <w:tc>
          <w:tcPr>
            <w:tcW w:w="1701"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Безнадежные</w:t>
            </w:r>
          </w:p>
        </w:tc>
        <w:tc>
          <w:tcPr>
            <w:tcW w:w="5635" w:type="dxa"/>
            <w:tcBorders>
              <w:top w:val="single" w:sz="6" w:space="0" w:color="000000"/>
              <w:start w:val="single" w:sz="6" w:space="0" w:color="000000"/>
              <w:bottom w:val="single" w:sz="6" w:space="0" w:color="000000"/>
              <w:end w:val="single" w:sz="6" w:space="0" w:color="000000"/>
            </w:tcBorders>
          </w:tcPr>
          <w:p>
            <w:pPr>
              <w:pStyle w:val="MainText"/>
              <w:ind w:hanging="0" w:end="0"/>
              <w:jc w:val="center"/>
              <w:rPr>
                <w:rFonts w:ascii="Arial" w:hAnsi="Arial" w:cs="Arial"/>
                <w:color w:val="000000"/>
              </w:rPr>
            </w:pPr>
            <w:r>
              <w:rPr>
                <w:rFonts w:cs="Arial" w:ascii="Arial" w:hAnsi="Arial"/>
                <w:color w:val="000000"/>
              </w:rPr>
              <w:t>100%</w:t>
            </w:r>
          </w:p>
        </w:tc>
      </w:tr>
    </w:tbl>
    <w:p>
      <w:pPr>
        <w:pStyle w:val="MainText"/>
        <w:spacing w:before="120" w:after="0"/>
        <w:rPr>
          <w:rFonts w:ascii="Arial" w:hAnsi="Arial" w:cs="Arial"/>
          <w:color w:val="000000"/>
        </w:rPr>
      </w:pPr>
      <w:r>
        <w:rPr>
          <w:rFonts w:cs="Arial" w:ascii="Arial" w:hAnsi="Arial"/>
          <w:color w:val="000000"/>
        </w:rPr>
        <w:t>3.12. Если по заемщику в течение периода более одного квартала отсутствует информация, указанная в подпункте 3.1.5 настоящего Положения, в том числе финансовая, ссуда классифицируется не выше, чем во II категорию качества с формированием резерва в размере не менее 20 процентов. Если по заемщику указанная информация отсутствует в течение периода более двух кварталов, ссуда классифицируется не выше, чем в III категорию качества с формированием резерва в размере не менее 50 процентов (кроме случаев, указанных в пункте 3.13 настоящего Положения).</w:t>
      </w:r>
    </w:p>
    <w:p>
      <w:pPr>
        <w:pStyle w:val="MainText"/>
        <w:rPr>
          <w:rFonts w:ascii="Arial" w:hAnsi="Arial" w:cs="Arial"/>
          <w:color w:val="000000"/>
        </w:rPr>
      </w:pPr>
      <w:r>
        <w:rPr>
          <w:rFonts w:cs="Arial" w:ascii="Arial" w:hAnsi="Arial"/>
          <w:color w:val="000000"/>
        </w:rPr>
        <w:t>3.13. Не выше, чем в III категорию качества (сомнительные) классифицируются:</w:t>
      </w:r>
    </w:p>
    <w:p>
      <w:pPr>
        <w:pStyle w:val="MainText"/>
        <w:rPr>
          <w:rFonts w:ascii="Arial" w:hAnsi="Arial" w:cs="Arial"/>
          <w:color w:val="000000"/>
        </w:rPr>
      </w:pPr>
      <w:r>
        <w:rPr>
          <w:rFonts w:cs="Arial" w:ascii="Arial" w:hAnsi="Arial"/>
          <w:color w:val="000000"/>
        </w:rPr>
        <w:t>3.13.1. ссуды, предоставленные юридическим лицам, кроме кредитных организаций, сроком до востребования (включая векселя по предъявлении), которые находятся на балансе кредитной организации свыше 20 календарных дней;</w:t>
      </w:r>
    </w:p>
    <w:p>
      <w:pPr>
        <w:pStyle w:val="MainText"/>
        <w:rPr>
          <w:rFonts w:ascii="Arial" w:hAnsi="Arial" w:cs="Arial"/>
          <w:color w:val="000000"/>
        </w:rPr>
      </w:pPr>
      <w:r>
        <w:rPr>
          <w:rFonts w:cs="Arial" w:ascii="Arial" w:hAnsi="Arial"/>
          <w:color w:val="000000"/>
        </w:rPr>
        <w:t>3.13.2. ссуды, договоры о предоставлении которых предусматривают возможность при наступлении определенных обстоятельств в части обслуживания долга (например, в случае досрочного погашения ссуды) освобождения от уплаты процентов или снижения процентной ставки до уровня ниже указанного в абзацах втором и третьем подпункта 3.13.3 настоящего Положения;</w:t>
      </w:r>
    </w:p>
    <w:p>
      <w:pPr>
        <w:pStyle w:val="MainText"/>
        <w:rPr>
          <w:rFonts w:ascii="Arial" w:hAnsi="Arial" w:cs="Arial"/>
          <w:color w:val="000000"/>
        </w:rPr>
      </w:pPr>
      <w:r>
        <w:rPr>
          <w:rFonts w:cs="Arial" w:ascii="Arial" w:hAnsi="Arial"/>
          <w:color w:val="000000"/>
        </w:rPr>
        <w:t>3.13.3. ссуды, предоставленные юридическим лицам (кроме кредитных организаций, а также юридических лиц, которые эмитируют (выпускают) ценные бумаги и предоставляют поручительства (гарантии), относящиеся к обеспечению I и II категории качества в соответствии с пунктами 6.2 и 6.3 настоящего Положения), по ставке процента, составляющей по состоянию на дату заключения договора:</w:t>
      </w:r>
    </w:p>
    <w:p>
      <w:pPr>
        <w:pStyle w:val="MainText"/>
        <w:rPr>
          <w:rFonts w:ascii="Arial" w:hAnsi="Arial" w:cs="Arial"/>
          <w:color w:val="000000"/>
        </w:rPr>
      </w:pPr>
      <w:r>
        <w:rPr>
          <w:rFonts w:cs="Arial" w:ascii="Arial" w:hAnsi="Arial"/>
          <w:color w:val="000000"/>
        </w:rPr>
        <w:t>по ссудам в российских рублях — менее двух пятых ставки рефинансирования Банка России;</w:t>
      </w:r>
    </w:p>
    <w:p>
      <w:pPr>
        <w:pStyle w:val="MainText"/>
        <w:rPr>
          <w:rFonts w:ascii="Arial" w:hAnsi="Arial" w:cs="Arial"/>
          <w:color w:val="000000"/>
        </w:rPr>
      </w:pPr>
      <w:r>
        <w:rPr>
          <w:rFonts w:cs="Arial" w:ascii="Arial" w:hAnsi="Arial"/>
          <w:color w:val="000000"/>
        </w:rPr>
        <w:t>по ссудам в иностранной валюте — менее ставки ЛИБОР на сопоставимый срок.</w:t>
      </w:r>
    </w:p>
    <w:p>
      <w:pPr>
        <w:pStyle w:val="MainText"/>
        <w:rPr>
          <w:rFonts w:ascii="Arial" w:hAnsi="Arial" w:cs="Arial"/>
          <w:color w:val="000000"/>
        </w:rPr>
      </w:pPr>
      <w:r>
        <w:rPr>
          <w:rFonts w:cs="Arial" w:ascii="Arial" w:hAnsi="Arial"/>
          <w:color w:val="000000"/>
        </w:rPr>
        <w:t>К ссудам, определенным настоящим подпунктом, не относится ссуда, договор о предоставлении которой предусматривает, что проценты выплачиваются по ставке, указанной в настоящем подпункте, однако третье лицо компенсирует разницу между ставкой процента, предусмотренной договором о предоставлении ссуды, и ставкой процента выше уровня, предусмотренного настоящим подпунктом;</w:t>
      </w:r>
    </w:p>
    <w:p>
      <w:pPr>
        <w:pStyle w:val="MainText"/>
        <w:rPr>
          <w:rFonts w:ascii="Arial" w:hAnsi="Arial" w:cs="Arial"/>
          <w:color w:val="000000"/>
        </w:rPr>
      </w:pPr>
      <w:r>
        <w:rPr>
          <w:rFonts w:cs="Arial" w:ascii="Arial" w:hAnsi="Arial"/>
          <w:color w:val="000000"/>
        </w:rPr>
        <w:t>3.13.4. учтенные векселя, если совокупная величина обязательств векселедателя превышает 25 процентов чистых активов (собственных средств (капитала) векселедателя (совокупная величина обязательств векселедателя определяется как задолженность векселедателя либо солидарно обязанного лица по учтенным кредитной организацией векселям, а также по иным предоставленным векселедателю ссудам);</w:t>
      </w:r>
    </w:p>
    <w:p>
      <w:pPr>
        <w:pStyle w:val="MainText"/>
        <w:rPr>
          <w:rFonts w:ascii="Arial" w:hAnsi="Arial" w:cs="Arial"/>
          <w:color w:val="000000"/>
        </w:rPr>
      </w:pPr>
      <w:r>
        <w:rPr>
          <w:rFonts w:cs="Arial" w:ascii="Arial" w:hAnsi="Arial"/>
          <w:color w:val="000000"/>
        </w:rPr>
        <w:t>3.13.5. ссуды, предоставленные связанным с кредитной организацией лицам, — при отсутствии информации о финансовом положении заемщика в течение периода более одного квартала;</w:t>
      </w:r>
    </w:p>
    <w:p>
      <w:pPr>
        <w:pStyle w:val="MainText"/>
        <w:rPr>
          <w:rFonts w:ascii="Arial" w:hAnsi="Arial" w:cs="Arial"/>
          <w:color w:val="000000"/>
        </w:rPr>
      </w:pPr>
      <w:r>
        <w:rPr>
          <w:rFonts w:cs="Arial" w:ascii="Arial" w:hAnsi="Arial"/>
          <w:color w:val="000000"/>
        </w:rPr>
        <w:t>3.13.6. ссуды, предоставленные кредитной организацией заемщикам прямо или косвенно и направленные этими заемщиками на погашение обязательств других заемщиков перед данной кредитной организацией;</w:t>
      </w:r>
    </w:p>
    <w:p>
      <w:pPr>
        <w:pStyle w:val="MainText"/>
        <w:rPr>
          <w:rFonts w:ascii="Arial" w:hAnsi="Arial" w:cs="Arial"/>
          <w:color w:val="000000"/>
        </w:rPr>
      </w:pPr>
      <w:r>
        <w:rPr>
          <w:rFonts w:cs="Arial" w:ascii="Arial" w:hAnsi="Arial"/>
          <w:color w:val="000000"/>
        </w:rPr>
        <w:t>3.13.7. ссуды, предоставленные кредитной организацией заемщикам для приобретения у кредитной организации имущества, полученного ею в результате прекращения обязательств заемщиков по ранее предоставленным ссудам предоставлением отступного;</w:t>
      </w:r>
    </w:p>
    <w:p>
      <w:pPr>
        <w:pStyle w:val="MainText"/>
        <w:rPr>
          <w:rFonts w:ascii="Arial" w:hAnsi="Arial" w:cs="Arial"/>
          <w:color w:val="000000"/>
        </w:rPr>
      </w:pPr>
      <w:r>
        <w:rPr>
          <w:rFonts w:cs="Arial" w:ascii="Arial" w:hAnsi="Arial"/>
          <w:color w:val="000000"/>
        </w:rPr>
        <w:t>3.13.8. ссуды, предоставленные юридическим лицам, кроме кредитных организаций, использованные заемщиком на приобретение и погашение векселей, за исключением векселей, выпущенных лицами, указанными в подпунктах 6.2.1 и 6.3.1 настоящего Положения.</w:t>
      </w:r>
    </w:p>
    <w:p>
      <w:pPr>
        <w:pStyle w:val="MainText"/>
        <w:rPr>
          <w:rFonts w:ascii="Arial" w:hAnsi="Arial" w:cs="Arial"/>
          <w:color w:val="000000"/>
        </w:rPr>
      </w:pPr>
      <w:r>
        <w:rPr>
          <w:rFonts w:cs="Arial" w:ascii="Arial" w:hAnsi="Arial"/>
          <w:color w:val="000000"/>
        </w:rPr>
        <w:t>3.14. Если с учетом порядка, установленного подпунктом 3.14.3 настоящего Положения, иное не определено уполномоченным органом (уполномоченными органами) кредитной организации, не выше чем в III категорию (сомнительные) классифицируются ссуды:</w:t>
      </w:r>
    </w:p>
    <w:p>
      <w:pPr>
        <w:pStyle w:val="MainText"/>
        <w:rPr>
          <w:rFonts w:ascii="Arial" w:hAnsi="Arial" w:cs="Arial"/>
          <w:color w:val="000000"/>
        </w:rPr>
      </w:pPr>
      <w:r>
        <w:rPr>
          <w:rFonts w:cs="Arial" w:ascii="Arial" w:hAnsi="Arial"/>
          <w:color w:val="000000"/>
        </w:rPr>
        <w:t>3.14.1 предоставленные юридическим лицам (кроме кредитных организаций) и использованные заемщиком на:</w:t>
      </w:r>
    </w:p>
    <w:p>
      <w:pPr>
        <w:pStyle w:val="MainText"/>
        <w:rPr>
          <w:rFonts w:ascii="Arial" w:hAnsi="Arial" w:cs="Arial"/>
          <w:color w:val="000000"/>
        </w:rPr>
      </w:pPr>
      <w:r>
        <w:rPr>
          <w:rFonts w:cs="Arial" w:ascii="Arial" w:hAnsi="Arial"/>
          <w:color w:val="000000"/>
        </w:rPr>
        <w:t>предоставление займов третьим лицам и погашение займов третьих лиц,</w:t>
      </w:r>
    </w:p>
    <w:p>
      <w:pPr>
        <w:pStyle w:val="MainText"/>
        <w:rPr>
          <w:rFonts w:ascii="Arial" w:hAnsi="Arial" w:cs="Arial"/>
          <w:color w:val="000000"/>
        </w:rPr>
      </w:pPr>
      <w:r>
        <w:rPr>
          <w:rFonts w:cs="Arial" w:ascii="Arial" w:hAnsi="Arial"/>
          <w:color w:val="000000"/>
        </w:rPr>
        <w:t>приобретение и погашение эмиссионных ценных бумаг, за исключением ценных бумаг, эмитированных лицами, указанными в подпунктах 6.2.1 и 6.3.1 настоящего Положения,</w:t>
      </w:r>
    </w:p>
    <w:p>
      <w:pPr>
        <w:pStyle w:val="MainText"/>
        <w:rPr>
          <w:rFonts w:ascii="Arial" w:hAnsi="Arial" w:cs="Arial"/>
          <w:color w:val="000000"/>
        </w:rPr>
      </w:pPr>
      <w:r>
        <w:rPr>
          <w:rFonts w:cs="Arial" w:ascii="Arial" w:hAnsi="Arial"/>
          <w:color w:val="000000"/>
        </w:rPr>
        <w:t>осуществление вложений в уставные капиталы других юридических лиц;</w:t>
      </w:r>
    </w:p>
    <w:p>
      <w:pPr>
        <w:pStyle w:val="MainText"/>
        <w:rPr>
          <w:rFonts w:ascii="Arial" w:hAnsi="Arial" w:cs="Arial"/>
          <w:color w:val="000000"/>
        </w:rPr>
      </w:pPr>
      <w:r>
        <w:rPr>
          <w:rFonts w:cs="Arial" w:ascii="Arial" w:hAnsi="Arial"/>
          <w:color w:val="000000"/>
        </w:rPr>
        <w:t>3.14.2. возникшие в результате прекращения ранее существовавших обязательств заемщика новацией или отступным (в случае, когда предметом отступного являются векселя других лиц либо права (требования) по ссудам, предоставленным заемщиком должникам — третьим лицам), за исключением случаев, когда качество обслуживания ссуды, возникающей в результате новации или прекращения ранее существовавшего обязательства отступным, и финансовое положение заемщика по указанной ссуде на протяжении последнего завершенного и текущего года обоснованно оцениваются как хорошие.</w:t>
      </w:r>
    </w:p>
    <w:p>
      <w:pPr>
        <w:pStyle w:val="MainText"/>
        <w:rPr>
          <w:rFonts w:ascii="Arial" w:hAnsi="Arial" w:cs="Arial"/>
          <w:color w:val="000000"/>
        </w:rPr>
      </w:pPr>
      <w:r>
        <w:rPr>
          <w:rFonts w:cs="Arial" w:ascii="Arial" w:hAnsi="Arial"/>
          <w:color w:val="000000"/>
        </w:rPr>
        <w:t>3.14.3. Если кредитная организация классифицирует ссуды, указанные в подпунктах 3.14.1 и 3.14.2 настоящего Положения, в более высокую категорию качества, чем III категория качества, то она обязана направить в территориальное учреждение Банка России обоснование такой классификации с учетом требований пунктов 3.3—3.5, 3.7—3.10 настоящего Положения. Непредставление указанного обоснования, наличие недостаточного обоснования является основанием для классификации ссуды не выше, чем в III категорию качества.</w:t>
      </w:r>
    </w:p>
    <w:p>
      <w:pPr>
        <w:pStyle w:val="MainText"/>
        <w:rPr>
          <w:rFonts w:ascii="Arial" w:hAnsi="Arial" w:cs="Arial"/>
          <w:color w:val="000000"/>
        </w:rPr>
      </w:pPr>
      <w:r>
        <w:rPr>
          <w:rFonts w:cs="Arial" w:ascii="Arial" w:hAnsi="Arial"/>
          <w:color w:val="000000"/>
        </w:rPr>
        <w:t>3.15. Порядок оценки кредитного риска по выданной ссуде, изложенный в настоящей главе, не относится к ссудам, сгруппированным в портфель однородных ссуд.</w:t>
      </w:r>
    </w:p>
    <w:p>
      <w:pPr>
        <w:pStyle w:val="MGlavaCenter"/>
        <w:keepLines/>
        <w:spacing w:before="120" w:after="120"/>
        <w:rPr>
          <w:rFonts w:ascii="Arial" w:hAnsi="Arial" w:cs="Arial"/>
          <w:color w:val="000000"/>
        </w:rPr>
      </w:pPr>
      <w:r>
        <w:rPr>
          <w:rFonts w:cs="Arial" w:ascii="Arial" w:hAnsi="Arial"/>
          <w:color w:val="000000"/>
        </w:rPr>
        <w:t>Глава 4. Особенности формирования резервов</w:t>
      </w:r>
    </w:p>
    <w:p>
      <w:pPr>
        <w:pStyle w:val="MainText"/>
        <w:rPr>
          <w:rFonts w:ascii="Arial" w:hAnsi="Arial" w:cs="Arial"/>
          <w:color w:val="000000"/>
        </w:rPr>
      </w:pPr>
      <w:r>
        <w:rPr>
          <w:rFonts w:cs="Arial" w:ascii="Arial" w:hAnsi="Arial"/>
          <w:color w:val="000000"/>
        </w:rPr>
        <w:t>4.1. При регулировании размера сформированного резерва в случае, когда заемщику предоставлено несколько ссуд, всю задолженность данного заемщика следует относить к наихудшей из присвоенных ссудам категорий качества с применением максимального размера расчетного резерва по всем предоставленным ссудам.</w:t>
      </w:r>
    </w:p>
    <w:p>
      <w:pPr>
        <w:pStyle w:val="MainText"/>
        <w:rPr>
          <w:rFonts w:ascii="Arial" w:hAnsi="Arial" w:cs="Arial"/>
          <w:color w:val="000000"/>
        </w:rPr>
      </w:pPr>
      <w:r>
        <w:rPr>
          <w:rFonts w:cs="Arial" w:ascii="Arial" w:hAnsi="Arial"/>
          <w:color w:val="000000"/>
        </w:rPr>
        <w:t>При исполнении заемщиком обязательства по ссуде, относившейся к наихудшей категории качества, оставшиеся не погашенными ссуды, предоставленные этому заемщику, относятся к наихудшей из категорий качества, присвоенных оставшимся ссудам.</w:t>
      </w:r>
    </w:p>
    <w:p>
      <w:pPr>
        <w:pStyle w:val="MainText"/>
        <w:rPr>
          <w:rFonts w:ascii="Arial" w:hAnsi="Arial" w:cs="Arial"/>
          <w:color w:val="000000"/>
        </w:rPr>
      </w:pPr>
      <w:r>
        <w:rPr>
          <w:rFonts w:cs="Arial" w:ascii="Arial" w:hAnsi="Arial"/>
          <w:color w:val="000000"/>
        </w:rPr>
        <w:t>4.2. При оценке кредитного риска по суммам, уплаченным кредитной организацией бенефициару по банковским гарантиям, но не взысканным с принципала, кредитная организация определяет качество обслуживания долга принципалом в соответствии с требованиями пункта 3.7 настоящего Положения исходя из срока неисполнения принципалом обязательства перед бенефициаром, гарантом которого выступила кредитная организация. Финансовое положение принципала оценивается в соответствии с требованиями пунктов 3.3 и 3.4 настоящего Положения.</w:t>
      </w:r>
    </w:p>
    <w:p>
      <w:pPr>
        <w:pStyle w:val="MainText"/>
        <w:rPr>
          <w:rFonts w:ascii="Arial" w:hAnsi="Arial" w:cs="Arial"/>
          <w:color w:val="000000"/>
        </w:rPr>
      </w:pPr>
      <w:r>
        <w:rPr>
          <w:rFonts w:cs="Arial" w:ascii="Arial" w:hAnsi="Arial"/>
          <w:color w:val="000000"/>
        </w:rPr>
        <w:t>4.3. При оценке кредитного риска по приобретенным на вторичном рынке закладным, помимо оценки финансового положения заемщика, должны быть проанализированы тенденции изменения стоимости имущества по закладной.</w:t>
      </w:r>
    </w:p>
    <w:p>
      <w:pPr>
        <w:pStyle w:val="MainText"/>
        <w:rPr>
          <w:rFonts w:ascii="Arial" w:hAnsi="Arial" w:cs="Arial"/>
          <w:color w:val="000000"/>
        </w:rPr>
      </w:pPr>
      <w:r>
        <w:rPr>
          <w:rFonts w:cs="Arial" w:ascii="Arial" w:hAnsi="Arial"/>
          <w:color w:val="000000"/>
        </w:rPr>
        <w:t>4.4. При формировании резерва по сделкам, связанным с отчуждением кредитной организацией финансовых активов с одновременным предоставлением контрагенту права отсрочки платежа, а также по сделкам, связанным с приобретением кредитной организацией финансовых активов с предоставлением контрагенту права отсрочки поставки финансовых активов, кредитная организация формирует следующие резервы:</w:t>
      </w:r>
    </w:p>
    <w:p>
      <w:pPr>
        <w:pStyle w:val="MainText"/>
        <w:rPr>
          <w:rFonts w:ascii="Arial" w:hAnsi="Arial" w:cs="Arial"/>
          <w:color w:val="000000"/>
        </w:rPr>
      </w:pPr>
      <w:r>
        <w:rPr>
          <w:rFonts w:cs="Arial" w:ascii="Arial" w:hAnsi="Arial"/>
          <w:color w:val="000000"/>
        </w:rPr>
        <w:t>по сделкам, связанным с отчуждением кредитной организацией финансовых активов с одновременным предоставлением контрагенту права отсрочки платежа, — в размере не меньше размера резерва по отчужденному активу, определенного на момент списания актива с баланса кредитной организации;</w:t>
      </w:r>
    </w:p>
    <w:p>
      <w:pPr>
        <w:pStyle w:val="MainText"/>
        <w:rPr>
          <w:rFonts w:ascii="Arial" w:hAnsi="Arial" w:cs="Arial"/>
          <w:color w:val="000000"/>
        </w:rPr>
      </w:pPr>
      <w:r>
        <w:rPr>
          <w:rFonts w:cs="Arial" w:ascii="Arial" w:hAnsi="Arial"/>
          <w:color w:val="000000"/>
        </w:rPr>
        <w:t>по сделкам, связанным с приобретением кредитной организацией финансовых активов с предоставлением контрагенту права отсрочки поставки финансовых активов, — в размере не меньше размера резерва в отношении приобретаемого актива.</w:t>
      </w:r>
    </w:p>
    <w:p>
      <w:pPr>
        <w:pStyle w:val="MainText"/>
        <w:rPr>
          <w:rFonts w:ascii="Arial" w:hAnsi="Arial" w:cs="Arial"/>
          <w:color w:val="000000"/>
        </w:rPr>
      </w:pPr>
      <w:r>
        <w:rPr>
          <w:rFonts w:cs="Arial" w:ascii="Arial" w:hAnsi="Arial"/>
          <w:color w:val="000000"/>
        </w:rPr>
        <w:t>4.5. Резерв формируется по требованиям к контрагенту по возврату денежных средств по второй части сделки по приобретению ценных бумаг или иных финансовых активов с обязательством их обратного отчуждения в случае, если ценные бумаги или иные финансовые активы, являющиеся предметом сделки, соответствуют приложению 1 к настоящему Положению. При этом указанные приобретенные ценные бумаги или иные финансовые активы в целях настоящего Положения могут рассматриваться в качестве обеспечения в соответствии с главой 6 настоящего Положения.</w:t>
      </w:r>
    </w:p>
    <w:p>
      <w:pPr>
        <w:pStyle w:val="MainText"/>
        <w:rPr>
          <w:rFonts w:ascii="Arial" w:hAnsi="Arial" w:cs="Arial"/>
          <w:color w:val="000000"/>
        </w:rPr>
      </w:pPr>
      <w:r>
        <w:rPr>
          <w:rFonts w:cs="Arial" w:ascii="Arial" w:hAnsi="Arial"/>
          <w:color w:val="000000"/>
        </w:rPr>
        <w:t>В случае, если ценные бумаги или иные финансовые активы, являющиеся предметом указанной сделки, не соответствуют приложению 1 к настоящему Положению и данная сделка заключена не на организованном рынке (не через организатора торговли), по требованиям к контрагенту по возврату денежных средств по второй части сделки по приобретению указанных ценных бумаг или иных финансовых активов с обязательством их обратного отчуждения формируется резерв на возможные потери в соответствии с Положением Банка России № 232-П.</w:t>
      </w:r>
    </w:p>
    <w:p>
      <w:pPr>
        <w:pStyle w:val="MainText"/>
        <w:rPr>
          <w:rFonts w:ascii="Arial" w:hAnsi="Arial" w:cs="Arial"/>
          <w:color w:val="000000"/>
        </w:rPr>
      </w:pPr>
      <w:r>
        <w:rPr>
          <w:rFonts w:cs="Arial" w:ascii="Arial" w:hAnsi="Arial"/>
          <w:color w:val="000000"/>
        </w:rPr>
        <w:t>В случае, если ценные бумаги или иные финансовые активы, являющиеся предметом указанной сделки, не соответствуют приложению 1 к настоящему Положению и данная сделка заключена на организованном рынке (через организатора торговли), по требованиям к контрагенту по возврату денежных средств по второй части сделки по приобретению указанных ценных бумаг или иных финансовых активов с обязательством их обратного отчуждения резерв в соответствии с настоящим Положением и резерв на возможные потери в соответствии с Положением Банка России № 232-П не формируются.</w:t>
      </w:r>
    </w:p>
    <w:p>
      <w:pPr>
        <w:pStyle w:val="MainText"/>
        <w:rPr>
          <w:rFonts w:ascii="Arial" w:hAnsi="Arial" w:cs="Arial"/>
          <w:color w:val="000000"/>
        </w:rPr>
      </w:pPr>
      <w:r>
        <w:rPr>
          <w:rFonts w:cs="Arial" w:ascii="Arial" w:hAnsi="Arial"/>
          <w:color w:val="000000"/>
        </w:rPr>
        <w:t>4.6. Резерв по синдицированным ссудам (синдицированным кредитам, указанным в Инструкции Банка России № 110-И) формируется в порядке, изложенном в приложении 3 к настоящему Положению.</w:t>
      </w:r>
    </w:p>
    <w:p>
      <w:pPr>
        <w:pStyle w:val="MGlavaCenter"/>
        <w:keepLines/>
        <w:spacing w:before="120" w:after="120"/>
        <w:rPr>
          <w:rFonts w:ascii="Arial" w:hAnsi="Arial" w:cs="Arial"/>
          <w:color w:val="000000"/>
        </w:rPr>
      </w:pPr>
      <w:r>
        <w:rPr>
          <w:rFonts w:cs="Arial" w:ascii="Arial" w:hAnsi="Arial"/>
          <w:color w:val="000000"/>
        </w:rPr>
        <w:t>Глава 5. Оценка кредитных рисков в целях формирования резерва по портфелю однородных ссуд</w:t>
      </w:r>
    </w:p>
    <w:p>
      <w:pPr>
        <w:pStyle w:val="MainText"/>
        <w:rPr>
          <w:rFonts w:ascii="Arial" w:hAnsi="Arial" w:cs="Arial"/>
          <w:color w:val="000000"/>
        </w:rPr>
      </w:pPr>
      <w:r>
        <w:rPr>
          <w:rFonts w:cs="Arial" w:ascii="Arial" w:hAnsi="Arial"/>
          <w:color w:val="000000"/>
        </w:rPr>
        <w:t>5.1. Кредитные организации могут формировать резерв по портфелю однородных ссуд, каждая из которых незначительна по величине. Возможность формировать резерв по портфелю однородных ссуд не распространяется на ссуды, величина каждой из которых на дату оценки риска превышает 0,1 процента от величины собственных средств (капитала) кредитной организации.</w:t>
      </w:r>
    </w:p>
    <w:p>
      <w:pPr>
        <w:pStyle w:val="MainText"/>
        <w:rPr>
          <w:rFonts w:ascii="Arial" w:hAnsi="Arial" w:cs="Arial"/>
          <w:color w:val="000000"/>
        </w:rPr>
      </w:pPr>
      <w:r>
        <w:rPr>
          <w:rFonts w:cs="Arial" w:ascii="Arial" w:hAnsi="Arial"/>
          <w:color w:val="000000"/>
        </w:rPr>
        <w:t>Признаки однородности ссуд (например, ссуды физическим лицам, предприятиям малого бизнеса), а также незначительности величины ссуд в пределах до 0,1 процента от величины собственных средств (капитала) кредитной организации определяются кредитной организацией самостоятельно.</w:t>
      </w:r>
    </w:p>
    <w:p>
      <w:pPr>
        <w:pStyle w:val="MainText"/>
        <w:rPr>
          <w:rFonts w:ascii="Arial" w:hAnsi="Arial" w:cs="Arial"/>
          <w:color w:val="000000"/>
        </w:rPr>
      </w:pPr>
      <w:r>
        <w:rPr>
          <w:rFonts w:cs="Arial" w:ascii="Arial" w:hAnsi="Arial"/>
          <w:color w:val="000000"/>
        </w:rPr>
        <w:t>5.2. Размер резерва по портфелю однородных ссуд определяется кредитной организацией в зависимости от применяемой методики оценки риска по портфелю однородных ссуд. Порядок оценки кредитного риска по портфелю (портфелям) однородных ссуд приводится в приложении 4 к настоящему Положению.</w:t>
      </w:r>
    </w:p>
    <w:p>
      <w:pPr>
        <w:pStyle w:val="MainText"/>
        <w:rPr>
          <w:rFonts w:ascii="Arial" w:hAnsi="Arial" w:cs="Arial"/>
          <w:color w:val="000000"/>
        </w:rPr>
      </w:pPr>
      <w:r>
        <w:rPr>
          <w:rFonts w:cs="Arial" w:ascii="Arial" w:hAnsi="Arial"/>
          <w:color w:val="000000"/>
        </w:rPr>
        <w:t>5.3. Регулирование размера резерва по портфелю однородных ссуд, в том числе в связи с уточнением состава портфеля и его величины, осуществляется в порядке, изложенном в настоящей главе и приложении 4 к настоящему Положению.</w:t>
      </w:r>
    </w:p>
    <w:p>
      <w:pPr>
        <w:pStyle w:val="MainText"/>
        <w:rPr>
          <w:rFonts w:ascii="Arial" w:hAnsi="Arial" w:cs="Arial"/>
          <w:color w:val="000000"/>
        </w:rPr>
      </w:pPr>
      <w:r>
        <w:rPr>
          <w:rFonts w:cs="Arial" w:ascii="Arial" w:hAnsi="Arial"/>
          <w:color w:val="000000"/>
        </w:rPr>
        <w:t>5.4. Кредитная организация не реже одного раза в квартал документально оформляет и включает в досье по портфелю однородных ссуд информацию о проведенном общем анализе состояния заемщиков и его результатах, в том числе профессиональное суждение кредитной организации о размере кредитного риска по портфелю однородных ссуд, а также информацию о расчете резерва.</w:t>
      </w:r>
    </w:p>
    <w:p>
      <w:pPr>
        <w:pStyle w:val="MGlavaCenter"/>
        <w:keepLines/>
        <w:spacing w:before="120" w:after="120"/>
        <w:rPr>
          <w:rFonts w:ascii="Arial" w:hAnsi="Arial" w:cs="Arial"/>
          <w:color w:val="000000"/>
        </w:rPr>
      </w:pPr>
      <w:r>
        <w:rPr>
          <w:rFonts w:cs="Arial" w:ascii="Arial" w:hAnsi="Arial"/>
          <w:color w:val="000000"/>
        </w:rPr>
        <w:t>Глава 6. Формирование резерва с учетом обеспечения по ссуде</w:t>
      </w:r>
    </w:p>
    <w:p>
      <w:pPr>
        <w:pStyle w:val="MainText"/>
        <w:rPr>
          <w:rFonts w:ascii="Arial" w:hAnsi="Arial" w:cs="Arial"/>
          <w:color w:val="000000"/>
        </w:rPr>
      </w:pPr>
      <w:r>
        <w:rPr>
          <w:rFonts w:cs="Arial" w:ascii="Arial" w:hAnsi="Arial"/>
          <w:color w:val="000000"/>
        </w:rPr>
        <w:t>6.1. По ссудам, отнесенным ко II—V категориям качества, резерв формируется с учетом обеспечения I и II категории качества.</w:t>
      </w:r>
    </w:p>
    <w:p>
      <w:pPr>
        <w:pStyle w:val="MainText"/>
        <w:rPr>
          <w:rFonts w:ascii="Arial" w:hAnsi="Arial" w:cs="Arial"/>
          <w:color w:val="000000"/>
        </w:rPr>
      </w:pPr>
      <w:r>
        <w:rPr>
          <w:rFonts w:cs="Arial" w:ascii="Arial" w:hAnsi="Arial"/>
          <w:color w:val="000000"/>
        </w:rPr>
        <w:t>Под обеспечением по ссуде понимается обеспечение в виде залога, банковской гарантии, поручительства, гарантийного депозита (вклада), отнесенное к одной из двух категорий качества обеспечения, установленных настоящим Положением.</w:t>
      </w:r>
    </w:p>
    <w:p>
      <w:pPr>
        <w:pStyle w:val="MainText"/>
        <w:rPr>
          <w:rFonts w:ascii="Arial" w:hAnsi="Arial" w:cs="Arial"/>
          <w:color w:val="000000"/>
        </w:rPr>
      </w:pPr>
      <w:r>
        <w:rPr>
          <w:rFonts w:cs="Arial" w:ascii="Arial" w:hAnsi="Arial"/>
          <w:color w:val="000000"/>
        </w:rPr>
        <w:t>6.2. К обеспечению I категории качества могут быть отнесены:</w:t>
      </w:r>
    </w:p>
    <w:p>
      <w:pPr>
        <w:pStyle w:val="MainText"/>
        <w:rPr>
          <w:rFonts w:ascii="Arial" w:hAnsi="Arial" w:cs="Arial"/>
          <w:color w:val="000000"/>
        </w:rPr>
      </w:pPr>
      <w:r>
        <w:rPr>
          <w:rFonts w:cs="Arial" w:ascii="Arial" w:hAnsi="Arial"/>
          <w:color w:val="000000"/>
        </w:rPr>
        <w:t>6.2.1. залог, если в качестве предмета залога выступают:</w:t>
      </w:r>
    </w:p>
    <w:p>
      <w:pPr>
        <w:pStyle w:val="MainText"/>
        <w:rPr>
          <w:rFonts w:ascii="Arial" w:hAnsi="Arial" w:cs="Arial"/>
          <w:color w:val="000000"/>
        </w:rPr>
      </w:pPr>
      <w:r>
        <w:rPr>
          <w:rFonts w:cs="Arial" w:ascii="Arial" w:hAnsi="Arial"/>
          <w:color w:val="000000"/>
        </w:rPr>
        <w:t>котируемые ценные бумаги государств, если указанные государства имеют инвестиционный рейтинг не ниже “ВВВ” по классификации S&amp;P (Standard &amp; Poor’s) и(или) не ниже аналогичного по классификациям “Fitch IBCA”, “Moody’s”, а также ценные бумаги центральных банков этих государств,</w:t>
      </w:r>
    </w:p>
    <w:p>
      <w:pPr>
        <w:pStyle w:val="MainText"/>
        <w:rPr>
          <w:rFonts w:ascii="Arial" w:hAnsi="Arial" w:cs="Arial"/>
          <w:color w:val="000000"/>
        </w:rPr>
      </w:pPr>
      <w:r>
        <w:rPr>
          <w:rFonts w:cs="Arial" w:ascii="Arial" w:hAnsi="Arial"/>
          <w:color w:val="000000"/>
        </w:rPr>
        <w:t>облигации Банка России,</w:t>
      </w:r>
    </w:p>
    <w:p>
      <w:pPr>
        <w:pStyle w:val="MainText"/>
        <w:rPr>
          <w:rFonts w:ascii="Arial" w:hAnsi="Arial" w:cs="Arial"/>
          <w:color w:val="000000"/>
        </w:rPr>
      </w:pPr>
      <w:r>
        <w:rPr>
          <w:rFonts w:cs="Arial" w:ascii="Arial" w:hAnsi="Arial"/>
          <w:color w:val="000000"/>
        </w:rPr>
        <w:t>ценные бумаги, эмитированные Министерством финансов Российской Федерации,</w:t>
      </w:r>
    </w:p>
    <w:p>
      <w:pPr>
        <w:pStyle w:val="MainText"/>
        <w:rPr>
          <w:rFonts w:ascii="Arial" w:hAnsi="Arial" w:cs="Arial"/>
          <w:color w:val="000000"/>
        </w:rPr>
      </w:pPr>
      <w:r>
        <w:rPr>
          <w:rFonts w:cs="Arial" w:ascii="Arial" w:hAnsi="Arial"/>
          <w:color w:val="000000"/>
        </w:rPr>
        <w:t>векселя Министерства финансов Российской Федерации,</w:t>
      </w:r>
    </w:p>
    <w:p>
      <w:pPr>
        <w:pStyle w:val="MainText"/>
        <w:rPr>
          <w:rFonts w:ascii="Arial" w:hAnsi="Arial" w:cs="Arial"/>
          <w:color w:val="000000"/>
        </w:rPr>
      </w:pPr>
      <w:r>
        <w:rPr>
          <w:rFonts w:cs="Arial" w:ascii="Arial" w:hAnsi="Arial"/>
          <w:color w:val="000000"/>
        </w:rPr>
        <w:t>котируемые ценные бумаги, эмитированные третьими юридическими лицами с инвестиционным рейтингом не ниже “ВВВ” по классификации S&amp;P (Standard &amp; Poor’s) и(или) не ниже аналогичного по классификациям “Fitch IBCA”, “Moody’s”,</w:t>
      </w:r>
    </w:p>
    <w:p>
      <w:pPr>
        <w:pStyle w:val="MainText"/>
        <w:rPr>
          <w:rFonts w:ascii="Arial" w:hAnsi="Arial" w:cs="Arial"/>
          <w:color w:val="000000"/>
        </w:rPr>
      </w:pPr>
      <w:r>
        <w:rPr>
          <w:rFonts w:cs="Arial" w:ascii="Arial" w:hAnsi="Arial"/>
          <w:color w:val="000000"/>
        </w:rPr>
        <w:t>собственные долговые ценные бумаги кредитной организации, то есть ценные бумаги, не относящиеся к акциям, срок предъявления которых к платежу превышает срок погашения обязательств заемщика по ссуде, либо сроком по предъявлении, если указанные бумаги находятся в закладе в кредитной организации,</w:t>
      </w:r>
    </w:p>
    <w:p>
      <w:pPr>
        <w:pStyle w:val="MainText"/>
        <w:rPr>
          <w:rFonts w:ascii="Arial" w:hAnsi="Arial" w:cs="Arial"/>
          <w:color w:val="000000"/>
        </w:rPr>
      </w:pPr>
      <w:r>
        <w:rPr>
          <w:rFonts w:cs="Arial" w:ascii="Arial" w:hAnsi="Arial"/>
          <w:color w:val="000000"/>
        </w:rPr>
        <w:t>векселя, авалированные и(или) акцептованные указанными в подпункте 6.2.3 настоящего Положения субъектами, в части суммы, обеспеченной авалем (акцептом),</w:t>
      </w:r>
    </w:p>
    <w:p>
      <w:pPr>
        <w:pStyle w:val="MainText"/>
        <w:rPr>
          <w:rFonts w:ascii="Arial" w:hAnsi="Arial" w:cs="Arial"/>
          <w:color w:val="000000"/>
        </w:rPr>
      </w:pPr>
      <w:r>
        <w:rPr>
          <w:rFonts w:cs="Arial" w:ascii="Arial" w:hAnsi="Arial"/>
          <w:color w:val="000000"/>
        </w:rPr>
        <w:t>аффинированные драгоценные металлы в слитках (золото, серебро, платина и палладий);</w:t>
      </w:r>
    </w:p>
    <w:p>
      <w:pPr>
        <w:pStyle w:val="MainText"/>
        <w:rPr>
          <w:rFonts w:ascii="Arial" w:hAnsi="Arial" w:cs="Arial"/>
          <w:color w:val="000000"/>
        </w:rPr>
      </w:pPr>
      <w:r>
        <w:rPr>
          <w:rFonts w:cs="Arial" w:ascii="Arial" w:hAnsi="Arial"/>
          <w:color w:val="000000"/>
        </w:rPr>
        <w:t>6.2.2. гарантийный депозит (вклад), отвечающий требованиям, установленным подпунктом 3.1.2 Положения Банка России № 232-П;</w:t>
      </w:r>
    </w:p>
    <w:p>
      <w:pPr>
        <w:pStyle w:val="MainText"/>
        <w:rPr>
          <w:rFonts w:ascii="Arial" w:hAnsi="Arial" w:cs="Arial"/>
          <w:color w:val="000000"/>
        </w:rPr>
      </w:pPr>
      <w:r>
        <w:rPr>
          <w:rFonts w:cs="Arial" w:ascii="Arial" w:hAnsi="Arial"/>
          <w:color w:val="000000"/>
        </w:rPr>
        <w:t>6.2.3. гарантия Российской Федерации, банковская гарантия Банка России, поручительства (гарантии) правительств и банковские гарантии центральных банков стран, входящих в группу развитых стран. Перечень стран, включаемых в группу развитых стран приведен в Инструкции Банка России № 110-И;</w:t>
      </w:r>
    </w:p>
    <w:p>
      <w:pPr>
        <w:pStyle w:val="MainText"/>
        <w:rPr>
          <w:rFonts w:ascii="Arial" w:hAnsi="Arial" w:cs="Arial"/>
          <w:color w:val="000000"/>
        </w:rPr>
      </w:pPr>
      <w:r>
        <w:rPr>
          <w:rFonts w:cs="Arial" w:ascii="Arial" w:hAnsi="Arial"/>
          <w:color w:val="000000"/>
        </w:rPr>
        <w:t>6.2.4. поручительства (гарантии) юридических лиц с инвестиционным рейтингом не ниже “ВВВ” по классификации S&amp;P (Standard &amp; Poor’s) и(или) не ниже аналогичного по классификациям “Fitch IBCA”, “Moody’s”.</w:t>
      </w:r>
    </w:p>
    <w:p>
      <w:pPr>
        <w:pStyle w:val="MainText"/>
        <w:rPr>
          <w:rFonts w:ascii="Arial" w:hAnsi="Arial" w:cs="Arial"/>
          <w:color w:val="000000"/>
        </w:rPr>
      </w:pPr>
      <w:r>
        <w:rPr>
          <w:rFonts w:cs="Arial" w:ascii="Arial" w:hAnsi="Arial"/>
          <w:color w:val="000000"/>
        </w:rPr>
        <w:t>6.3. К обеспечению II категории качества могут быть отнесены:</w:t>
      </w:r>
    </w:p>
    <w:p>
      <w:pPr>
        <w:pStyle w:val="MainText"/>
        <w:rPr>
          <w:rFonts w:ascii="Arial" w:hAnsi="Arial" w:cs="Arial"/>
          <w:color w:val="000000"/>
        </w:rPr>
      </w:pPr>
      <w:r>
        <w:rPr>
          <w:rFonts w:cs="Arial" w:ascii="Arial" w:hAnsi="Arial"/>
          <w:color w:val="000000"/>
        </w:rPr>
        <w:t>6.3.1. не относящийся к обеспечению I категории качества ликвидный залог, к которому может быть отнесен:</w:t>
      </w:r>
    </w:p>
    <w:p>
      <w:pPr>
        <w:pStyle w:val="MainText"/>
        <w:rPr>
          <w:rFonts w:ascii="Arial" w:hAnsi="Arial" w:cs="Arial"/>
          <w:color w:val="000000"/>
        </w:rPr>
      </w:pPr>
      <w:r>
        <w:rPr>
          <w:rFonts w:cs="Arial" w:ascii="Arial" w:hAnsi="Arial"/>
          <w:color w:val="000000"/>
        </w:rPr>
        <w:t>залог ценных бумаг эмитентов ценных бумаг, допущенных к обращению на открытом организованном рынке или через организатора торговли на рынке ценных бумаг Российской Федерации, а также на открытом организованном рынке или через организатора торговли на рынках стран, входящих в группу развитых стран,</w:t>
      </w:r>
    </w:p>
    <w:p>
      <w:pPr>
        <w:pStyle w:val="MainText"/>
        <w:rPr>
          <w:rFonts w:ascii="Arial" w:hAnsi="Arial" w:cs="Arial"/>
          <w:color w:val="000000"/>
        </w:rPr>
      </w:pPr>
      <w:r>
        <w:rPr>
          <w:rFonts w:cs="Arial" w:ascii="Arial" w:hAnsi="Arial"/>
          <w:color w:val="000000"/>
        </w:rPr>
        <w:t>залог ценных бумаг, эмитированных третьими юридическими лицами, имеющими рейтинг не ниже “ССС” по классификации S&amp;P (Standard &amp; Poor’s) и(или) не ниже аналогичного по классификациям “Fitch IBCA”, “Moody’s”,</w:t>
      </w:r>
    </w:p>
    <w:p>
      <w:pPr>
        <w:pStyle w:val="MainText"/>
        <w:rPr>
          <w:rFonts w:ascii="Arial" w:hAnsi="Arial" w:cs="Arial"/>
          <w:color w:val="000000"/>
        </w:rPr>
      </w:pPr>
      <w:r>
        <w:rPr>
          <w:rFonts w:cs="Arial" w:ascii="Arial" w:hAnsi="Arial"/>
          <w:color w:val="000000"/>
        </w:rPr>
        <w:t>залог векселей, авалированных и(или) акцептованных указанными в подпункте 6.2.4 настоящего Положения субъектами, в части суммы, обеспеченной авалем (акцептом),</w:t>
      </w:r>
    </w:p>
    <w:p>
      <w:pPr>
        <w:pStyle w:val="MainText"/>
        <w:rPr>
          <w:rFonts w:ascii="Arial" w:hAnsi="Arial" w:cs="Arial"/>
          <w:color w:val="000000"/>
        </w:rPr>
      </w:pPr>
      <w:r>
        <w:rPr>
          <w:rFonts w:cs="Arial" w:ascii="Arial" w:hAnsi="Arial"/>
          <w:color w:val="000000"/>
        </w:rPr>
        <w:t>залог ценных бумаг, эмитированных кредитными организациями — резидентами Российской Федерации и банками стран, входящих в группу развитых стран, если указанные ценные бумаги не могут быть отнесены к обеспечению I категории качества, а финансовое положение эмитента оценивается как хорошее в соответствии с абзацем вторым пункта 3.3 и с учетом подпункта 3.4.1 настоящего Положения,</w:t>
      </w:r>
    </w:p>
    <w:p>
      <w:pPr>
        <w:pStyle w:val="MainText"/>
        <w:rPr>
          <w:rFonts w:ascii="Arial" w:hAnsi="Arial" w:cs="Arial"/>
          <w:color w:val="000000"/>
        </w:rPr>
      </w:pPr>
      <w:r>
        <w:rPr>
          <w:rFonts w:cs="Arial" w:ascii="Arial" w:hAnsi="Arial"/>
          <w:color w:val="000000"/>
        </w:rPr>
        <w:t>эмиссионные ценные бумаги юридических лиц, принятые в обеспечение ссуды (совокупности ссуд, предоставленных данным кредитором), если рентабельность капитала указанных юридических лиц за последний год составляет не менее пяти процентов, а финансовое положение оценивается как хорошее в соответствии с абзацем вторым пункта 3.3 и с учетом подпункта 3.4.1 настоящего Положения и отсутствуют какие-либо признаки его ухудшения, — в размере до 50 процентов подтвержденной аудиторской проверкой величины капитала (чистых активов) этих юридических лиц,</w:t>
      </w:r>
    </w:p>
    <w:p>
      <w:pPr>
        <w:pStyle w:val="MainText"/>
        <w:rPr>
          <w:rFonts w:ascii="Arial" w:hAnsi="Arial" w:cs="Arial"/>
          <w:color w:val="000000"/>
        </w:rPr>
      </w:pPr>
      <w:r>
        <w:rPr>
          <w:rFonts w:cs="Arial" w:ascii="Arial" w:hAnsi="Arial"/>
          <w:color w:val="000000"/>
        </w:rPr>
        <w:t>залог земельных участков, предприятий, зданий, сооружений, квартир и другого недвижимого имущества и(или) оборудования при наличии устойчивого рынка указанных предметов залога и(или) иных достаточных оснований считать, что соответствующий предмет залога может быть реализован в срок, не превышающий 180 календарных дней с момента возникновения основания для обращения взыскания на залог при условии, что вся юридическая документация в отношении залоговых прав кредитной организации оформлена таким образом, что в ней не содержится условий, препятствующих реализации залоговых прав, а также при условии, что указанный предмет (предметы) залога застрахованы залогодателем в пользу кредитной организации, принявшей их в качестве залога по ссуде (ссудам). Финансовое положение страховой компании, предоставляющей страховой полис, должно оцениваться как хорошее в соответствии с пунктом 3.3 и с учетом подпункта 3.4.1 настоящего Положения,</w:t>
      </w:r>
    </w:p>
    <w:p>
      <w:pPr>
        <w:pStyle w:val="MainText"/>
        <w:rPr>
          <w:rFonts w:ascii="Arial" w:hAnsi="Arial" w:cs="Arial"/>
          <w:color w:val="000000"/>
        </w:rPr>
      </w:pPr>
      <w:r>
        <w:rPr>
          <w:rFonts w:cs="Arial" w:ascii="Arial" w:hAnsi="Arial"/>
          <w:color w:val="000000"/>
        </w:rPr>
        <w:t>залог сырья, материалов, готовой продукции, товаров при наличии устойчивого рынка указанных предметов залога и достаточных оснований считать, что соответствующий предмет залога может быть реализован в срок, не превышающий 180 календарных дней с момента возникновения основания для обращения взыскания на залог при условии, что вся юридическая документация в отношении залоговых прав кредитной организации оформлена таким образом, что в ней не содержится условий, препятствующих реализации залоговых прав, а также при условии, что указанный предмет (предметы) залога застрахованы залогодателем в пользу кредитной организации, принявшей их в качестве залога по ссуде (ссудам). Финансовое положение страховой компании, предоставляющей страховой полис, должно оцениваться как хорошее в соответствии с пунктом 3.3 и с учетом подпункта 3.4.1 настоящего Положения;</w:t>
      </w:r>
    </w:p>
    <w:p>
      <w:pPr>
        <w:pStyle w:val="MainText"/>
        <w:rPr>
          <w:rFonts w:ascii="Arial" w:hAnsi="Arial" w:cs="Arial"/>
          <w:color w:val="000000"/>
        </w:rPr>
      </w:pPr>
      <w:r>
        <w:rPr>
          <w:rFonts w:cs="Arial" w:ascii="Arial" w:hAnsi="Arial"/>
          <w:color w:val="000000"/>
        </w:rPr>
        <w:t>6.3.2. гарантии (банковские гарантии) и поручительства (применительно к векселям — авали и(или) акцепты) лиц, перечисленных в подпункте 6.3.1 настоящего Положения, в пределах 50 процентов от чистых активов (собственных средств (капитала) гаранта (поручителя), подтвержденных аудиторской проверкой за последний отчетный год, при условии, что финансовое положение гаранта (поручителя) оценивается как хорошее в соответствии с абзацем вторым пункта 3.3 и с учетом подпункта 3.4.1 настоящего Положения.</w:t>
      </w:r>
    </w:p>
    <w:p>
      <w:pPr>
        <w:pStyle w:val="MainText"/>
        <w:rPr>
          <w:rFonts w:ascii="Arial" w:hAnsi="Arial" w:cs="Arial"/>
          <w:color w:val="000000"/>
        </w:rPr>
      </w:pPr>
      <w:r>
        <w:rPr>
          <w:rFonts w:cs="Arial" w:ascii="Arial" w:hAnsi="Arial"/>
          <w:color w:val="000000"/>
        </w:rPr>
        <w:t>6.4. Под суммой обеспечения понимается:</w:t>
      </w:r>
    </w:p>
    <w:p>
      <w:pPr>
        <w:pStyle w:val="MainText"/>
        <w:rPr>
          <w:rFonts w:ascii="Arial" w:hAnsi="Arial" w:cs="Arial"/>
          <w:color w:val="000000"/>
        </w:rPr>
      </w:pPr>
      <w:r>
        <w:rPr>
          <w:rFonts w:cs="Arial" w:ascii="Arial" w:hAnsi="Arial"/>
          <w:color w:val="000000"/>
        </w:rPr>
        <w:t>для залога (кроме ценных бумаг, котируемых организатором торговли на рынке ценных бумаг) — справедливая стоимость залога. Справедливая стоимость залога, относящегося к I и II категориям качества обеспечения, определяется кредитной организацией на постоянной основе, но не реже одного раза в квартал. Изменение справедливой стоимости залога учитывается при определении размера резерва, рассчитываемого в порядке, установленном пунктом 6.7 настоящего Положения;</w:t>
      </w:r>
    </w:p>
    <w:p>
      <w:pPr>
        <w:pStyle w:val="MainText"/>
        <w:rPr>
          <w:rFonts w:ascii="Arial" w:hAnsi="Arial" w:cs="Arial"/>
          <w:color w:val="000000"/>
        </w:rPr>
      </w:pPr>
      <w:r>
        <w:rPr>
          <w:rFonts w:cs="Arial" w:ascii="Arial" w:hAnsi="Arial"/>
          <w:color w:val="000000"/>
        </w:rPr>
        <w:t>для ценных бумаг, котируемых организатором торговли на рынке ценных бумаг, — рыночная стоимость ценных бумаг, определяемая в соответствии с нормативным актом Банка России о порядке расчета размера рыночных рисков;</w:t>
      </w:r>
    </w:p>
    <w:p>
      <w:pPr>
        <w:pStyle w:val="MainText"/>
        <w:rPr>
          <w:rFonts w:ascii="Arial" w:hAnsi="Arial" w:cs="Arial"/>
          <w:color w:val="000000"/>
        </w:rPr>
      </w:pPr>
      <w:r>
        <w:rPr>
          <w:rFonts w:cs="Arial" w:ascii="Arial" w:hAnsi="Arial"/>
          <w:color w:val="000000"/>
        </w:rPr>
        <w:t>для собственных долговых ценных бумаг кредитной организации и гарантийного депозита (вклада) — сумма обязательств, предусмотренная ценной бумагой (договором депозита (вклада) и отраженная на соответствующих счетах бухгалтерского учета;</w:t>
      </w:r>
    </w:p>
    <w:p>
      <w:pPr>
        <w:pStyle w:val="MainText"/>
        <w:rPr>
          <w:rFonts w:ascii="Arial" w:hAnsi="Arial" w:cs="Arial"/>
          <w:color w:val="000000"/>
        </w:rPr>
      </w:pPr>
      <w:r>
        <w:rPr>
          <w:rFonts w:cs="Arial" w:ascii="Arial" w:hAnsi="Arial"/>
          <w:color w:val="000000"/>
        </w:rPr>
        <w:t>для поручительств, гарантий (банковских гарантий), авалей и(или) акцептов векселей — сумма обязательства по поручительству, гарантии (банковской гарантии), векселю (в случае аваля и(или) акцепта переводного векселя — часть вексельной суммы).</w:t>
      </w:r>
    </w:p>
    <w:p>
      <w:pPr>
        <w:pStyle w:val="MainText"/>
        <w:rPr>
          <w:rFonts w:ascii="Arial" w:hAnsi="Arial" w:cs="Arial"/>
          <w:color w:val="000000"/>
        </w:rPr>
      </w:pPr>
      <w:r>
        <w:rPr>
          <w:rFonts w:cs="Arial" w:ascii="Arial" w:hAnsi="Arial"/>
          <w:color w:val="000000"/>
        </w:rPr>
        <w:t>6.5. Обеспечение не может учитываться для целей настоящего Положения, если:</w:t>
      </w:r>
    </w:p>
    <w:p>
      <w:pPr>
        <w:pStyle w:val="MainText"/>
        <w:rPr>
          <w:rFonts w:ascii="Arial" w:hAnsi="Arial" w:cs="Arial"/>
          <w:color w:val="000000"/>
        </w:rPr>
      </w:pPr>
      <w:r>
        <w:rPr>
          <w:rFonts w:cs="Arial" w:ascii="Arial" w:hAnsi="Arial"/>
          <w:color w:val="000000"/>
        </w:rPr>
        <w:t>в момент возникновения необходимости реализации залоговых прав у кредитной организации отсутствует юридическая возможность их реализации и(или) кредитная организация не предпринимает фактических действий по их реализации;</w:t>
      </w:r>
    </w:p>
    <w:p>
      <w:pPr>
        <w:pStyle w:val="MainText"/>
        <w:rPr>
          <w:rFonts w:ascii="Arial" w:hAnsi="Arial" w:cs="Arial"/>
          <w:color w:val="000000"/>
        </w:rPr>
      </w:pPr>
      <w:r>
        <w:rPr>
          <w:rFonts w:cs="Arial" w:ascii="Arial" w:hAnsi="Arial"/>
          <w:color w:val="000000"/>
        </w:rPr>
        <w:t>возникают основания для суждения о невозможности реализовать залог без существенных потерь стоимости;</w:t>
      </w:r>
    </w:p>
    <w:p>
      <w:pPr>
        <w:pStyle w:val="MainText"/>
        <w:rPr>
          <w:rFonts w:ascii="Arial" w:hAnsi="Arial" w:cs="Arial"/>
          <w:color w:val="000000"/>
        </w:rPr>
      </w:pPr>
      <w:r>
        <w:rPr>
          <w:rFonts w:cs="Arial" w:ascii="Arial" w:hAnsi="Arial"/>
          <w:color w:val="000000"/>
        </w:rPr>
        <w:t>финансовое положение лица, чьи обязательства приняты в качестве залога, не может быть оценено как хорошее (в том числе в соответствии с пунктом 3.4 настоящего Положения) и(или) имеются признаки его ухудшения, за исключением случая, когда предметом залога являются собственные долговые ценные бумаги кредитной организации — кредитора;</w:t>
      </w:r>
    </w:p>
    <w:p>
      <w:pPr>
        <w:pStyle w:val="MainText"/>
        <w:rPr>
          <w:rFonts w:ascii="Arial" w:hAnsi="Arial" w:cs="Arial"/>
          <w:color w:val="000000"/>
        </w:rPr>
      </w:pPr>
      <w:r>
        <w:rPr>
          <w:rFonts w:cs="Arial" w:ascii="Arial" w:hAnsi="Arial"/>
          <w:color w:val="000000"/>
        </w:rPr>
        <w:t>предмет залога обременен обязательствами по иным договорам залогодателя с третьими лицами;</w:t>
      </w:r>
    </w:p>
    <w:p>
      <w:pPr>
        <w:pStyle w:val="MainText"/>
        <w:rPr>
          <w:rFonts w:ascii="Arial" w:hAnsi="Arial" w:cs="Arial"/>
          <w:color w:val="000000"/>
        </w:rPr>
      </w:pPr>
      <w:r>
        <w:rPr>
          <w:rFonts w:cs="Arial" w:ascii="Arial" w:hAnsi="Arial"/>
          <w:color w:val="000000"/>
        </w:rPr>
        <w:t>в процессе обслуживания ссуды возникают обстоятельства, ограничивающие права залогодержателя, существенно препятствующие их реализации, в частности, при реализации предмета залога;</w:t>
      </w:r>
    </w:p>
    <w:p>
      <w:pPr>
        <w:pStyle w:val="MainText"/>
        <w:rPr>
          <w:rFonts w:ascii="Arial" w:hAnsi="Arial" w:cs="Arial"/>
          <w:color w:val="000000"/>
        </w:rPr>
      </w:pPr>
      <w:r>
        <w:rPr>
          <w:rFonts w:cs="Arial" w:ascii="Arial" w:hAnsi="Arial"/>
          <w:color w:val="000000"/>
        </w:rPr>
        <w:t>имеются иные обстоятельства, которые могут существенно препятствовать реализации кредитной организацией залоговых прав.</w:t>
      </w:r>
    </w:p>
    <w:p>
      <w:pPr>
        <w:pStyle w:val="MainText"/>
        <w:rPr>
          <w:rFonts w:ascii="Arial" w:hAnsi="Arial" w:cs="Arial"/>
          <w:color w:val="000000"/>
        </w:rPr>
      </w:pPr>
      <w:r>
        <w:rPr>
          <w:rFonts w:cs="Arial" w:ascii="Arial" w:hAnsi="Arial"/>
          <w:color w:val="000000"/>
        </w:rPr>
        <w:t>Степень существенности обстоятельств, препятствующих реализации залоговых прав, определяется на основании профессионального суждения.</w:t>
      </w:r>
    </w:p>
    <w:p>
      <w:pPr>
        <w:pStyle w:val="MainText"/>
        <w:rPr>
          <w:rFonts w:ascii="Arial" w:hAnsi="Arial" w:cs="Arial"/>
          <w:color w:val="000000"/>
        </w:rPr>
      </w:pPr>
      <w:r>
        <w:rPr>
          <w:rFonts w:cs="Arial" w:ascii="Arial" w:hAnsi="Arial"/>
          <w:color w:val="000000"/>
        </w:rPr>
        <w:t>6.6. При истечении 180-дневного срока с момента возникновения основания для обращения взыскания на залог, в том числе по причинам, не зависящим от кредитной организации (например, иск кредитной организации об обращении взыскания на заложенное имущество оставлен без рассмотрения или без движения, в результате судебного разбирательства произведена отсрочка реализации предмета залога (в соответствии с пунктом 2 статьи 350 Гражданского кодекса Российской Федерации (Собрание законодательства Российской Федерации, 1994, № 32, ст. 3301), обеспечение для целей настоящего Положения учитывается следующим образом:</w:t>
      </w:r>
    </w:p>
    <w:p>
      <w:pPr>
        <w:pStyle w:val="MainText"/>
        <w:rPr>
          <w:rFonts w:ascii="Arial" w:hAnsi="Arial" w:cs="Arial"/>
          <w:color w:val="000000"/>
        </w:rPr>
      </w:pPr>
      <w:r>
        <w:rPr>
          <w:rFonts w:cs="Arial" w:ascii="Arial" w:hAnsi="Arial"/>
          <w:color w:val="000000"/>
        </w:rPr>
        <w:t>в течение срока свыше 180 календарных дней до 270 календарных дней с момента возникновения оснований для обращения взыскания на залог сумма обеспечения принимается в размере не более 70 процентов от текущей оценки его стоимости;</w:t>
      </w:r>
    </w:p>
    <w:p>
      <w:pPr>
        <w:pStyle w:val="MainText"/>
        <w:rPr>
          <w:rFonts w:ascii="Arial" w:hAnsi="Arial" w:cs="Arial"/>
          <w:color w:val="000000"/>
        </w:rPr>
      </w:pPr>
      <w:r>
        <w:rPr>
          <w:rFonts w:cs="Arial" w:ascii="Arial" w:hAnsi="Arial"/>
          <w:color w:val="000000"/>
        </w:rPr>
        <w:t>в течение срока свыше 270 календарных дней до 365 календарных дней с момента возникновения оснований для обращения взыскания на залог сумма обеспечения принимается в размере не более 50 процентов от текущей оценки его стоимости;</w:t>
      </w:r>
    </w:p>
    <w:p>
      <w:pPr>
        <w:pStyle w:val="MainText"/>
        <w:rPr>
          <w:rFonts w:ascii="Arial" w:hAnsi="Arial" w:cs="Arial"/>
          <w:color w:val="000000"/>
        </w:rPr>
      </w:pPr>
      <w:r>
        <w:rPr>
          <w:rFonts w:cs="Arial" w:ascii="Arial" w:hAnsi="Arial"/>
          <w:color w:val="000000"/>
        </w:rPr>
        <w:t>по истечении 365 календарных дней с момента возникновения оснований для обращения взыскания на залог обеспечение не может учитываться для целей настоящего Положения.</w:t>
      </w:r>
    </w:p>
    <w:p>
      <w:pPr>
        <w:pStyle w:val="MainText"/>
        <w:rPr>
          <w:rFonts w:ascii="Arial" w:hAnsi="Arial" w:cs="Arial"/>
          <w:color w:val="000000"/>
        </w:rPr>
      </w:pPr>
      <w:r>
        <w:rPr>
          <w:rFonts w:cs="Arial" w:ascii="Arial" w:hAnsi="Arial"/>
          <w:color w:val="000000"/>
        </w:rPr>
        <w:t>6.7. При наличии обеспечения I или II категории качества минимальный размер резерва определяется по следующей формуле:</w:t>
      </w:r>
    </w:p>
    <w:p>
      <w:pPr>
        <w:pStyle w:val="MainText-BezOtstupa1"/>
        <w:keepNext w:val="true"/>
        <w:keepLines/>
        <w:ind w:start="737" w:end="0"/>
        <w:jc w:val="center"/>
        <w:rPr>
          <w:rFonts w:ascii="Arial" w:hAnsi="Arial" w:cs="Arial"/>
        </w:rPr>
      </w:pPr>
      <w:r>
        <w:rPr>
          <w:rFonts w:cs="Arial" w:ascii="Arial" w:hAnsi="Arial"/>
        </w:rPr>
        <w:t>k</w:t>
      </w:r>
      <w:r>
        <w:rPr>
          <w:rFonts w:cs="Arial" w:ascii="Arial" w:hAnsi="Arial"/>
          <w:vertAlign w:val="subscript"/>
        </w:rPr>
        <w:t>i</w:t>
      </w:r>
      <w:r>
        <w:rPr>
          <w:rFonts w:cs="Arial" w:ascii="Arial" w:hAnsi="Arial"/>
        </w:rPr>
        <w:t xml:space="preserve"> * Об</w:t>
      </w:r>
      <w:r>
        <w:rPr>
          <w:rFonts w:cs="Arial" w:ascii="Arial" w:hAnsi="Arial"/>
          <w:vertAlign w:val="subscript"/>
        </w:rPr>
        <w:t>i</w:t>
      </w:r>
    </w:p>
    <w:p>
      <w:pPr>
        <w:pStyle w:val="MainText-BezOtstupa1"/>
        <w:keepNext w:val="true"/>
        <w:keepLines/>
        <w:jc w:val="center"/>
        <w:rPr>
          <w:rFonts w:ascii="Arial" w:hAnsi="Arial" w:cs="Arial"/>
        </w:rPr>
      </w:pPr>
      <w:r>
        <w:rPr>
          <w:rFonts w:cs="Arial" w:ascii="Arial" w:hAnsi="Arial"/>
        </w:rPr>
        <w:t>Р = РР * (1 — —————), где</w:t>
      </w:r>
    </w:p>
    <w:p>
      <w:pPr>
        <w:pStyle w:val="MainText-BezOtstupa1"/>
        <w:spacing w:before="0" w:after="120"/>
        <w:ind w:start="737" w:end="0"/>
        <w:jc w:val="center"/>
        <w:rPr>
          <w:rFonts w:ascii="Arial" w:hAnsi="Arial" w:cs="Arial"/>
        </w:rPr>
      </w:pPr>
      <w:r>
        <w:rPr>
          <w:rFonts w:cs="Arial" w:ascii="Arial" w:hAnsi="Arial"/>
        </w:rPr>
        <w:t>Ср</w:t>
      </w:r>
    </w:p>
    <w:p>
      <w:pPr>
        <w:pStyle w:val="MainText-BezOtstupa1"/>
        <w:rPr>
          <w:rFonts w:ascii="Arial" w:hAnsi="Arial" w:cs="Arial"/>
        </w:rPr>
      </w:pPr>
      <w:r>
        <w:rPr>
          <w:rFonts w:cs="Arial" w:ascii="Arial" w:hAnsi="Arial"/>
        </w:rPr>
        <w:t>Р — минимальный размер резерва. Резерв, формируемый кредитной организацией, не может быть меньше минимального размера резерва;</w:t>
      </w:r>
    </w:p>
    <w:p>
      <w:pPr>
        <w:pStyle w:val="MainText-BezOtstupa1"/>
        <w:rPr>
          <w:rFonts w:ascii="Arial" w:hAnsi="Arial" w:cs="Arial"/>
        </w:rPr>
      </w:pPr>
      <w:r>
        <w:rPr>
          <w:rFonts w:cs="Arial" w:ascii="Arial" w:hAnsi="Arial"/>
        </w:rPr>
        <w:t>РР — размер расчетного резерва;</w:t>
      </w:r>
    </w:p>
    <w:p>
      <w:pPr>
        <w:pStyle w:val="MainText-BezOtstupa1"/>
        <w:rPr>
          <w:rFonts w:ascii="Arial" w:hAnsi="Arial" w:cs="Arial"/>
        </w:rPr>
      </w:pPr>
      <w:r>
        <w:rPr>
          <w:rFonts w:cs="Arial" w:ascii="Arial" w:hAnsi="Arial"/>
        </w:rPr>
        <w:t>k</w:t>
      </w:r>
      <w:r>
        <w:rPr>
          <w:rFonts w:cs="Arial" w:ascii="Arial" w:hAnsi="Arial"/>
          <w:vertAlign w:val="subscript"/>
        </w:rPr>
        <w:t>i</w:t>
      </w:r>
      <w:r>
        <w:rPr>
          <w:rFonts w:cs="Arial" w:ascii="Arial" w:hAnsi="Arial"/>
        </w:rPr>
        <w:t> — коэффициент (индекс) категории качества обеспечения. Для обеспечения I категории качества k</w:t>
      </w:r>
      <w:r>
        <w:rPr>
          <w:rFonts w:cs="Arial" w:ascii="Arial" w:hAnsi="Arial"/>
          <w:vertAlign w:val="subscript"/>
        </w:rPr>
        <w:t>i</w:t>
      </w:r>
      <w:r>
        <w:rPr>
          <w:rFonts w:cs="Arial" w:ascii="Arial" w:hAnsi="Arial"/>
        </w:rPr>
        <w:t xml:space="preserve"> (k</w:t>
      </w:r>
      <w:r>
        <w:rPr>
          <w:rFonts w:cs="Arial" w:ascii="Arial" w:hAnsi="Arial"/>
          <w:vertAlign w:val="subscript"/>
        </w:rPr>
        <w:t>1</w:t>
      </w:r>
      <w:r>
        <w:rPr>
          <w:rFonts w:cs="Arial" w:ascii="Arial" w:hAnsi="Arial"/>
        </w:rPr>
        <w:t>) принимается равным единице (1,0). Для обеспечения II категории качества k</w:t>
      </w:r>
      <w:r>
        <w:rPr>
          <w:rFonts w:cs="Arial" w:ascii="Arial" w:hAnsi="Arial"/>
          <w:vertAlign w:val="subscript"/>
        </w:rPr>
        <w:t>i</w:t>
      </w:r>
      <w:r>
        <w:rPr>
          <w:rFonts w:cs="Arial" w:ascii="Arial" w:hAnsi="Arial"/>
        </w:rPr>
        <w:t xml:space="preserve"> (k</w:t>
      </w:r>
      <w:r>
        <w:rPr>
          <w:rFonts w:cs="Arial" w:ascii="Arial" w:hAnsi="Arial"/>
          <w:vertAlign w:val="subscript"/>
        </w:rPr>
        <w:t>2</w:t>
      </w:r>
      <w:r>
        <w:rPr>
          <w:rFonts w:cs="Arial" w:ascii="Arial" w:hAnsi="Arial"/>
        </w:rPr>
        <w:t>) принимается равным 0,5.</w:t>
      </w:r>
    </w:p>
    <w:p>
      <w:pPr>
        <w:pStyle w:val="MainText-BezOtstupa1"/>
        <w:rPr>
          <w:rFonts w:ascii="Arial" w:hAnsi="Arial" w:cs="Arial"/>
        </w:rPr>
      </w:pPr>
      <w:r>
        <w:rPr>
          <w:rFonts w:cs="Arial" w:ascii="Arial" w:hAnsi="Arial"/>
        </w:rPr>
        <w:t>Об</w:t>
      </w:r>
      <w:r>
        <w:rPr>
          <w:rFonts w:cs="Arial" w:ascii="Arial" w:hAnsi="Arial"/>
          <w:sz w:val="11"/>
        </w:rPr>
        <w:t>i</w:t>
      </w:r>
      <w:r>
        <w:rPr>
          <w:rFonts w:cs="Arial" w:ascii="Arial" w:hAnsi="Arial"/>
        </w:rPr>
        <w:t> — стоимость обеспечения соответствующей категории качества (за вычетом дополнительных расходов кредитной организации, связанных с реализацией обеспечения);</w:t>
      </w:r>
    </w:p>
    <w:p>
      <w:pPr>
        <w:pStyle w:val="MainText-BezOtstupa1"/>
        <w:rPr>
          <w:rFonts w:ascii="Arial" w:hAnsi="Arial" w:cs="Arial"/>
        </w:rPr>
      </w:pPr>
      <w:r>
        <w:rPr>
          <w:rFonts w:cs="Arial" w:ascii="Arial" w:hAnsi="Arial"/>
        </w:rPr>
        <w:t>Ср — величина основного долга по ссуде.</w:t>
      </w:r>
    </w:p>
    <w:p>
      <w:pPr>
        <w:pStyle w:val="MainText"/>
        <w:rPr>
          <w:rFonts w:ascii="Arial" w:hAnsi="Arial" w:cs="Arial"/>
          <w:color w:val="000000"/>
        </w:rPr>
      </w:pPr>
      <w:r>
        <w:rPr>
          <w:rFonts w:cs="Arial" w:ascii="Arial" w:hAnsi="Arial"/>
          <w:color w:val="000000"/>
        </w:rPr>
        <w:t>Если k</w:t>
      </w:r>
      <w:r>
        <w:rPr>
          <w:rFonts w:cs="Arial" w:ascii="Arial" w:hAnsi="Arial"/>
          <w:vertAlign w:val="subscript"/>
        </w:rPr>
        <w:t>i</w:t>
      </w:r>
      <w:r>
        <w:rPr>
          <w:rFonts w:cs="Arial" w:ascii="Arial" w:hAnsi="Arial"/>
          <w:color w:val="000000"/>
        </w:rPr>
        <w:t xml:space="preserve"> * Об</w:t>
      </w:r>
      <w:r>
        <w:rPr>
          <w:rFonts w:cs="Arial" w:ascii="Arial" w:hAnsi="Arial"/>
          <w:vertAlign w:val="subscript"/>
        </w:rPr>
        <w:t>i</w:t>
      </w:r>
      <w:r>
        <w:rPr>
          <w:rFonts w:cs="Arial" w:ascii="Arial" w:hAnsi="Arial"/>
          <w:color w:val="000000"/>
        </w:rPr>
        <w:t xml:space="preserve"> і Ср, то Р принимается равным нулю (0).</w:t>
      </w:r>
    </w:p>
    <w:p>
      <w:pPr>
        <w:pStyle w:val="MainText"/>
        <w:rPr>
          <w:rFonts w:ascii="Arial" w:hAnsi="Arial" w:cs="Arial"/>
          <w:color w:val="000000"/>
        </w:rPr>
      </w:pPr>
      <w:r>
        <w:rPr>
          <w:rFonts w:cs="Arial" w:ascii="Arial" w:hAnsi="Arial"/>
          <w:color w:val="000000"/>
        </w:rPr>
        <w:t>С учетом оценки состояния и перспектив реализации предметов залога (обращения взыскания на гаранта (поручителя, авалиста (акцептанта) формируемый кредитной организацией резерв может быть больше, чем определенный в соответствии с настоящим пунктом минимальный размер резерва.</w:t>
      </w:r>
    </w:p>
    <w:p>
      <w:pPr>
        <w:pStyle w:val="MGlavaCenter"/>
        <w:keepLines/>
        <w:spacing w:before="120" w:after="120"/>
        <w:rPr>
          <w:rFonts w:ascii="Arial" w:hAnsi="Arial" w:cs="Arial"/>
          <w:color w:val="000000"/>
        </w:rPr>
      </w:pPr>
      <w:r>
        <w:rPr>
          <w:rFonts w:cs="Arial" w:ascii="Arial" w:hAnsi="Arial"/>
          <w:color w:val="000000"/>
        </w:rPr>
        <w:t>Глава 7. Порядок определения размера расчетного резерва и формирования резерва</w:t>
      </w:r>
    </w:p>
    <w:p>
      <w:pPr>
        <w:pStyle w:val="MainText"/>
        <w:rPr>
          <w:rFonts w:ascii="Arial" w:hAnsi="Arial" w:cs="Arial"/>
          <w:color w:val="000000"/>
        </w:rPr>
      </w:pPr>
      <w:r>
        <w:rPr>
          <w:rFonts w:cs="Arial" w:ascii="Arial" w:hAnsi="Arial"/>
          <w:color w:val="000000"/>
        </w:rPr>
        <w:t>7.1. Определение размера расчетного резерва и размера резерва производится на постоянной основе одновременно с оценкой кредитных рисков по ссудам, осуществляемой кредитной организацией в соответствии с главами 2—6 настоящего Положения.</w:t>
      </w:r>
    </w:p>
    <w:p>
      <w:pPr>
        <w:pStyle w:val="MainText"/>
        <w:rPr>
          <w:rFonts w:ascii="Arial" w:hAnsi="Arial" w:cs="Arial"/>
          <w:color w:val="000000"/>
        </w:rPr>
      </w:pPr>
      <w:r>
        <w:rPr>
          <w:rFonts w:cs="Arial" w:ascii="Arial" w:hAnsi="Arial"/>
          <w:color w:val="000000"/>
        </w:rPr>
        <w:t>7.2. Оценка размера расчетного резерва и резерва производится в соответствии с пунктами 2.1 и 3.1 настоящего Положения.</w:t>
      </w:r>
    </w:p>
    <w:p>
      <w:pPr>
        <w:pStyle w:val="MainText"/>
        <w:rPr>
          <w:rFonts w:ascii="Arial" w:hAnsi="Arial" w:cs="Arial"/>
          <w:color w:val="000000"/>
        </w:rPr>
      </w:pPr>
      <w:r>
        <w:rPr>
          <w:rFonts w:cs="Arial" w:ascii="Arial" w:hAnsi="Arial"/>
          <w:color w:val="000000"/>
        </w:rPr>
        <w:t>Если размер расчетного резерва в связи с изменением суммы основного долга по ссуде и(или) в связи с повышением категории качества ссуды меньше размера сформированного резерва по ссуде, то разница между сформированным резервом и резервом, который должен быть сформирован, восстанавливается на доходы кредитной организации.</w:t>
      </w:r>
    </w:p>
    <w:p>
      <w:pPr>
        <w:pStyle w:val="MainText"/>
        <w:rPr>
          <w:rFonts w:ascii="Arial" w:hAnsi="Arial" w:cs="Arial"/>
          <w:color w:val="000000"/>
        </w:rPr>
      </w:pPr>
      <w:r>
        <w:rPr>
          <w:rFonts w:cs="Arial" w:ascii="Arial" w:hAnsi="Arial"/>
          <w:color w:val="000000"/>
        </w:rPr>
        <w:t>7.3. Размер расчетного резерва и резерва определяется в целом по кредитной организации независимо от отражения резерва на балансах филиалов. Порядок формирования, регулирования и отражения резерва на балансах филиалов кредитная организация определяет самостоятельно.</w:t>
      </w:r>
    </w:p>
    <w:p>
      <w:pPr>
        <w:pStyle w:val="MainText"/>
        <w:rPr>
          <w:rFonts w:ascii="Arial" w:hAnsi="Arial" w:cs="Arial"/>
          <w:color w:val="000000"/>
        </w:rPr>
      </w:pPr>
      <w:r>
        <w:rPr>
          <w:rFonts w:cs="Arial" w:ascii="Arial" w:hAnsi="Arial"/>
          <w:color w:val="000000"/>
        </w:rPr>
        <w:t>7.4. Бухгалтерский учет резерва на возможные потери по ссудам осуществляется в соответствии с Положением Банка России от 5 декабря 2002 года № 205-П “О правилах ведения бухгалтерского учета в кредитных организациях, расположенных на территории Российской Федерации” (с изменениями), зарегистрированным Министерством юстиции Российской Федерации 20 декабря 2002 года № 4061, 25 июня 2003 года № 4827; 26 ноября 2003 года № 5267, 19 февраля 2004 года № 5571 (“Вестник Банка России” от 25 декабря 2002 года № 70—71; от 27 июня 2003 года № 36; от 3 декабря 2003 года № 65, от 27 февраля 2004 года № 16).</w:t>
      </w:r>
    </w:p>
    <w:p>
      <w:pPr>
        <w:pStyle w:val="MGlavaCenter"/>
        <w:keepLines/>
        <w:spacing w:before="120" w:after="120"/>
        <w:rPr>
          <w:rFonts w:ascii="Arial" w:hAnsi="Arial" w:cs="Arial"/>
          <w:color w:val="000000"/>
        </w:rPr>
      </w:pPr>
      <w:r>
        <w:rPr>
          <w:rFonts w:cs="Arial" w:ascii="Arial" w:hAnsi="Arial"/>
          <w:color w:val="000000"/>
        </w:rPr>
        <w:t>Глава 8. Порядок списания кредитной организации нереальных для взыскания ссуд</w:t>
      </w:r>
    </w:p>
    <w:p>
      <w:pPr>
        <w:pStyle w:val="MainText"/>
        <w:rPr>
          <w:rFonts w:ascii="Arial" w:hAnsi="Arial" w:cs="Arial"/>
          <w:color w:val="000000"/>
        </w:rPr>
      </w:pPr>
      <w:r>
        <w:rPr>
          <w:rFonts w:cs="Arial" w:ascii="Arial" w:hAnsi="Arial"/>
          <w:color w:val="000000"/>
        </w:rPr>
        <w:t>8.1. Настоящей главой определяется порядок списания нереальных для взыскания ссуд за счет сформированного под них резерва.</w:t>
      </w:r>
    </w:p>
    <w:p>
      <w:pPr>
        <w:pStyle w:val="MainText"/>
        <w:rPr>
          <w:rFonts w:ascii="Arial" w:hAnsi="Arial" w:cs="Arial"/>
          <w:color w:val="000000"/>
        </w:rPr>
      </w:pPr>
      <w:r>
        <w:rPr>
          <w:rFonts w:cs="Arial" w:ascii="Arial" w:hAnsi="Arial"/>
          <w:color w:val="000000"/>
        </w:rPr>
        <w:t>8.2. Списание кредитной организацией нереальных для взыскания ссуд, в том числе объединенных в портфель однородных ссуд, осуществляется за счет сформированного резерва по соответствующей ссуде (портфелю однородных ссуд).</w:t>
      </w:r>
    </w:p>
    <w:p>
      <w:pPr>
        <w:pStyle w:val="MainText"/>
        <w:rPr>
          <w:rFonts w:ascii="Arial" w:hAnsi="Arial" w:cs="Arial"/>
          <w:color w:val="000000"/>
        </w:rPr>
      </w:pPr>
      <w:r>
        <w:rPr>
          <w:rFonts w:cs="Arial" w:ascii="Arial" w:hAnsi="Arial"/>
          <w:color w:val="000000"/>
        </w:rPr>
        <w:t>Одновременно кредитной организацией списываются относящиеся к нереальным для взыскания ссудам начисленные проценты.</w:t>
      </w:r>
    </w:p>
    <w:p>
      <w:pPr>
        <w:pStyle w:val="MainText"/>
        <w:rPr>
          <w:rFonts w:ascii="Arial" w:hAnsi="Arial" w:cs="Arial"/>
          <w:color w:val="000000"/>
        </w:rPr>
      </w:pPr>
      <w:r>
        <w:rPr>
          <w:rFonts w:cs="Arial" w:ascii="Arial" w:hAnsi="Arial"/>
          <w:color w:val="000000"/>
        </w:rPr>
        <w:t>Порядок списания относящихся к нереальным для взыскания ссудам и начисленных по ним процентов определяется нормативными актами Банка России.</w:t>
      </w:r>
    </w:p>
    <w:p>
      <w:pPr>
        <w:pStyle w:val="MainText"/>
        <w:rPr>
          <w:rFonts w:ascii="Arial" w:hAnsi="Arial" w:cs="Arial"/>
          <w:color w:val="000000"/>
        </w:rPr>
      </w:pPr>
      <w:r>
        <w:rPr>
          <w:rFonts w:cs="Arial" w:ascii="Arial" w:hAnsi="Arial"/>
          <w:color w:val="000000"/>
        </w:rPr>
        <w:t>8.3. При списании нереальной для взыскания ссуды и процентов по ней кредитная организация обязана предпринять необходимые и достаточные меры по взысканию указанной ссуды, возможность осуществления которых вытекает из закона, обычаев делового оборота либо договора.</w:t>
      </w:r>
    </w:p>
    <w:p>
      <w:pPr>
        <w:pStyle w:val="MainText"/>
        <w:rPr>
          <w:rFonts w:ascii="Arial" w:hAnsi="Arial" w:cs="Arial"/>
          <w:color w:val="000000"/>
        </w:rPr>
      </w:pPr>
      <w:r>
        <w:rPr>
          <w:rFonts w:cs="Arial" w:ascii="Arial" w:hAnsi="Arial"/>
          <w:color w:val="000000"/>
        </w:rPr>
        <w:t>Списание нереальной для взыскания ссуды и процентов по ней является обоснованным при наличии документов, указанных в пункте 8.4 настоящего Положения, а в случаях, предусмотренных пунктом 8.7 настоящего Положения, — актов уполномоченных государственных органов, указанных в пункте 8.5 настоящего Положения.</w:t>
      </w:r>
    </w:p>
    <w:p>
      <w:pPr>
        <w:pStyle w:val="MainText"/>
        <w:rPr>
          <w:rFonts w:ascii="Arial" w:hAnsi="Arial" w:cs="Arial"/>
          <w:color w:val="000000"/>
        </w:rPr>
      </w:pPr>
      <w:r>
        <w:rPr>
          <w:rFonts w:cs="Arial" w:ascii="Arial" w:hAnsi="Arial"/>
          <w:color w:val="000000"/>
        </w:rPr>
        <w:t>8.4. К документам, указанным в пункте 8.3 настоящего Положения, могут относиться документы, подтверждающие факт неисполнения заемщиком обязательств перед его кредиторами в течение периода не менее одного года до даты принятия решения о списании ссуды.</w:t>
      </w:r>
    </w:p>
    <w:p>
      <w:pPr>
        <w:pStyle w:val="MainText"/>
        <w:rPr>
          <w:rFonts w:ascii="Arial" w:hAnsi="Arial" w:cs="Arial"/>
          <w:color w:val="000000"/>
        </w:rPr>
      </w:pPr>
      <w:r>
        <w:rPr>
          <w:rFonts w:cs="Arial" w:ascii="Arial" w:hAnsi="Arial"/>
          <w:color w:val="000000"/>
        </w:rPr>
        <w:t>8.5. К актам уполномоченных государственных органов могут относиться судебные акты, акты судебных приставов-исполнителей и иных лиц, обладающих равными полномочиями, акты органов государственной регистрации, а также иные акты, доказывающие невозможность взыскания ссуды.</w:t>
      </w:r>
    </w:p>
    <w:p>
      <w:pPr>
        <w:pStyle w:val="MainText"/>
        <w:rPr>
          <w:rFonts w:ascii="Arial" w:hAnsi="Arial" w:cs="Arial"/>
          <w:color w:val="000000"/>
        </w:rPr>
      </w:pPr>
      <w:r>
        <w:rPr>
          <w:rFonts w:cs="Arial" w:ascii="Arial" w:hAnsi="Arial"/>
          <w:color w:val="000000"/>
        </w:rPr>
        <w:t>8.6. Списание кредитной организацией нереальной для взыскания ссуды за счет сформированного по ней резерва осуществляется по решению уполномоченного органа (уполномоченных органов) кредитной организации или в порядке, им установленном.</w:t>
      </w:r>
    </w:p>
    <w:p>
      <w:pPr>
        <w:pStyle w:val="MainText"/>
        <w:rPr>
          <w:rFonts w:ascii="Arial" w:hAnsi="Arial" w:cs="Arial"/>
          <w:color w:val="000000"/>
        </w:rPr>
      </w:pPr>
      <w:r>
        <w:rPr>
          <w:rFonts w:cs="Arial" w:ascii="Arial" w:hAnsi="Arial"/>
          <w:color w:val="000000"/>
        </w:rPr>
        <w:t>8.7. Списание ссуды, сумма которой превышает один процент от величины собственных средств (капитала) кредитной организации, осуществляется с учетом следующего.</w:t>
      </w:r>
    </w:p>
    <w:p>
      <w:pPr>
        <w:pStyle w:val="MainText"/>
        <w:rPr>
          <w:rFonts w:ascii="Arial" w:hAnsi="Arial" w:cs="Arial"/>
          <w:color w:val="000000"/>
        </w:rPr>
      </w:pPr>
      <w:r>
        <w:rPr>
          <w:rFonts w:cs="Arial" w:ascii="Arial" w:hAnsi="Arial"/>
          <w:color w:val="000000"/>
        </w:rPr>
        <w:t>8.7.1. Принятое кредитной организацией решение о списании нереальной для взыскания ссуды в размере, превышающем один процент от величины собственных средств (капитала) кредитной организации, кроме ссуд заемщикам, указанным в подпункте 8.7.2 настоящего Положения, должно подтверждаться актами, указанными в пункте 8.5 настоящего Положения, если отсутствие необходимости подтверждения указанными актами не предусмотрено специальным решением уполномоченного органа управления кредитной организации.</w:t>
      </w:r>
    </w:p>
    <w:p>
      <w:pPr>
        <w:pStyle w:val="MainText"/>
        <w:rPr>
          <w:rFonts w:ascii="Arial" w:hAnsi="Arial" w:cs="Arial"/>
          <w:color w:val="000000"/>
        </w:rPr>
      </w:pPr>
      <w:r>
        <w:rPr>
          <w:rFonts w:cs="Arial" w:ascii="Arial" w:hAnsi="Arial"/>
          <w:color w:val="000000"/>
        </w:rPr>
        <w:t>8.7.2. Принятое кредитной организацией решение о списании нереальной для взыскания ссуды, предоставленной акционеру (акционерам) (участнику (участникам) кредитной организации и(или) их аффилированным лицам, в случае, если нереальная для взыскания ссуда (совокупность ссуд, предоставленных одному акционеру (участнику) превышает один процент от величины собственных средств (капитала) кредитной организации, должно обязательно подтверждаться актами, указанными в пункте 8.5 настоящего Положения.</w:t>
      </w:r>
    </w:p>
    <w:p>
      <w:pPr>
        <w:pStyle w:val="MGlavaCenter"/>
        <w:keepLines/>
        <w:spacing w:before="120" w:after="120"/>
        <w:rPr>
          <w:rFonts w:ascii="Arial" w:hAnsi="Arial" w:cs="Arial"/>
          <w:color w:val="000000"/>
        </w:rPr>
      </w:pPr>
      <w:r>
        <w:rPr>
          <w:rFonts w:cs="Arial" w:ascii="Arial" w:hAnsi="Arial"/>
          <w:color w:val="000000"/>
        </w:rPr>
        <w:t>Глава 9. Особенности надзора за порядком формирования резерва</w:t>
      </w:r>
    </w:p>
    <w:p>
      <w:pPr>
        <w:pStyle w:val="MainText"/>
        <w:rPr>
          <w:rFonts w:ascii="Arial" w:hAnsi="Arial" w:cs="Arial"/>
          <w:color w:val="000000"/>
        </w:rPr>
      </w:pPr>
      <w:r>
        <w:rPr>
          <w:rFonts w:cs="Arial" w:ascii="Arial" w:hAnsi="Arial"/>
          <w:color w:val="000000"/>
        </w:rPr>
        <w:t>9.1. Банк России, его территориальные учреждения и уполномоченные представители, действующие в соответствии со статьей 73 Федерального закона “О Центральном банке Российской Федерации (Банке России)”, проводят оценку активов и пассивов кредитной организации в соответствии с частью четвертой статьи 72 Федерального закона “О Центральном банке Российской Федерации (Банке России)”, в том числе оценивают обоснованность классификации ссуд и размера сформированного резерва, руководствуясь требованиями и методами, предусмотренными настоящим Положением (далее — методика оценки).</w:t>
      </w:r>
    </w:p>
    <w:p>
      <w:pPr>
        <w:pStyle w:val="MainText"/>
        <w:rPr>
          <w:rFonts w:ascii="Arial" w:hAnsi="Arial" w:cs="Arial"/>
          <w:color w:val="000000"/>
        </w:rPr>
      </w:pPr>
      <w:r>
        <w:rPr>
          <w:rFonts w:cs="Arial" w:ascii="Arial" w:hAnsi="Arial"/>
          <w:color w:val="000000"/>
        </w:rPr>
        <w:t>9.2. Территориальное учреждение Банка России вправе запросить у кредитной организации копии утвержденных ею внутренних документов по вопросам кредитной политики, а также изменения и дополнения к ним.</w:t>
      </w:r>
    </w:p>
    <w:p>
      <w:pPr>
        <w:pStyle w:val="MainText"/>
        <w:rPr>
          <w:rFonts w:ascii="Arial" w:hAnsi="Arial" w:cs="Arial"/>
          <w:color w:val="000000"/>
        </w:rPr>
      </w:pPr>
      <w:r>
        <w:rPr>
          <w:rFonts w:cs="Arial" w:ascii="Arial" w:hAnsi="Arial"/>
          <w:color w:val="000000"/>
        </w:rPr>
        <w:t>9.3. При осуществлении надзора, в том числе при проведении проверок уполномоченными представителями Банка России, территориальные учреждения Банка России оценивают наличие, качество (в том числе соответствие требованиям и методикам оценки, содержащимся в настоящем Положении) и степень исполнения в кредитной организации внутренних документов по вопросам классификации ссуд и формирования резерва, определенных пунктом 2.3 настоящего Положения.</w:t>
      </w:r>
    </w:p>
    <w:p>
      <w:pPr>
        <w:pStyle w:val="MainText"/>
        <w:rPr>
          <w:rFonts w:ascii="Arial" w:hAnsi="Arial" w:cs="Arial"/>
          <w:color w:val="000000"/>
        </w:rPr>
      </w:pPr>
      <w:r>
        <w:rPr>
          <w:rFonts w:cs="Arial" w:ascii="Arial" w:hAnsi="Arial"/>
          <w:color w:val="000000"/>
        </w:rPr>
        <w:t>9.4. Территориальное учреждение Банка России проверяет обоснованность решения уполномоченного органа (уполномоченных органов) кредитной организации, принятого в соответствии с пунктами 3.10 и 3.14 настоящего Положения. При этом территориальное учреждение вправе потребовать от кредитной организации, а кредитная организация обязана предоставить необходимую и достаточную информацию, относящуюся к классификации ссуд. Непредставление запрашиваемой информации, представление недостаточной информации является основанием для классификации ссуд в более низкую категорию качества, чем это предусмотрено решением уполномоченного органа (уполномоченных органов) кредитной организации. Территориальное учреждение Банка России при необходимости осуществляет тематическую инспекционную проверку обоснованности принятия решения по классификации ссуд, указанных в пунктах 3.10 и 3.14 настоящего Положения. В случае несогласия с решением, принятым уполномоченным органом (уполномоченными органами) кредитной организации, территориальное учреждение Банка России предъявляет кредитной организации требование о реклассификации ссуды и(или) о соответствующем регулировании резерва, которое оформляется предписанием.</w:t>
      </w:r>
    </w:p>
    <w:p>
      <w:pPr>
        <w:pStyle w:val="MainText"/>
        <w:rPr>
          <w:rFonts w:ascii="Arial" w:hAnsi="Arial" w:cs="Arial"/>
          <w:color w:val="000000"/>
        </w:rPr>
      </w:pPr>
      <w:r>
        <w:rPr>
          <w:rFonts w:cs="Arial" w:ascii="Arial" w:hAnsi="Arial"/>
          <w:color w:val="000000"/>
        </w:rPr>
        <w:t>9.5. Если Банк России (его территориальное учреждение) в соответствии с настоящим Положением оценивает отдельные ссуды (портфели однородных ссуд) иным образом, чем кредитная организация,</w:t>
      </w:r>
    </w:p>
    <w:p>
      <w:pPr>
        <w:pStyle w:val="MainText"/>
        <w:rPr>
          <w:rFonts w:ascii="Arial" w:hAnsi="Arial" w:cs="Arial"/>
          <w:color w:val="000000"/>
        </w:rPr>
      </w:pPr>
      <w:r>
        <w:rPr>
          <w:rFonts w:cs="Arial" w:ascii="Arial" w:hAnsi="Arial"/>
          <w:color w:val="000000"/>
        </w:rPr>
        <w:t>или устанавливает, что сформированный резерв по ссудам (портфелям однородных ссуд) недостаточен (избыточен), то на основании статьи 72 Федерального закона “О Центральном банке Российской Федерации (Банке России)” Банк России (его территориальное учреждение) требует от кредитной организации реклассифицировать ссуду и(или) урегулировать резерв в соответствии с оценкой, данной Банком России (его территориальным учреждением). Указанное требование оформляется предписанием.</w:t>
      </w:r>
    </w:p>
    <w:p>
      <w:pPr>
        <w:pStyle w:val="MainText"/>
        <w:rPr>
          <w:rFonts w:ascii="Arial" w:hAnsi="Arial" w:cs="Arial"/>
          <w:color w:val="000000"/>
        </w:rPr>
      </w:pPr>
      <w:r>
        <w:rPr>
          <w:rFonts w:cs="Arial" w:ascii="Arial" w:hAnsi="Arial"/>
          <w:color w:val="000000"/>
        </w:rPr>
        <w:t>9.6. При невыполнении кредитной организацией предписания Банка России, направленного в соответствии с пунктом 9.5 настоящего Положения, в срок, установленный предписанием, территориальное учреждение Банка России применяет к кредитной организации принудительные меры воздействия, предусмотренные федеральными законами.</w:t>
      </w:r>
    </w:p>
    <w:p>
      <w:pPr>
        <w:pStyle w:val="MGlavaCenter"/>
        <w:keepLines/>
        <w:spacing w:before="120" w:after="120"/>
        <w:rPr>
          <w:rFonts w:ascii="Arial" w:hAnsi="Arial" w:cs="Arial"/>
          <w:color w:val="000000"/>
        </w:rPr>
      </w:pPr>
      <w:r>
        <w:rPr>
          <w:rFonts w:cs="Arial" w:ascii="Arial" w:hAnsi="Arial"/>
          <w:color w:val="000000"/>
        </w:rPr>
        <w:t>Глава 10. Заключительные положения</w:t>
      </w:r>
    </w:p>
    <w:p>
      <w:pPr>
        <w:pStyle w:val="MainText"/>
        <w:rPr>
          <w:rFonts w:ascii="Arial" w:hAnsi="Arial" w:cs="Arial"/>
          <w:color w:val="000000"/>
        </w:rPr>
      </w:pPr>
      <w:r>
        <w:rPr>
          <w:rFonts w:cs="Arial" w:ascii="Arial" w:hAnsi="Arial"/>
          <w:color w:val="000000"/>
        </w:rPr>
        <w:t>Настоящее Положение подлежит опубликованию в “Вестнике Банка России” и в соответствии с решением Совета директоров Банка России (протокол заседания Совета директоров Банка России от 19 марта 2004 года № 5) вступает в силу с 1 августа 2004 года.</w:t>
      </w:r>
    </w:p>
    <w:p>
      <w:pPr>
        <w:pStyle w:val="Podpis"/>
        <w:keepLines/>
        <w:tabs>
          <w:tab w:val="clear" w:pos="4195"/>
          <w:tab w:val="right" w:pos="9639" w:leader="none"/>
        </w:tabs>
        <w:spacing w:before="120" w:after="0"/>
        <w:rPr>
          <w:rFonts w:ascii="Arial" w:hAnsi="Arial" w:cs="Arial"/>
        </w:rPr>
      </w:pPr>
      <w:r>
        <w:rPr>
          <w:rFonts w:cs="Arial" w:ascii="Arial" w:hAnsi="Arial"/>
        </w:rPr>
        <w:t>ПРЕДСЕДАТЕЛЬ ЦЕНТРАЛЬНОГО БАНКА РОССИЙСКОЙ ФЕДЕРАЦИИ</w:t>
        <w:tab/>
        <w:t>С.М. ИГНАТЬЕВ</w:t>
      </w:r>
    </w:p>
    <w:p>
      <w:pPr>
        <w:pStyle w:val="Style15"/>
        <w:spacing w:before="0" w:after="240"/>
        <w:rPr>
          <w:rFonts w:ascii="Arial" w:hAnsi="Arial" w:cs="Arial"/>
          <w:lang w:val="ru-RU"/>
        </w:rPr>
      </w:pPr>
      <w:r>
        <w:rPr>
          <w:rFonts w:cs="Arial" w:ascii="Arial" w:hAnsi="Arial"/>
          <w:lang w:val="ru-RU"/>
        </w:rPr>
      </w:r>
      <w:r>
        <w:br w:type="page"/>
      </w:r>
    </w:p>
    <w:p>
      <w:pPr>
        <w:pStyle w:val="MainText-BezOtstupa1"/>
        <w:keepNext w:val="true"/>
        <w:keepLines/>
        <w:jc w:val="end"/>
        <w:rPr>
          <w:rFonts w:ascii="Arial" w:hAnsi="Arial" w:cs="Arial"/>
          <w:color w:val="000000"/>
        </w:rPr>
      </w:pPr>
      <w:r>
        <w:rPr>
          <w:rFonts w:cs="Arial" w:ascii="Arial" w:hAnsi="Arial"/>
          <w:b/>
        </w:rPr>
        <w:t>Приложение 1</w:t>
      </w:r>
      <w:r>
        <w:rPr>
          <w:rFonts w:cs="Arial" w:ascii="Arial" w:hAnsi="Arial"/>
          <w:color w:val="000000"/>
        </w:rPr>
        <w:br/>
        <w:t xml:space="preserve"> к Положению Банка России</w:t>
        <w:br/>
        <w:t xml:space="preserve"> от 26.03.2004 № 254-П</w:t>
        <w:br/>
        <w:t xml:space="preserve"> “О порядке формирования кредитными организациями</w:t>
        <w:br/>
        <w:t xml:space="preserve"> резервов на возможные потери по ссудам,</w:t>
        <w:br/>
        <w:t xml:space="preserve"> ссудной и приравненной к ней задолженности”</w:t>
      </w:r>
    </w:p>
    <w:p>
      <w:pPr>
        <w:pStyle w:val="MZagolvok-Center"/>
        <w:keepNext w:val="true"/>
        <w:keepLines/>
        <w:spacing w:before="180" w:after="120"/>
        <w:rPr>
          <w:rFonts w:ascii="Arial" w:hAnsi="Arial" w:cs="Arial"/>
        </w:rPr>
      </w:pPr>
      <w:r>
        <w:rPr>
          <w:rFonts w:cs="Arial" w:ascii="Arial" w:hAnsi="Arial"/>
        </w:rPr>
        <w:t>Перечень денежных требований и требований, вытекающих из сделок с финансовыми инструментами, признаваемых ссудами</w:t>
      </w:r>
    </w:p>
    <w:p>
      <w:pPr>
        <w:pStyle w:val="MainText"/>
        <w:rPr>
          <w:rFonts w:ascii="Arial" w:hAnsi="Arial" w:cs="Arial"/>
          <w:color w:val="000000"/>
        </w:rPr>
      </w:pPr>
      <w:r>
        <w:rPr>
          <w:rFonts w:cs="Arial" w:ascii="Arial" w:hAnsi="Arial"/>
        </w:rPr>
        <w:t>К денежным требованиям и требованиям, вытекающим из сделок с финансовыми инструментами, признаваемых ссудами, в целях настоящего Положения в том числе относятся:</w:t>
      </w:r>
    </w:p>
    <w:p>
      <w:pPr>
        <w:pStyle w:val="MainText"/>
        <w:rPr>
          <w:rFonts w:ascii="Arial" w:hAnsi="Arial" w:cs="Arial"/>
          <w:color w:val="000000"/>
        </w:rPr>
      </w:pPr>
      <w:r>
        <w:rPr>
          <w:rFonts w:cs="Arial" w:ascii="Arial" w:hAnsi="Arial"/>
          <w:color w:val="000000"/>
        </w:rPr>
        <w:t>предоставленные кредиты (займы), размещенные депозиты, в том числе межбанковские кредиты (депозиты, займы), прочие размещенные средства, включая требования на получение (возврат) долговых ценных бумаг, акций и векселей, предоставленных по договору займа;</w:t>
      </w:r>
    </w:p>
    <w:p>
      <w:pPr>
        <w:pStyle w:val="MainText"/>
        <w:rPr>
          <w:rFonts w:ascii="Arial" w:hAnsi="Arial" w:cs="Arial"/>
          <w:color w:val="000000"/>
        </w:rPr>
      </w:pPr>
      <w:r>
        <w:rPr>
          <w:rFonts w:cs="Arial" w:ascii="Arial" w:hAnsi="Arial"/>
          <w:color w:val="000000"/>
        </w:rPr>
        <w:t>учтенные векселя;</w:t>
      </w:r>
    </w:p>
    <w:p>
      <w:pPr>
        <w:pStyle w:val="MainText"/>
        <w:rPr>
          <w:rFonts w:ascii="Arial" w:hAnsi="Arial" w:cs="Arial"/>
          <w:color w:val="000000"/>
        </w:rPr>
      </w:pPr>
      <w:r>
        <w:rPr>
          <w:rFonts w:cs="Arial" w:ascii="Arial" w:hAnsi="Arial"/>
          <w:color w:val="000000"/>
        </w:rPr>
        <w:t>суммы, уплаченные кредитной организацией бенефициару по банковским гарантиям, но не взысканные с принципала;</w:t>
      </w:r>
    </w:p>
    <w:p>
      <w:pPr>
        <w:pStyle w:val="MainText"/>
        <w:rPr>
          <w:rFonts w:ascii="Arial" w:hAnsi="Arial" w:cs="Arial"/>
          <w:color w:val="000000"/>
        </w:rPr>
      </w:pPr>
      <w:r>
        <w:rPr>
          <w:rFonts w:cs="Arial" w:ascii="Arial" w:hAnsi="Arial"/>
          <w:color w:val="000000"/>
        </w:rPr>
        <w:t>денежные требования кредитной организации по сделкам финансирования под уступку денежного требования (факторинг);</w:t>
      </w:r>
    </w:p>
    <w:p>
      <w:pPr>
        <w:pStyle w:val="MainText"/>
        <w:rPr>
          <w:rFonts w:ascii="Arial" w:hAnsi="Arial" w:cs="Arial"/>
          <w:color w:val="000000"/>
        </w:rPr>
      </w:pPr>
      <w:r>
        <w:rPr>
          <w:rFonts w:cs="Arial" w:ascii="Arial" w:hAnsi="Arial"/>
          <w:color w:val="000000"/>
        </w:rPr>
        <w:t>требования кредитной организации по приобретенным по сделке правам (требованиям) (уступка требования);</w:t>
      </w:r>
    </w:p>
    <w:p>
      <w:pPr>
        <w:pStyle w:val="MainText"/>
        <w:rPr>
          <w:rFonts w:ascii="Arial" w:hAnsi="Arial" w:cs="Arial"/>
          <w:color w:val="000000"/>
        </w:rPr>
      </w:pPr>
      <w:r>
        <w:rPr>
          <w:rFonts w:cs="Arial" w:ascii="Arial" w:hAnsi="Arial"/>
          <w:color w:val="000000"/>
        </w:rPr>
        <w:t>требования кредитной организации по приобретенным на вторичном рынке закладным;</w:t>
      </w:r>
    </w:p>
    <w:p>
      <w:pPr>
        <w:pStyle w:val="MainText"/>
        <w:rPr>
          <w:rFonts w:ascii="Arial" w:hAnsi="Arial" w:cs="Arial"/>
          <w:color w:val="000000"/>
        </w:rPr>
      </w:pPr>
      <w:r>
        <w:rPr>
          <w:rFonts w:cs="Arial" w:ascii="Arial" w:hAnsi="Arial"/>
          <w:color w:val="000000"/>
        </w:rPr>
        <w:t>требования кредитной организации по сделкам продажи (покупки) финансовых активов с отсрочкой платежа (поставки финансовых активов);</w:t>
      </w:r>
    </w:p>
    <w:p>
      <w:pPr>
        <w:pStyle w:val="MainText"/>
        <w:rPr>
          <w:rFonts w:ascii="Arial" w:hAnsi="Arial" w:cs="Arial"/>
          <w:color w:val="000000"/>
        </w:rPr>
      </w:pPr>
      <w:r>
        <w:rPr>
          <w:rFonts w:cs="Arial" w:ascii="Arial" w:hAnsi="Arial"/>
          <w:color w:val="000000"/>
        </w:rPr>
        <w:t>требования кредитной организации к плательщикам по оплаченным аккредитивам (в части непокрытых экспортных и импортных аккредитивов);</w:t>
      </w:r>
    </w:p>
    <w:p>
      <w:pPr>
        <w:pStyle w:val="MainText"/>
        <w:rPr>
          <w:rFonts w:ascii="Arial" w:hAnsi="Arial" w:cs="Arial"/>
          <w:color w:val="000000"/>
        </w:rPr>
      </w:pPr>
      <w:r>
        <w:rPr>
          <w:rFonts w:cs="Arial" w:ascii="Arial" w:hAnsi="Arial"/>
          <w:color w:val="000000"/>
        </w:rPr>
        <w:t>требования к контрагенту по возврату денежных средств по второй части сделки по приобретению ценных бумаг или иных финансовых активов с обязательством их обратного отчуждения в случае, если ценные бумаги, выступающие предметом указанной сделки, являются некотируемыми в соответствии с нормативными актами Банка России или если иные финансовые активы, являющиеся предметом указанной сделки, не обращаются на организованном рынке, а также если в соответствии с условиями указанной сделки существуют ограничения на отчуждение ценных бумаг или иных финансовых активов их приобретателем;</w:t>
      </w:r>
    </w:p>
    <w:p>
      <w:pPr>
        <w:pStyle w:val="MainText"/>
        <w:rPr>
          <w:rFonts w:ascii="Arial" w:hAnsi="Arial" w:cs="Arial"/>
          <w:color w:val="000000"/>
        </w:rPr>
      </w:pPr>
      <w:r>
        <w:rPr>
          <w:rFonts w:cs="Arial" w:ascii="Arial" w:hAnsi="Arial"/>
          <w:color w:val="000000"/>
        </w:rPr>
        <w:t>требования кредитной организации (лизингодателя) к лизингополучателю по операциям финансовой аренды (лизинга).</w:t>
      </w:r>
    </w:p>
    <w:p>
      <w:pPr>
        <w:pStyle w:val="Style15"/>
        <w:spacing w:before="0" w:after="240"/>
        <w:rPr>
          <w:rFonts w:ascii="Arial" w:hAnsi="Arial" w:cs="Arial"/>
          <w:lang w:val="ru-RU"/>
        </w:rPr>
      </w:pPr>
      <w:r>
        <w:rPr>
          <w:rFonts w:cs="Arial" w:ascii="Arial" w:hAnsi="Arial"/>
          <w:color w:val="000000"/>
          <w:lang w:val="ru-RU"/>
        </w:rPr>
      </w:r>
      <w:r>
        <w:br w:type="page"/>
      </w:r>
    </w:p>
    <w:p>
      <w:pPr>
        <w:pStyle w:val="MainText-BezOtstupa1"/>
        <w:keepNext w:val="true"/>
        <w:keepLines/>
        <w:jc w:val="end"/>
        <w:rPr>
          <w:rFonts w:ascii="Arial" w:hAnsi="Arial" w:cs="Arial"/>
          <w:color w:val="000000"/>
        </w:rPr>
      </w:pPr>
      <w:r>
        <w:rPr>
          <w:rFonts w:cs="Arial" w:ascii="Arial" w:hAnsi="Arial"/>
          <w:b/>
        </w:rPr>
        <w:t>Приложение 2</w:t>
      </w:r>
      <w:r>
        <w:rPr>
          <w:rFonts w:cs="Arial" w:ascii="Arial" w:hAnsi="Arial"/>
          <w:color w:val="000000"/>
        </w:rPr>
        <w:br/>
        <w:t xml:space="preserve"> к Положению Банка России</w:t>
        <w:br/>
        <w:t xml:space="preserve"> от 26.03.2004 № 254-П</w:t>
        <w:br/>
        <w:t xml:space="preserve"> “О порядке формирования кредитными организациями</w:t>
        <w:br/>
        <w:t xml:space="preserve"> резервов на возможные потери по ссудам,</w:t>
        <w:br/>
        <w:t xml:space="preserve"> ссудной и приравненной к ней задолженности”</w:t>
      </w:r>
    </w:p>
    <w:p>
      <w:pPr>
        <w:pStyle w:val="MZagolvok-Center"/>
        <w:keepNext w:val="true"/>
        <w:keepLines/>
        <w:spacing w:before="180" w:after="120"/>
        <w:rPr>
          <w:rFonts w:ascii="Arial" w:hAnsi="Arial" w:cs="Arial"/>
        </w:rPr>
      </w:pPr>
      <w:r>
        <w:rPr>
          <w:rFonts w:cs="Arial" w:ascii="Arial" w:hAnsi="Arial"/>
        </w:rPr>
        <w:t>Примерный перечень информации для анализа финансового положения заемщика</w:t>
      </w:r>
    </w:p>
    <w:p>
      <w:pPr>
        <w:pStyle w:val="MainText"/>
        <w:rPr>
          <w:rFonts w:ascii="Arial" w:hAnsi="Arial" w:cs="Arial"/>
          <w:color w:val="000000"/>
        </w:rPr>
      </w:pPr>
      <w:r>
        <w:rPr>
          <w:rFonts w:cs="Arial" w:ascii="Arial" w:hAnsi="Arial"/>
        </w:rPr>
        <w:t>1. Данные официальной отчетности (официальные документы).</w:t>
      </w:r>
    </w:p>
    <w:p>
      <w:pPr>
        <w:pStyle w:val="MainText"/>
        <w:rPr>
          <w:rFonts w:ascii="Arial" w:hAnsi="Arial" w:cs="Arial"/>
          <w:color w:val="000000"/>
        </w:rPr>
      </w:pPr>
      <w:r>
        <w:rPr>
          <w:rFonts w:cs="Arial" w:ascii="Arial" w:hAnsi="Arial"/>
          <w:color w:val="000000"/>
        </w:rPr>
        <w:t>1.1. Для заемщика — юридического лица (за исключением кредитных организаций):</w:t>
      </w:r>
    </w:p>
    <w:p>
      <w:pPr>
        <w:pStyle w:val="MainText"/>
        <w:rPr>
          <w:rFonts w:ascii="Arial" w:hAnsi="Arial" w:cs="Arial"/>
          <w:color w:val="000000"/>
        </w:rPr>
      </w:pPr>
      <w:r>
        <w:rPr>
          <w:rFonts w:cs="Arial" w:ascii="Arial" w:hAnsi="Arial"/>
          <w:color w:val="000000"/>
        </w:rPr>
        <w:t>годовая бухгалтерская отчетность в полном объеме, составленная на основании образцов форм, приведенных в Указаниях о порядке составления и представления бухгалтерской отчетности, утвержденных приказом Министерства финансов Российской Федерации от 22 июля 2003 года № 67н “О формах бухгалтерской отчетности организаций”</w:t>
      </w:r>
      <w:r>
        <w:rPr>
          <w:rFonts w:cs="Arial" w:ascii="Arial" w:hAnsi="Arial"/>
          <w:color w:val="000000"/>
          <w:vertAlign w:val="superscript"/>
        </w:rPr>
        <w:t>1</w:t>
      </w:r>
      <w:r>
        <w:rPr>
          <w:rFonts w:cs="Arial" w:ascii="Arial" w:hAnsi="Arial"/>
          <w:color w:val="000000"/>
        </w:rPr>
        <w:t xml:space="preserve"> (“Финансовая газета”, 2003, № 33);</w:t>
      </w:r>
    </w:p>
    <w:p>
      <w:pPr>
        <w:pStyle w:val="MainText"/>
        <w:rPr>
          <w:rFonts w:ascii="Arial" w:hAnsi="Arial" w:cs="Arial"/>
          <w:color w:val="000000"/>
        </w:rPr>
      </w:pPr>
      <w:r>
        <w:rPr>
          <w:rFonts w:cs="Arial" w:ascii="Arial" w:hAnsi="Arial"/>
          <w:color w:val="000000"/>
        </w:rPr>
        <w:t>публикуемая отчетность за три последних завершенных финансовых года;</w:t>
      </w:r>
    </w:p>
    <w:p>
      <w:pPr>
        <w:pStyle w:val="MainText"/>
        <w:rPr>
          <w:rFonts w:ascii="Arial" w:hAnsi="Arial" w:cs="Arial"/>
          <w:color w:val="000000"/>
        </w:rPr>
      </w:pPr>
      <w:r>
        <w:rPr>
          <w:rFonts w:cs="Arial" w:ascii="Arial" w:hAnsi="Arial"/>
          <w:color w:val="000000"/>
        </w:rPr>
        <w:t>форма № 1 “Бухгалтерский баланс”;</w:t>
      </w:r>
    </w:p>
    <w:p>
      <w:pPr>
        <w:pStyle w:val="MainText"/>
        <w:rPr>
          <w:rFonts w:ascii="Arial" w:hAnsi="Arial" w:cs="Arial"/>
          <w:color w:val="000000"/>
        </w:rPr>
      </w:pPr>
      <w:r>
        <w:rPr>
          <w:rFonts w:cs="Arial" w:ascii="Arial" w:hAnsi="Arial"/>
          <w:color w:val="000000"/>
        </w:rPr>
        <w:t>форма № 2 “Отчет о прибылях и убытках” на последнюю отчетную дату.</w:t>
      </w:r>
    </w:p>
    <w:p>
      <w:pPr>
        <w:pStyle w:val="MainText"/>
        <w:rPr>
          <w:rFonts w:ascii="Arial" w:hAnsi="Arial" w:cs="Arial"/>
          <w:color w:val="000000"/>
        </w:rPr>
      </w:pPr>
      <w:r>
        <w:rPr>
          <w:rFonts w:cs="Arial" w:ascii="Arial" w:hAnsi="Arial"/>
          <w:color w:val="000000"/>
        </w:rPr>
        <w:t>1.2. Для заемщика — юридического лица, являющегося субъектом малого предпринимательства и использующего упрощенную систему налогообложения, учета и отчетности:</w:t>
      </w:r>
    </w:p>
    <w:p>
      <w:pPr>
        <w:pStyle w:val="MainText"/>
        <w:rPr>
          <w:rFonts w:ascii="Arial" w:hAnsi="Arial" w:cs="Arial"/>
          <w:color w:val="000000"/>
        </w:rPr>
      </w:pPr>
      <w:r>
        <w:rPr>
          <w:rFonts w:cs="Arial" w:ascii="Arial" w:hAnsi="Arial"/>
          <w:color w:val="000000"/>
        </w:rPr>
        <w:t>сведения о доходах и расходах, подтвержденные данными Книги учета доходов и расходов организаций и индивидуальных предпринимателей, применяющих упрощенную систему налогообложения, утвержденной приказом Министерства Российской Федерации по налогам и сборам от 28 октября 2002 года № БГ-3-22/606 (с изменениями), зарегистрированным Министерством юстиции Российской Федерации 28 ноября 2002 года № 3969, 17 марта 2003 года № 4430 (Бюллетень нормативных актов федеральных органов исполнительной власти от 23 декабря 2002 года, № 51; от 11 августа 2003 года № 32), копия которой может быть представлена в кредитную организацию;</w:t>
      </w:r>
    </w:p>
    <w:p>
      <w:pPr>
        <w:pStyle w:val="MainText"/>
        <w:rPr>
          <w:rFonts w:ascii="Arial" w:hAnsi="Arial" w:cs="Arial"/>
          <w:color w:val="000000"/>
        </w:rPr>
      </w:pPr>
      <w:r>
        <w:rPr>
          <w:rFonts w:cs="Arial" w:ascii="Arial" w:hAnsi="Arial"/>
          <w:color w:val="000000"/>
        </w:rPr>
        <w:t>свидетельство об уплате единого налога на вмененный доход.</w:t>
      </w:r>
    </w:p>
    <w:p>
      <w:pPr>
        <w:pStyle w:val="MainText"/>
        <w:rPr>
          <w:rFonts w:ascii="Arial" w:hAnsi="Arial" w:cs="Arial"/>
          <w:color w:val="000000"/>
        </w:rPr>
      </w:pPr>
      <w:r>
        <w:rPr>
          <w:rFonts w:cs="Arial" w:ascii="Arial" w:hAnsi="Arial"/>
          <w:color w:val="000000"/>
        </w:rPr>
        <w:t>1.3. Для заемщика — кредитной организации:</w:t>
      </w:r>
    </w:p>
    <w:p>
      <w:pPr>
        <w:pStyle w:val="MainText"/>
        <w:rPr>
          <w:rFonts w:ascii="Arial" w:hAnsi="Arial" w:cs="Arial"/>
          <w:color w:val="000000"/>
        </w:rPr>
      </w:pPr>
      <w:r>
        <w:rPr>
          <w:rFonts w:cs="Arial" w:ascii="Arial" w:hAnsi="Arial"/>
          <w:color w:val="000000"/>
        </w:rPr>
        <w:t>годовая бухгалтерская отчетность в полном объеме, составленная в соответствии с нормативным актом Банка России о годовом отчете кредитной организации;</w:t>
      </w:r>
    </w:p>
    <w:p>
      <w:pPr>
        <w:pStyle w:val="MainText"/>
        <w:rPr>
          <w:rFonts w:ascii="Arial" w:hAnsi="Arial" w:cs="Arial"/>
          <w:color w:val="000000"/>
        </w:rPr>
      </w:pPr>
      <w:r>
        <w:rPr>
          <w:rFonts w:cs="Arial" w:ascii="Arial" w:hAnsi="Arial"/>
          <w:color w:val="000000"/>
        </w:rPr>
        <w:t>публикуемая отчетность за три последних завершенных финансовых года (за последний отчетный год и текущий год — годовая и квартальная), составленная в соответствии с Указанием Банка России от 14 апреля 2003 года № 1270-У “О публикуемой отчетности кредитных организаций и банковских/консолидированных групп”, зарегистрированным Министерством юстиции Российской Федерации 5 мая 2003 года № 4488 (“Вестник Банка России” от 15 мая 2003 года № 25), а также форма отчетности 0409101 “Оборотная ведомость по счетам бухгалтерского учета кредитной организации” на последнюю отчетную дату, составленная в соответствии с Указанием Банка России № 1376-У, и форма отчетности 0409102 “Отчет о прибылях и убытках кредитной организации” на последнюю отчетную дату, составленная в соответствии с Положением Банка России № 205-П.</w:t>
      </w:r>
    </w:p>
    <w:p>
      <w:pPr>
        <w:pStyle w:val="MainText"/>
        <w:rPr>
          <w:rFonts w:ascii="Arial" w:hAnsi="Arial" w:cs="Arial"/>
          <w:color w:val="000000"/>
        </w:rPr>
      </w:pPr>
      <w:r>
        <w:rPr>
          <w:rFonts w:cs="Arial" w:ascii="Arial" w:hAnsi="Arial"/>
          <w:color w:val="000000"/>
        </w:rPr>
        <w:t>1.4. Для заемщика — физического лица: заверенные работодателем справка с места работы и справка о доходах физического лица;</w:t>
      </w:r>
    </w:p>
    <w:p>
      <w:pPr>
        <w:pStyle w:val="MainText"/>
        <w:rPr>
          <w:rFonts w:ascii="Arial" w:hAnsi="Arial" w:cs="Arial"/>
          <w:color w:val="000000"/>
        </w:rPr>
      </w:pPr>
      <w:r>
        <w:rPr>
          <w:rFonts w:cs="Arial" w:ascii="Arial" w:hAnsi="Arial"/>
          <w:color w:val="000000"/>
        </w:rPr>
        <w:t>иные документы, подтверждающие доходы физического лица.</w:t>
      </w:r>
    </w:p>
    <w:p>
      <w:pPr>
        <w:pStyle w:val="MainText"/>
        <w:rPr>
          <w:rFonts w:ascii="Arial" w:hAnsi="Arial" w:cs="Arial"/>
          <w:color w:val="000000"/>
        </w:rPr>
      </w:pPr>
      <w:r>
        <w:rPr>
          <w:rFonts w:cs="Arial" w:ascii="Arial" w:hAnsi="Arial"/>
          <w:color w:val="000000"/>
        </w:rPr>
        <w:t>2. Информация, которую целесообразно принимать во внимание в случае ее доступности:</w:t>
      </w:r>
    </w:p>
    <w:p>
      <w:pPr>
        <w:pStyle w:val="MainText"/>
        <w:rPr>
          <w:rFonts w:ascii="Arial" w:hAnsi="Arial" w:cs="Arial"/>
          <w:color w:val="000000"/>
        </w:rPr>
      </w:pPr>
      <w:r>
        <w:rPr>
          <w:rFonts w:cs="Arial" w:ascii="Arial" w:hAnsi="Arial"/>
          <w:color w:val="000000"/>
        </w:rPr>
        <w:t>2.1. отчетность, составленная в соответствии с Международными стандартами финансовой отчетности;</w:t>
      </w:r>
    </w:p>
    <w:p>
      <w:pPr>
        <w:pStyle w:val="MainText"/>
        <w:rPr>
          <w:rFonts w:ascii="Arial" w:hAnsi="Arial" w:cs="Arial"/>
          <w:color w:val="000000"/>
        </w:rPr>
      </w:pPr>
      <w:r>
        <w:rPr>
          <w:rFonts w:cs="Arial" w:ascii="Arial" w:hAnsi="Arial"/>
          <w:color w:val="000000"/>
        </w:rPr>
        <w:t>2.2. управленческая отчетность и иная управленческая информация;</w:t>
      </w:r>
    </w:p>
    <w:p>
      <w:pPr>
        <w:pStyle w:val="MainText"/>
        <w:rPr>
          <w:rFonts w:ascii="Arial" w:hAnsi="Arial" w:cs="Arial"/>
          <w:color w:val="000000"/>
        </w:rPr>
      </w:pPr>
      <w:r>
        <w:rPr>
          <w:rFonts w:cs="Arial" w:ascii="Arial" w:hAnsi="Arial"/>
          <w:color w:val="000000"/>
        </w:rPr>
        <w:t>2.3. бюджет либо бизнес-план на текущий финансовый год;</w:t>
      </w:r>
    </w:p>
    <w:p>
      <w:pPr>
        <w:pStyle w:val="MainText"/>
        <w:rPr>
          <w:rFonts w:ascii="Arial" w:hAnsi="Arial" w:cs="Arial"/>
          <w:color w:val="000000"/>
        </w:rPr>
      </w:pPr>
      <w:r>
        <w:rPr>
          <w:rFonts w:cs="Arial" w:ascii="Arial" w:hAnsi="Arial"/>
          <w:color w:val="000000"/>
        </w:rPr>
        <w:t>2.4. ежеквартальный отчет эмитента ценных бумаг о существенных фактах (событиях и действиях), затрагивающих финансово-хозяйственную деятельность эмитента, составляемый в соответствии со статьей 30 Федерального закона “О рынке ценных бумаг” (с изменениями) (Собрание законодательства Российской Федерации, 1996, № 17, ст. 1918; 2002, № 52 (часть II), ст. 5141) и Постановлением Федеральной комиссии по рынку ценных бумаг от 2 июля 2003 года № 03-32/пс “О раскрытии информации эмитентами эмиссионных ценных бумаг” (с изменениями), зарегистрированным Министерством юстиции Российской Федерации 18 сентября 2003 года № 5084, 2 марта 2004 года № 5593 (“Российская газета” от 2 октября 2003 года № 197), в случае, если заемщик является эмитентом ценных бумаг;</w:t>
      </w:r>
    </w:p>
    <w:p>
      <w:pPr>
        <w:pStyle w:val="MainText"/>
        <w:rPr>
          <w:rFonts w:ascii="Arial" w:hAnsi="Arial" w:cs="Arial"/>
          <w:color w:val="000000"/>
        </w:rPr>
      </w:pPr>
      <w:r>
        <w:rPr>
          <w:rFonts w:cs="Arial" w:ascii="Arial" w:hAnsi="Arial"/>
          <w:color w:val="000000"/>
        </w:rPr>
        <w:t>2.5. данные о движении денежных средств;</w:t>
      </w:r>
    </w:p>
    <w:p>
      <w:pPr>
        <w:pStyle w:val="MainText"/>
        <w:rPr>
          <w:rFonts w:ascii="Arial" w:hAnsi="Arial" w:cs="Arial"/>
          <w:color w:val="000000"/>
        </w:rPr>
      </w:pPr>
      <w:r>
        <w:rPr>
          <w:rFonts w:cs="Arial" w:ascii="Arial" w:hAnsi="Arial"/>
          <w:color w:val="000000"/>
        </w:rPr>
        <w:t>2.6. данные о просроченной дебиторской и кредиторской задолженности, не погашенных в срок кредитах и займах, о просроченных собственных векселях заемщика;</w:t>
      </w:r>
    </w:p>
    <w:p>
      <w:pPr>
        <w:pStyle w:val="MainText"/>
        <w:rPr>
          <w:rFonts w:ascii="Arial" w:hAnsi="Arial" w:cs="Arial"/>
          <w:color w:val="000000"/>
        </w:rPr>
      </w:pPr>
      <w:r>
        <w:rPr>
          <w:rFonts w:cs="Arial" w:ascii="Arial" w:hAnsi="Arial"/>
          <w:color w:val="000000"/>
        </w:rPr>
        <w:t>2.7. справка о наличии в составе дебиторской задолженности, а также в составе долгосрочных и краткосрочных финансовых вложений задолженности и вложений в доли (акции) юридических лиц, которые находятся в стадии ликвидации или в отношении которых возбуждено дело о банкротстве на последнюю отчетную дату;</w:t>
      </w:r>
    </w:p>
    <w:p>
      <w:pPr>
        <w:pStyle w:val="MainText"/>
        <w:rPr>
          <w:rFonts w:ascii="Arial" w:hAnsi="Arial" w:cs="Arial"/>
          <w:color w:val="000000"/>
        </w:rPr>
      </w:pPr>
      <w:r>
        <w:rPr>
          <w:rFonts w:cs="Arial" w:ascii="Arial" w:hAnsi="Arial"/>
          <w:color w:val="000000"/>
        </w:rPr>
        <w:t>2.8. справки об открытых расчетных (текущих) счетах в кредитных организациях, выданные или подтвержденные налоговым органом, либо выписки с банковских счетов об остатках денежных средств на счетах в иных кредитных организациях, выданные и подтвержденные кредитными организациями;</w:t>
      </w:r>
    </w:p>
    <w:p>
      <w:pPr>
        <w:pStyle w:val="MainText"/>
        <w:rPr>
          <w:rFonts w:ascii="Arial" w:hAnsi="Arial" w:cs="Arial"/>
          <w:color w:val="000000"/>
        </w:rPr>
      </w:pPr>
      <w:r>
        <w:rPr>
          <w:rFonts w:cs="Arial" w:ascii="Arial" w:hAnsi="Arial"/>
          <w:color w:val="000000"/>
        </w:rPr>
        <w:t>2.9. справки об отсутствии у заемщика картотеки неоплаченных расчетных документов по всем открытым расчетным (текущим) счетам, выданные обслуживающими эти счета кредитными организациями, а также справки из налоговых органов об отсутствии задолженности перед бюджетом всех уровней и внебюджетными фондами;</w:t>
      </w:r>
    </w:p>
    <w:p>
      <w:pPr>
        <w:pStyle w:val="MainText"/>
        <w:rPr>
          <w:rFonts w:ascii="Arial" w:hAnsi="Arial" w:cs="Arial"/>
          <w:color w:val="000000"/>
        </w:rPr>
      </w:pPr>
      <w:r>
        <w:rPr>
          <w:rFonts w:cs="Arial" w:ascii="Arial" w:hAnsi="Arial"/>
          <w:color w:val="000000"/>
        </w:rPr>
        <w:t>2.10. сведения о существенных событиях, затрагивающих финансово-хозяйственную деятельность заемщика, произошедших за период с последней отчетной даты до даты анализа финансового положения заемщика (о фактах, повлекших разовое существенное увеличение или уменьшение стоимости активов; о фактах, повлекших разовое существенное увеличение чистых убытков; о фактах разовых сделок, размер которых либо стоимость имущества по которым составляет существенную долю в активах заемщика на дату осуществления сделки) (степень существенности событий определяется во внутренних документах кредитной организации);</w:t>
      </w:r>
    </w:p>
    <w:p>
      <w:pPr>
        <w:pStyle w:val="MainText"/>
        <w:rPr>
          <w:rFonts w:ascii="Arial" w:hAnsi="Arial" w:cs="Arial"/>
          <w:color w:val="000000"/>
        </w:rPr>
      </w:pPr>
      <w:r>
        <w:rPr>
          <w:rFonts w:cs="Arial" w:ascii="Arial" w:hAnsi="Arial"/>
          <w:color w:val="000000"/>
        </w:rPr>
        <w:t>2.11. иные доступные сведения, в том числе:</w:t>
      </w:r>
    </w:p>
    <w:p>
      <w:pPr>
        <w:pStyle w:val="MainText"/>
        <w:rPr>
          <w:rFonts w:ascii="Arial" w:hAnsi="Arial" w:cs="Arial"/>
          <w:color w:val="000000"/>
        </w:rPr>
      </w:pPr>
      <w:r>
        <w:rPr>
          <w:rFonts w:cs="Arial" w:ascii="Arial" w:hAnsi="Arial"/>
          <w:color w:val="000000"/>
        </w:rPr>
        <w:t>наличие положительной (отрицательной) кредитной истории,</w:t>
      </w:r>
    </w:p>
    <w:p>
      <w:pPr>
        <w:pStyle w:val="MainText"/>
        <w:rPr>
          <w:rFonts w:ascii="Arial" w:hAnsi="Arial" w:cs="Arial"/>
          <w:color w:val="000000"/>
        </w:rPr>
      </w:pPr>
      <w:r>
        <w:rPr>
          <w:rFonts w:cs="Arial" w:ascii="Arial" w:hAnsi="Arial"/>
          <w:color w:val="000000"/>
        </w:rPr>
        <w:t>страновой риск,</w:t>
      </w:r>
    </w:p>
    <w:p>
      <w:pPr>
        <w:pStyle w:val="MainText"/>
        <w:rPr>
          <w:rFonts w:ascii="Arial" w:hAnsi="Arial" w:cs="Arial"/>
          <w:color w:val="000000"/>
        </w:rPr>
      </w:pPr>
      <w:r>
        <w:rPr>
          <w:rFonts w:cs="Arial" w:ascii="Arial" w:hAnsi="Arial"/>
          <w:color w:val="000000"/>
        </w:rPr>
        <w:t>общее состояние отрасли, к которой относится заемщик,</w:t>
      </w:r>
    </w:p>
    <w:p>
      <w:pPr>
        <w:pStyle w:val="MainText"/>
        <w:rPr>
          <w:rFonts w:ascii="Arial" w:hAnsi="Arial" w:cs="Arial"/>
          <w:color w:val="000000"/>
        </w:rPr>
      </w:pPr>
      <w:r>
        <w:rPr>
          <w:rFonts w:cs="Arial" w:ascii="Arial" w:hAnsi="Arial"/>
          <w:color w:val="000000"/>
        </w:rPr>
        <w:t>конкурентное положение заемщика в отрасли,</w:t>
      </w:r>
    </w:p>
    <w:p>
      <w:pPr>
        <w:pStyle w:val="MainText"/>
        <w:rPr>
          <w:rFonts w:ascii="Arial" w:hAnsi="Arial" w:cs="Arial"/>
          <w:color w:val="000000"/>
        </w:rPr>
      </w:pPr>
      <w:r>
        <w:rPr>
          <w:rFonts w:cs="Arial" w:ascii="Arial" w:hAnsi="Arial"/>
          <w:color w:val="000000"/>
        </w:rPr>
        <w:t>деловая репутация заемщика и руководства организации-заемщика (единоличного исполнительного органа, членов коллегиального исполнительного органа, членов совета директоров),</w:t>
      </w:r>
    </w:p>
    <w:p>
      <w:pPr>
        <w:pStyle w:val="MainText"/>
        <w:rPr>
          <w:rFonts w:ascii="Arial" w:hAnsi="Arial" w:cs="Arial"/>
          <w:color w:val="000000"/>
        </w:rPr>
      </w:pPr>
      <w:r>
        <w:rPr>
          <w:rFonts w:cs="Arial" w:ascii="Arial" w:hAnsi="Arial"/>
          <w:color w:val="000000"/>
        </w:rPr>
        <w:t>качество управления организацией-заемщиком,</w:t>
      </w:r>
    </w:p>
    <w:p>
      <w:pPr>
        <w:pStyle w:val="MainText"/>
        <w:rPr>
          <w:rFonts w:ascii="Arial" w:hAnsi="Arial" w:cs="Arial"/>
          <w:color w:val="000000"/>
        </w:rPr>
      </w:pPr>
      <w:r>
        <w:rPr>
          <w:rFonts w:cs="Arial" w:ascii="Arial" w:hAnsi="Arial"/>
          <w:color w:val="000000"/>
        </w:rPr>
        <w:t>краткосрочные и долгосрочные планы и перспективы развития заемщика,</w:t>
      </w:r>
    </w:p>
    <w:p>
      <w:pPr>
        <w:pStyle w:val="MainText"/>
        <w:rPr>
          <w:rFonts w:ascii="Arial" w:hAnsi="Arial" w:cs="Arial"/>
          <w:color w:val="000000"/>
        </w:rPr>
      </w:pPr>
      <w:r>
        <w:rPr>
          <w:rFonts w:cs="Arial" w:ascii="Arial" w:hAnsi="Arial"/>
          <w:color w:val="000000"/>
        </w:rPr>
        <w:t>степень зависимости от аффилированных лиц и самостоятельность в принятии решений,</w:t>
      </w:r>
    </w:p>
    <w:p>
      <w:pPr>
        <w:pStyle w:val="MainText"/>
        <w:rPr>
          <w:rFonts w:ascii="Arial" w:hAnsi="Arial" w:cs="Arial"/>
          <w:color w:val="000000"/>
        </w:rPr>
      </w:pPr>
      <w:r>
        <w:rPr>
          <w:rFonts w:cs="Arial" w:ascii="Arial" w:hAnsi="Arial"/>
          <w:color w:val="000000"/>
        </w:rPr>
        <w:t>принадлежность заемщика к финансовым группам и холдингам,</w:t>
      </w:r>
    </w:p>
    <w:p>
      <w:pPr>
        <w:pStyle w:val="MainText"/>
        <w:rPr>
          <w:rFonts w:ascii="Arial" w:hAnsi="Arial" w:cs="Arial"/>
          <w:color w:val="000000"/>
        </w:rPr>
      </w:pPr>
      <w:r>
        <w:rPr>
          <w:rFonts w:cs="Arial" w:ascii="Arial" w:hAnsi="Arial"/>
          <w:color w:val="000000"/>
        </w:rPr>
        <w:t>существенная зависимость от одного или нескольких поставщиков и(или) заказчиков,</w:t>
      </w:r>
    </w:p>
    <w:p>
      <w:pPr>
        <w:pStyle w:val="MainText"/>
        <w:rPr>
          <w:rFonts w:ascii="Arial" w:hAnsi="Arial" w:cs="Arial"/>
          <w:color w:val="000000"/>
        </w:rPr>
      </w:pPr>
      <w:r>
        <w:rPr>
          <w:rFonts w:cs="Arial" w:ascii="Arial" w:hAnsi="Arial"/>
          <w:color w:val="000000"/>
        </w:rPr>
        <w:t>меры, предпринимаемые заемщиком для улучшения своего финансового положения,</w:t>
      </w:r>
    </w:p>
    <w:p>
      <w:pPr>
        <w:pStyle w:val="MainText"/>
        <w:rPr>
          <w:rFonts w:ascii="Arial" w:hAnsi="Arial" w:cs="Arial"/>
          <w:color w:val="000000"/>
        </w:rPr>
      </w:pPr>
      <w:r>
        <w:rPr>
          <w:rFonts w:cs="Arial" w:ascii="Arial" w:hAnsi="Arial"/>
          <w:color w:val="000000"/>
        </w:rPr>
        <w:t>вовлеченность заемщика в судебные разбирательства,</w:t>
      </w:r>
    </w:p>
    <w:p>
      <w:pPr>
        <w:pStyle w:val="MainText"/>
        <w:rPr>
          <w:rFonts w:ascii="Arial" w:hAnsi="Arial" w:cs="Arial"/>
          <w:color w:val="000000"/>
        </w:rPr>
      </w:pPr>
      <w:r>
        <w:rPr>
          <w:rFonts w:cs="Arial" w:ascii="Arial" w:hAnsi="Arial"/>
          <w:color w:val="000000"/>
        </w:rPr>
        <w:t>информация о различных аспектах в деятельности заемщика (сфера бизнеса, отраслевые особенности, специализация на видах продукции или услуг и иные аспекты),</w:t>
      </w:r>
    </w:p>
    <w:p>
      <w:pPr>
        <w:pStyle w:val="MainText"/>
        <w:rPr>
          <w:rFonts w:ascii="Arial" w:hAnsi="Arial" w:cs="Arial"/>
          <w:color w:val="000000"/>
        </w:rPr>
      </w:pPr>
      <w:r>
        <w:rPr>
          <w:rFonts w:cs="Arial" w:ascii="Arial" w:hAnsi="Arial"/>
          <w:color w:val="000000"/>
        </w:rPr>
        <w:t>степень зависимости от государственных дотаций,</w:t>
      </w:r>
    </w:p>
    <w:p>
      <w:pPr>
        <w:pStyle w:val="MainText"/>
        <w:rPr>
          <w:rFonts w:ascii="Arial" w:hAnsi="Arial" w:cs="Arial"/>
          <w:color w:val="000000"/>
        </w:rPr>
      </w:pPr>
      <w:r>
        <w:rPr>
          <w:rFonts w:cs="Arial" w:ascii="Arial" w:hAnsi="Arial"/>
          <w:color w:val="000000"/>
        </w:rPr>
        <w:t>значимость заемщика в масштабах региона,</w:t>
      </w:r>
    </w:p>
    <w:p>
      <w:pPr>
        <w:pStyle w:val="MainText"/>
        <w:rPr>
          <w:rFonts w:ascii="Arial" w:hAnsi="Arial" w:cs="Arial"/>
          <w:color w:val="000000"/>
        </w:rPr>
      </w:pPr>
      <w:r>
        <w:rPr>
          <w:rFonts w:cs="Arial" w:ascii="Arial" w:hAnsi="Arial"/>
          <w:color w:val="000000"/>
        </w:rPr>
        <w:t>зависимость деятельности заемщика от роста цен при покупке товаров и услуг и от падения цен при продаже товаров и услуг,</w:t>
      </w:r>
    </w:p>
    <w:p>
      <w:pPr>
        <w:pStyle w:val="MainText"/>
        <w:rPr>
          <w:rFonts w:ascii="Arial" w:hAnsi="Arial" w:cs="Arial"/>
          <w:color w:val="000000"/>
        </w:rPr>
      </w:pPr>
      <w:r>
        <w:rPr>
          <w:rFonts w:cs="Arial" w:ascii="Arial" w:hAnsi="Arial"/>
          <w:color w:val="000000"/>
        </w:rPr>
        <w:t>согласованность позиций акционеров (участников) юридического лица — заемщика, имеющих право владения пятью и более процентами голосующих акций (долей) организации, по основным вопросам деятельности заемщика, в том числе финансовым и производственным,</w:t>
      </w:r>
    </w:p>
    <w:p>
      <w:pPr>
        <w:pStyle w:val="MainText"/>
        <w:rPr>
          <w:rFonts w:ascii="Arial" w:hAnsi="Arial" w:cs="Arial"/>
          <w:color w:val="000000"/>
        </w:rPr>
      </w:pPr>
      <w:r>
        <w:rPr>
          <w:rFonts w:cs="Arial" w:ascii="Arial" w:hAnsi="Arial"/>
          <w:color w:val="000000"/>
        </w:rPr>
        <w:t>вероятность открытия в ближайшем будущем или фактическое начало процедуры банкротства и(или) ликвидации заемщика,</w:t>
      </w:r>
    </w:p>
    <w:p>
      <w:pPr>
        <w:pStyle w:val="MainText"/>
        <w:rPr>
          <w:rFonts w:ascii="Arial" w:hAnsi="Arial" w:cs="Arial"/>
          <w:color w:val="000000"/>
        </w:rPr>
      </w:pPr>
      <w:r>
        <w:rPr>
          <w:rFonts w:cs="Arial" w:ascii="Arial" w:hAnsi="Arial"/>
          <w:color w:val="000000"/>
        </w:rPr>
        <w:t>информация о выполнении заемщиком обязательств по другим договорам и перед другими кредиторами, включая задолженность перед резидентами и нерезидентами по полученным кредитам (займам, депозитам), а также обязательства по предоставленным поручительствам и(или) гарантиям в пользу резидентов и нерезидентов, по платежам в бюджеты всех уровней.</w:t>
      </w:r>
    </w:p>
    <w:p>
      <w:pPr>
        <w:pStyle w:val="MainText"/>
        <w:rPr>
          <w:rFonts w:ascii="Arial" w:hAnsi="Arial" w:cs="Arial"/>
          <w:color w:val="000000"/>
        </w:rPr>
      </w:pPr>
      <w:r>
        <w:rPr>
          <w:rFonts w:cs="Arial" w:ascii="Arial" w:hAnsi="Arial"/>
          <w:color w:val="000000"/>
        </w:rPr>
        <w:t>3. Сравнительные данные (в динамике) по предприятиям, работающим в сопоставимых условиях (тот же профиль деятельности, те же размеры), содержащие сведения:</w:t>
      </w:r>
    </w:p>
    <w:p>
      <w:pPr>
        <w:pStyle w:val="MainText"/>
        <w:rPr>
          <w:rFonts w:ascii="Arial" w:hAnsi="Arial" w:cs="Arial"/>
          <w:color w:val="000000"/>
        </w:rPr>
      </w:pPr>
      <w:r>
        <w:rPr>
          <w:rFonts w:cs="Arial" w:ascii="Arial" w:hAnsi="Arial"/>
          <w:color w:val="000000"/>
        </w:rPr>
        <w:t>о финансовой устойчивости (состоятельности);</w:t>
      </w:r>
    </w:p>
    <w:p>
      <w:pPr>
        <w:pStyle w:val="MainText"/>
        <w:rPr>
          <w:rFonts w:ascii="Arial" w:hAnsi="Arial" w:cs="Arial"/>
          <w:color w:val="000000"/>
        </w:rPr>
      </w:pPr>
      <w:r>
        <w:rPr>
          <w:rFonts w:cs="Arial" w:ascii="Arial" w:hAnsi="Arial"/>
          <w:color w:val="000000"/>
        </w:rPr>
        <w:t>о ликвидности (платежеспособности), в том числе о движении денежных средств;</w:t>
      </w:r>
    </w:p>
    <w:p>
      <w:pPr>
        <w:pStyle w:val="MainText"/>
        <w:rPr>
          <w:rFonts w:ascii="Arial" w:hAnsi="Arial" w:cs="Arial"/>
          <w:color w:val="000000"/>
        </w:rPr>
      </w:pPr>
      <w:r>
        <w:rPr>
          <w:rFonts w:cs="Arial" w:ascii="Arial" w:hAnsi="Arial"/>
          <w:color w:val="000000"/>
        </w:rPr>
        <w:t>о прибыльности (рентабельности);</w:t>
      </w:r>
    </w:p>
    <w:p>
      <w:pPr>
        <w:pStyle w:val="MainText"/>
        <w:spacing w:before="0" w:after="240"/>
        <w:rPr>
          <w:rFonts w:ascii="Arial" w:hAnsi="Arial" w:cs="Arial"/>
          <w:color w:val="000000"/>
        </w:rPr>
      </w:pPr>
      <w:r>
        <w:rPr>
          <w:rFonts w:cs="Arial" w:ascii="Arial" w:hAnsi="Arial"/>
          <w:color w:val="000000"/>
        </w:rPr>
        <w:t>о деловой активности и перспективах развития соответствующего сегмента рынка.</w:t>
      </w:r>
    </w:p>
    <w:p>
      <w:pPr>
        <w:pStyle w:val="Snoska"/>
        <w:keepLines/>
        <w:pBdr>
          <w:top w:val="single" w:sz="6" w:space="1" w:color="000000"/>
        </w:pBdr>
        <w:tabs>
          <w:tab w:val="clear" w:pos="567"/>
        </w:tabs>
        <w:spacing w:before="60" w:after="0"/>
        <w:rPr>
          <w:rFonts w:ascii="Arial" w:hAnsi="Arial" w:cs="Arial"/>
          <w:sz w:val="16"/>
          <w:lang w:val="ru-RU"/>
        </w:rPr>
      </w:pPr>
      <w:r>
        <w:rPr>
          <w:rFonts w:cs="Arial" w:ascii="Arial" w:hAnsi="Arial"/>
          <w:sz w:val="16"/>
          <w:vertAlign w:val="superscript"/>
          <w:lang w:val="ru-RU"/>
        </w:rPr>
        <w:t>1</w:t>
      </w:r>
      <w:r>
        <w:rPr>
          <w:rFonts w:cs="Arial" w:ascii="Arial" w:hAnsi="Arial"/>
          <w:sz w:val="16"/>
          <w:lang w:val="ru-RU"/>
        </w:rPr>
        <w:t> Указания о порядке составления и представления бухгалтерской отчетности, утвержденные приказом Министерства финансов Российской Федерации от 22 июля 2003 года № 67н, не нуждаются в государственной регистрации на основании письма Министерства юстиции Российской Федерации от 5 августа 2003 года № 07/8121-АК.</w:t>
      </w:r>
    </w:p>
    <w:p>
      <w:pPr>
        <w:pStyle w:val="Style15"/>
        <w:spacing w:before="0" w:after="240"/>
        <w:rPr>
          <w:rFonts w:ascii="Arial" w:hAnsi="Arial" w:cs="Arial"/>
          <w:lang w:val="ru-RU"/>
        </w:rPr>
      </w:pPr>
      <w:r>
        <w:rPr>
          <w:rFonts w:cs="Arial" w:ascii="Arial" w:hAnsi="Arial"/>
          <w:sz w:val="16"/>
          <w:lang w:val="ru-RU"/>
        </w:rPr>
      </w:r>
      <w:r>
        <w:br w:type="page"/>
      </w:r>
    </w:p>
    <w:p>
      <w:pPr>
        <w:pStyle w:val="MainText-BezOtstupa1"/>
        <w:keepNext w:val="true"/>
        <w:keepLines/>
        <w:jc w:val="end"/>
        <w:rPr>
          <w:rFonts w:ascii="Arial" w:hAnsi="Arial" w:cs="Arial"/>
          <w:color w:val="000000"/>
        </w:rPr>
      </w:pPr>
      <w:r>
        <w:rPr>
          <w:rFonts w:cs="Arial" w:ascii="Arial" w:hAnsi="Arial"/>
          <w:b/>
        </w:rPr>
        <w:t>Приложение 3</w:t>
      </w:r>
      <w:r>
        <w:rPr>
          <w:rFonts w:cs="Arial" w:ascii="Arial" w:hAnsi="Arial"/>
          <w:color w:val="000000"/>
        </w:rPr>
        <w:br/>
        <w:t xml:space="preserve"> к Положению Банка России</w:t>
        <w:br/>
        <w:t xml:space="preserve"> от 26.03.2004 № 254-П</w:t>
        <w:br/>
        <w:t xml:space="preserve"> “О порядке формирования кредитными организациями</w:t>
        <w:br/>
        <w:t xml:space="preserve"> резервов на возможные потери по ссудам,</w:t>
        <w:br/>
        <w:t xml:space="preserve"> ссудной и приравненной к ней задолженности”</w:t>
      </w:r>
    </w:p>
    <w:p>
      <w:pPr>
        <w:pStyle w:val="MZagolvok-Center"/>
        <w:keepNext w:val="true"/>
        <w:keepLines/>
        <w:spacing w:before="180" w:after="120"/>
        <w:rPr>
          <w:rFonts w:ascii="Arial" w:hAnsi="Arial" w:cs="Arial"/>
        </w:rPr>
      </w:pPr>
      <w:r>
        <w:rPr>
          <w:rFonts w:cs="Arial" w:ascii="Arial" w:hAnsi="Arial"/>
        </w:rPr>
        <w:t>Порядок оценки кредитного риска по синдицированным ссудам</w:t>
      </w:r>
    </w:p>
    <w:p>
      <w:pPr>
        <w:pStyle w:val="MainText"/>
        <w:rPr>
          <w:rFonts w:ascii="Arial" w:hAnsi="Arial" w:cs="Arial"/>
          <w:color w:val="000000"/>
        </w:rPr>
      </w:pPr>
      <w:r>
        <w:rPr>
          <w:rFonts w:cs="Arial" w:ascii="Arial" w:hAnsi="Arial"/>
        </w:rPr>
        <w:t>В зависимости от характера участия оценка кредитного риска по синдицированным ссудам осуществляется следующим образом.</w:t>
      </w:r>
    </w:p>
    <w:p>
      <w:pPr>
        <w:pStyle w:val="MainText"/>
        <w:rPr>
          <w:rFonts w:ascii="Arial" w:hAnsi="Arial" w:cs="Arial"/>
          <w:color w:val="000000"/>
        </w:rPr>
      </w:pPr>
      <w:r>
        <w:rPr>
          <w:rFonts w:cs="Arial" w:ascii="Arial" w:hAnsi="Arial"/>
          <w:color w:val="000000"/>
        </w:rPr>
        <w:t>1. По совместно инициированной синдицированной ссуде:</w:t>
      </w:r>
    </w:p>
    <w:p>
      <w:pPr>
        <w:pStyle w:val="MainText"/>
        <w:rPr>
          <w:rFonts w:ascii="Arial" w:hAnsi="Arial" w:cs="Arial"/>
          <w:color w:val="000000"/>
        </w:rPr>
      </w:pPr>
      <w:r>
        <w:rPr>
          <w:rFonts w:cs="Arial" w:ascii="Arial" w:hAnsi="Arial"/>
          <w:color w:val="000000"/>
        </w:rPr>
        <w:t>1.1. кредитная организация — агент:</w:t>
      </w:r>
    </w:p>
    <w:p>
      <w:pPr>
        <w:pStyle w:val="MainText"/>
        <w:rPr>
          <w:rFonts w:ascii="Arial" w:hAnsi="Arial" w:cs="Arial"/>
          <w:color w:val="000000"/>
        </w:rPr>
      </w:pPr>
      <w:r>
        <w:rPr>
          <w:rFonts w:cs="Arial" w:ascii="Arial" w:hAnsi="Arial"/>
          <w:color w:val="000000"/>
        </w:rPr>
        <w:t>в отношении средств, предоставленных заемщику от своего имени, оценивает риск в отношении заемщика и формирует резерв в соответствии с требованиями настоящего Положения;</w:t>
      </w:r>
    </w:p>
    <w:p>
      <w:pPr>
        <w:pStyle w:val="MainText"/>
        <w:rPr>
          <w:rFonts w:ascii="Arial" w:hAnsi="Arial" w:cs="Arial"/>
          <w:color w:val="000000"/>
        </w:rPr>
      </w:pPr>
      <w:r>
        <w:rPr>
          <w:rFonts w:cs="Arial" w:ascii="Arial" w:hAnsi="Arial"/>
          <w:color w:val="000000"/>
        </w:rPr>
        <w:t>в отношении средств, предоставленных заемщику другими ссудодателями через кредитную организацию — агента, в тех случаях, когда кредитная организация — агент выполняет исключительно агентские функции и не принимает на себя какие-либо риски по ссудам, предоставленным заемщику другими ссудодателями, — риск не оценивает и резерв не формирует;</w:t>
      </w:r>
    </w:p>
    <w:p>
      <w:pPr>
        <w:pStyle w:val="MainText"/>
        <w:rPr>
          <w:rFonts w:ascii="Arial" w:hAnsi="Arial" w:cs="Arial"/>
          <w:color w:val="000000"/>
        </w:rPr>
      </w:pPr>
      <w:r>
        <w:rPr>
          <w:rFonts w:cs="Arial" w:ascii="Arial" w:hAnsi="Arial"/>
          <w:color w:val="000000"/>
        </w:rPr>
        <w:t>1.2. ссудодатели (участники синдицированного кредитования) оценивают кредитный риск в отношении заемщика, кредитной организации — агента, и формируют резерв в соответствии с требованиями настоящего Положения в максимальном размере исходя из произведенных оценок.</w:t>
      </w:r>
    </w:p>
    <w:p>
      <w:pPr>
        <w:pStyle w:val="MainText"/>
        <w:rPr>
          <w:rFonts w:ascii="Arial" w:hAnsi="Arial" w:cs="Arial"/>
          <w:color w:val="000000"/>
        </w:rPr>
      </w:pPr>
      <w:r>
        <w:rPr>
          <w:rFonts w:cs="Arial" w:ascii="Arial" w:hAnsi="Arial"/>
          <w:color w:val="000000"/>
        </w:rPr>
        <w:t>2. По индивидуально инициированным синдицированным ссудам:</w:t>
      </w:r>
    </w:p>
    <w:p>
      <w:pPr>
        <w:pStyle w:val="MainText"/>
        <w:rPr>
          <w:rFonts w:ascii="Arial" w:hAnsi="Arial" w:cs="Arial"/>
          <w:color w:val="000000"/>
        </w:rPr>
      </w:pPr>
      <w:r>
        <w:rPr>
          <w:rFonts w:cs="Arial" w:ascii="Arial" w:hAnsi="Arial"/>
          <w:color w:val="000000"/>
        </w:rPr>
        <w:t>2.1. первоначальный ссудодатель:</w:t>
      </w:r>
    </w:p>
    <w:p>
      <w:pPr>
        <w:pStyle w:val="MainText"/>
        <w:rPr>
          <w:rFonts w:ascii="Arial" w:hAnsi="Arial" w:cs="Arial"/>
          <w:color w:val="000000"/>
        </w:rPr>
      </w:pPr>
      <w:r>
        <w:rPr>
          <w:rFonts w:cs="Arial" w:ascii="Arial" w:hAnsi="Arial"/>
          <w:color w:val="000000"/>
        </w:rPr>
        <w:t>в отношении части индивидуально инициированной синдицированной ссуды, по которой права требования к заемщику сохраняются у первоначального ссудодателя, оценивает кредитный риск в отношении заемщика и формирует резерв в соответствии с требованиями настоящего Положения;</w:t>
      </w:r>
    </w:p>
    <w:p>
      <w:pPr>
        <w:pStyle w:val="MainText"/>
        <w:rPr>
          <w:rFonts w:ascii="Arial" w:hAnsi="Arial" w:cs="Arial"/>
          <w:color w:val="000000"/>
        </w:rPr>
      </w:pPr>
      <w:r>
        <w:rPr>
          <w:rFonts w:cs="Arial" w:ascii="Arial" w:hAnsi="Arial"/>
          <w:color w:val="000000"/>
        </w:rPr>
        <w:t>в отношении части ссуды, права требования к заемщику по которой уступлены участникам синдиката:</w:t>
      </w:r>
    </w:p>
    <w:p>
      <w:pPr>
        <w:pStyle w:val="MainText"/>
        <w:rPr>
          <w:rFonts w:ascii="Arial" w:hAnsi="Arial" w:cs="Arial"/>
          <w:color w:val="000000"/>
        </w:rPr>
      </w:pPr>
      <w:r>
        <w:rPr>
          <w:rFonts w:cs="Arial" w:ascii="Arial" w:hAnsi="Arial"/>
          <w:color w:val="000000"/>
        </w:rPr>
        <w:t>при отсутствии опционной оговорки кредитный риск не оценивает и резерв не формирует;</w:t>
      </w:r>
    </w:p>
    <w:p>
      <w:pPr>
        <w:pStyle w:val="MainText"/>
        <w:rPr>
          <w:rFonts w:ascii="Arial" w:hAnsi="Arial" w:cs="Arial"/>
          <w:color w:val="000000"/>
        </w:rPr>
      </w:pPr>
      <w:r>
        <w:rPr>
          <w:rFonts w:cs="Arial" w:ascii="Arial" w:hAnsi="Arial"/>
          <w:color w:val="000000"/>
        </w:rPr>
        <w:t>при наличии опционной оговорки оценивает кредитный риск в отношении заемщика и формирует резерв в соответствии с требованиями настоящего Положения;</w:t>
      </w:r>
    </w:p>
    <w:p>
      <w:pPr>
        <w:pStyle w:val="MainText"/>
        <w:rPr>
          <w:rFonts w:ascii="Arial" w:hAnsi="Arial" w:cs="Arial"/>
          <w:color w:val="000000"/>
        </w:rPr>
      </w:pPr>
      <w:r>
        <w:rPr>
          <w:rFonts w:cs="Arial" w:ascii="Arial" w:hAnsi="Arial"/>
          <w:color w:val="000000"/>
        </w:rPr>
        <w:t>2.2. участники синдиката:</w:t>
      </w:r>
    </w:p>
    <w:p>
      <w:pPr>
        <w:pStyle w:val="MainText"/>
        <w:rPr>
          <w:rFonts w:ascii="Arial" w:hAnsi="Arial" w:cs="Arial"/>
          <w:color w:val="000000"/>
        </w:rPr>
      </w:pPr>
      <w:r>
        <w:rPr>
          <w:rFonts w:cs="Arial" w:ascii="Arial" w:hAnsi="Arial"/>
          <w:color w:val="000000"/>
        </w:rPr>
        <w:t>в отношении приобретенных прав требования к заемщику оценивают кредитный риск в отношении заемщика и формируют резерв в соответствии с требованиями настоящего Положения. Наличие опционной оговорки в целях определения размера резерва приравнивается к обеспечению II категории качества для случаев, когда финансовое положение первоначального ссудодателя в соответствии с настоящим Положением обоснованно оценивается как хорошее или выше среднего.</w:t>
      </w:r>
    </w:p>
    <w:p>
      <w:pPr>
        <w:pStyle w:val="MainText"/>
        <w:rPr>
          <w:rFonts w:ascii="Arial" w:hAnsi="Arial" w:cs="Arial"/>
          <w:color w:val="000000"/>
        </w:rPr>
      </w:pPr>
      <w:r>
        <w:rPr>
          <w:rFonts w:cs="Arial" w:ascii="Arial" w:hAnsi="Arial"/>
          <w:color w:val="000000"/>
        </w:rPr>
        <w:t>3. По синдицированной ссуде без определения долевых условий:</w:t>
      </w:r>
    </w:p>
    <w:p>
      <w:pPr>
        <w:pStyle w:val="MainText"/>
        <w:rPr>
          <w:rFonts w:ascii="Arial" w:hAnsi="Arial" w:cs="Arial"/>
          <w:color w:val="000000"/>
        </w:rPr>
      </w:pPr>
      <w:r>
        <w:rPr>
          <w:rFonts w:cs="Arial" w:ascii="Arial" w:hAnsi="Arial"/>
          <w:color w:val="000000"/>
        </w:rPr>
        <w:t>3.1. кредитная организация — организатор синдиката оценивает кредитный риск в отношении заемщика и формирует резерв по совокупной величине ссуды в соответствии с требованиями настоящего Положения;</w:t>
      </w:r>
    </w:p>
    <w:p>
      <w:pPr>
        <w:pStyle w:val="MainText"/>
        <w:rPr>
          <w:rFonts w:ascii="Arial" w:hAnsi="Arial" w:cs="Arial"/>
          <w:color w:val="000000"/>
        </w:rPr>
      </w:pPr>
      <w:r>
        <w:rPr>
          <w:rFonts w:cs="Arial" w:ascii="Arial" w:hAnsi="Arial"/>
          <w:color w:val="000000"/>
        </w:rPr>
        <w:t>3.2. третье лицо (в случае, если оно является кредитной организацией), предоставившее средства кредитной организации — организатору синдиката, оценивает кредитный риск в отношении кредитной организации — организатора синдиката и формирует резерв в соответствии с требованиями настоящего Положения.</w:t>
      </w:r>
    </w:p>
    <w:p>
      <w:pPr>
        <w:pStyle w:val="Style15"/>
        <w:spacing w:before="0" w:after="240"/>
        <w:rPr>
          <w:rFonts w:ascii="Arial" w:hAnsi="Arial" w:cs="Arial"/>
          <w:lang w:val="ru-RU"/>
        </w:rPr>
      </w:pPr>
      <w:r>
        <w:rPr>
          <w:rFonts w:cs="Arial" w:ascii="Arial" w:hAnsi="Arial"/>
          <w:color w:val="000000"/>
          <w:lang w:val="ru-RU"/>
        </w:rPr>
      </w:r>
      <w:r>
        <w:br w:type="page"/>
      </w:r>
    </w:p>
    <w:p>
      <w:pPr>
        <w:pStyle w:val="MainText-BezOtstupa1"/>
        <w:keepNext w:val="true"/>
        <w:keepLines/>
        <w:jc w:val="end"/>
        <w:rPr>
          <w:rFonts w:ascii="Arial" w:hAnsi="Arial" w:cs="Arial"/>
          <w:color w:val="000000"/>
        </w:rPr>
      </w:pPr>
      <w:r>
        <w:rPr>
          <w:rFonts w:cs="Arial" w:ascii="Arial" w:hAnsi="Arial"/>
          <w:b/>
        </w:rPr>
        <w:t>Приложение 4</w:t>
      </w:r>
      <w:r>
        <w:rPr>
          <w:rFonts w:cs="Arial" w:ascii="Arial" w:hAnsi="Arial"/>
          <w:color w:val="000000"/>
        </w:rPr>
        <w:br/>
        <w:t xml:space="preserve"> к Положению Банка России</w:t>
        <w:br/>
        <w:t xml:space="preserve"> от 26.03.2004 № 254-П</w:t>
        <w:br/>
        <w:t xml:space="preserve"> “О порядке формирования кредитными организациями</w:t>
        <w:br/>
        <w:t xml:space="preserve"> резервов на возможные потери по ссудам,</w:t>
        <w:br/>
        <w:t xml:space="preserve"> ссудной и приравненной к ней задолженности”</w:t>
      </w:r>
    </w:p>
    <w:p>
      <w:pPr>
        <w:pStyle w:val="MZagolvok-Center"/>
        <w:keepNext w:val="true"/>
        <w:keepLines/>
        <w:spacing w:before="180" w:after="120"/>
        <w:rPr>
          <w:rFonts w:ascii="Arial" w:hAnsi="Arial" w:cs="Arial"/>
        </w:rPr>
      </w:pPr>
      <w:r>
        <w:rPr>
          <w:rFonts w:cs="Arial" w:ascii="Arial" w:hAnsi="Arial"/>
        </w:rPr>
        <w:t>Порядок оценки кредитного риска по портфелю (портфелям) однородных ссуд</w:t>
      </w:r>
    </w:p>
    <w:p>
      <w:pPr>
        <w:pStyle w:val="MainText"/>
        <w:rPr>
          <w:rFonts w:ascii="Arial" w:hAnsi="Arial" w:cs="Arial"/>
          <w:color w:val="000000"/>
        </w:rPr>
      </w:pPr>
      <w:r>
        <w:rPr>
          <w:rFonts w:cs="Arial" w:ascii="Arial" w:hAnsi="Arial"/>
        </w:rPr>
        <w:t>1. К ссудам, группируемым в портфели однородных ссуд, относятся ссуды, которые предоставляются всем заемщикам на стандартных условиях, определенных внутренними правилами кредитной организации, при том что величина каждой ссуды соответствует параметрам, установленным подпунктом 5.1 настоящего Положения.</w:t>
      </w:r>
    </w:p>
    <w:p>
      <w:pPr>
        <w:pStyle w:val="MainText"/>
        <w:rPr>
          <w:rFonts w:ascii="Arial" w:hAnsi="Arial" w:cs="Arial"/>
          <w:color w:val="000000"/>
        </w:rPr>
      </w:pPr>
      <w:r>
        <w:rPr>
          <w:rFonts w:cs="Arial" w:ascii="Arial" w:hAnsi="Arial"/>
          <w:color w:val="000000"/>
        </w:rPr>
        <w:t>К таким ссудам по усмотрению кредитной организации могут быть отнесены:</w:t>
      </w:r>
    </w:p>
    <w:p>
      <w:pPr>
        <w:pStyle w:val="MainText"/>
        <w:rPr>
          <w:rFonts w:ascii="Arial" w:hAnsi="Arial" w:cs="Arial"/>
          <w:color w:val="000000"/>
        </w:rPr>
      </w:pPr>
      <w:r>
        <w:rPr>
          <w:rFonts w:cs="Arial" w:ascii="Arial" w:hAnsi="Arial"/>
          <w:color w:val="000000"/>
        </w:rPr>
        <w:t>ссуды малому бизнесу;</w:t>
      </w:r>
    </w:p>
    <w:p>
      <w:pPr>
        <w:pStyle w:val="MainText"/>
        <w:rPr>
          <w:rFonts w:ascii="Arial" w:hAnsi="Arial" w:cs="Arial"/>
          <w:color w:val="000000"/>
        </w:rPr>
      </w:pPr>
      <w:r>
        <w:rPr>
          <w:rFonts w:cs="Arial" w:ascii="Arial" w:hAnsi="Arial"/>
          <w:color w:val="000000"/>
        </w:rPr>
        <w:t>ссуды физическим лицам;</w:t>
      </w:r>
    </w:p>
    <w:p>
      <w:pPr>
        <w:pStyle w:val="MainText"/>
        <w:rPr>
          <w:rFonts w:ascii="Arial" w:hAnsi="Arial" w:cs="Arial"/>
          <w:color w:val="000000"/>
        </w:rPr>
      </w:pPr>
      <w:r>
        <w:rPr>
          <w:rFonts w:cs="Arial" w:ascii="Arial" w:hAnsi="Arial"/>
          <w:color w:val="000000"/>
        </w:rPr>
        <w:t>ссуды предприятиям малого бизнеса и физическим лицам — индивидуальным предпринимателям;</w:t>
      </w:r>
    </w:p>
    <w:p>
      <w:pPr>
        <w:pStyle w:val="MainText"/>
        <w:rPr>
          <w:rFonts w:ascii="Arial" w:hAnsi="Arial" w:cs="Arial"/>
          <w:color w:val="000000"/>
        </w:rPr>
      </w:pPr>
      <w:r>
        <w:rPr>
          <w:rFonts w:cs="Arial" w:ascii="Arial" w:hAnsi="Arial"/>
          <w:color w:val="000000"/>
        </w:rPr>
        <w:t>другие категории ссуд, соответствующие данному выше определению.</w:t>
      </w:r>
    </w:p>
    <w:p>
      <w:pPr>
        <w:pStyle w:val="MainText"/>
        <w:rPr>
          <w:rFonts w:ascii="Arial" w:hAnsi="Arial" w:cs="Arial"/>
          <w:color w:val="000000"/>
        </w:rPr>
      </w:pPr>
      <w:r>
        <w:rPr>
          <w:rFonts w:cs="Arial" w:ascii="Arial" w:hAnsi="Arial"/>
          <w:color w:val="000000"/>
        </w:rPr>
        <w:t>2. Резерв по портфелю однородных ссуд создается по потерям в целом по портфелю однородных ссуд.</w:t>
      </w:r>
    </w:p>
    <w:p>
      <w:pPr>
        <w:pStyle w:val="MainText"/>
        <w:rPr>
          <w:rFonts w:ascii="Arial" w:hAnsi="Arial" w:cs="Arial"/>
          <w:color w:val="000000"/>
        </w:rPr>
      </w:pPr>
      <w:r>
        <w:rPr>
          <w:rFonts w:cs="Arial" w:ascii="Arial" w:hAnsi="Arial"/>
          <w:color w:val="000000"/>
        </w:rPr>
        <w:t>3. Процедуры оценки кредитного риска по портфелю однородных ссуд (классификация портфеля) устанавливаются внутренними документами кредитной организации, определяющими ее кредитную политику.</w:t>
      </w:r>
    </w:p>
    <w:p>
      <w:pPr>
        <w:pStyle w:val="MainText"/>
        <w:rPr>
          <w:rFonts w:ascii="Arial" w:hAnsi="Arial" w:cs="Arial"/>
          <w:color w:val="000000"/>
        </w:rPr>
      </w:pPr>
      <w:r>
        <w:rPr>
          <w:rFonts w:cs="Arial" w:ascii="Arial" w:hAnsi="Arial"/>
          <w:color w:val="000000"/>
        </w:rPr>
        <w:t>4. Размер резерва по портфелю однородных ссуд определяется кредитной организацией на основе профессионального суждения и отражает величину потерь, обусловленных общим обесценением совокупности однородных ссуд, объединенных (сгруппированных) в портфель.</w:t>
      </w:r>
    </w:p>
    <w:p>
      <w:pPr>
        <w:pStyle w:val="MainText"/>
        <w:rPr>
          <w:rFonts w:ascii="Arial" w:hAnsi="Arial" w:cs="Arial"/>
          <w:color w:val="000000"/>
        </w:rPr>
      </w:pPr>
      <w:r>
        <w:rPr>
          <w:rFonts w:cs="Arial" w:ascii="Arial" w:hAnsi="Arial"/>
          <w:color w:val="000000"/>
        </w:rPr>
        <w:t>5. Классификация портфеля однородных ссуд и величина резерва по портфелю однородных ссуд могут определяться кредитной организацией, в том числе с использованием следующих методов:</w:t>
      </w:r>
    </w:p>
    <w:p>
      <w:pPr>
        <w:pStyle w:val="MainText"/>
        <w:rPr>
          <w:rFonts w:ascii="Arial" w:hAnsi="Arial" w:cs="Arial"/>
          <w:color w:val="000000"/>
        </w:rPr>
      </w:pPr>
      <w:r>
        <w:rPr>
          <w:rFonts w:cs="Arial" w:ascii="Arial" w:hAnsi="Arial"/>
          <w:color w:val="000000"/>
        </w:rPr>
        <w:t>экстраполяция оценки риска и величины требуемого к созданию резерва по представительной выборке ссуд на портфель в целом;</w:t>
      </w:r>
    </w:p>
    <w:p>
      <w:pPr>
        <w:pStyle w:val="MainText"/>
        <w:rPr>
          <w:rFonts w:ascii="Arial" w:hAnsi="Arial" w:cs="Arial"/>
          <w:color w:val="000000"/>
        </w:rPr>
      </w:pPr>
      <w:r>
        <w:rPr>
          <w:rFonts w:cs="Arial" w:ascii="Arial" w:hAnsi="Arial"/>
          <w:color w:val="000000"/>
        </w:rPr>
        <w:t>соотношение фактического удельного веса безнадежных (либо просроченных) ссуд в портфеле однородных ссуд и удельного веса безнадежных (просроченных) ссуд, принятого при расчете процентных ставок по ссудам;</w:t>
      </w:r>
    </w:p>
    <w:p>
      <w:pPr>
        <w:pStyle w:val="MainText"/>
        <w:rPr>
          <w:rFonts w:ascii="Arial" w:hAnsi="Arial" w:cs="Arial"/>
          <w:color w:val="000000"/>
        </w:rPr>
      </w:pPr>
      <w:r>
        <w:rPr>
          <w:rFonts w:cs="Arial" w:ascii="Arial" w:hAnsi="Arial"/>
          <w:color w:val="000000"/>
        </w:rPr>
        <w:t>учет различных факторов, относящихся к характеристике заемщиков (например, срок, на который предоставлены ссуды, и качество кредитной истории) и текущих экономических условий их деятельности.</w:t>
      </w:r>
    </w:p>
    <w:p>
      <w:pPr>
        <w:pStyle w:val="MainText"/>
        <w:rPr>
          <w:rFonts w:ascii="Arial" w:hAnsi="Arial" w:cs="Arial"/>
          <w:color w:val="000000"/>
        </w:rPr>
      </w:pPr>
      <w:r>
        <w:rPr>
          <w:rFonts w:cs="Arial" w:ascii="Arial" w:hAnsi="Arial"/>
          <w:color w:val="000000"/>
        </w:rPr>
        <w:t>Перечень приведенных методов не является исчерпывающим.</w:t>
      </w:r>
    </w:p>
    <w:p>
      <w:pPr>
        <w:pStyle w:val="MainText"/>
        <w:rPr>
          <w:rFonts w:ascii="Arial" w:hAnsi="Arial" w:cs="Arial"/>
          <w:color w:val="000000"/>
        </w:rPr>
      </w:pPr>
      <w:r>
        <w:rPr>
          <w:rFonts w:cs="Arial" w:ascii="Arial" w:hAnsi="Arial"/>
          <w:color w:val="000000"/>
        </w:rPr>
        <w:t>6. По результатам анализа за ряд лет сведений о доле просроченных либо безнадежных списанных и(или) подлежащих списанию с баланса ссуд в портфеле однородных ссуд либо фактических убытков по портфелю однородных ссуд (далее — параметры состояния портфеля однородных ссуд) кредитная организация может формировать шкалу оценки кредитного риска и(или) размера обесценения портфеля однородных ссуд в зависимости от указанных параметров. В случае формирования указанной шкалы оценка кредитного риска по соответствующему портфелю однородных ссуд и(или) размера обесценения портфеля производится кредитной организацией с учетом сформированной шкалы. Сведения, на основании которых формируется шкала оценки кредитного риска, могут включать информацию о текущих, реструктурированных (в том числе пролонгированных), своевременно исполненных, просроченных и признанных кредитной организацией нереальными для взыскания ссудах.</w:t>
      </w:r>
    </w:p>
    <w:p>
      <w:pPr>
        <w:pStyle w:val="Style15"/>
        <w:rPr>
          <w:rFonts w:ascii="Arial" w:hAnsi="Arial" w:cs="Arial"/>
          <w:lang w:val="ru-RU"/>
        </w:rPr>
      </w:pPr>
      <w:r>
        <w:rPr>
          <w:rFonts w:cs="Arial" w:ascii="Arial" w:hAnsi="Arial"/>
          <w:color w:val="000000"/>
          <w:lang w:val="ru-RU"/>
        </w:rPr>
      </w:r>
    </w:p>
    <w:sectPr>
      <w:type w:val="nextPage"/>
      <w:pgSz w:w="11906" w:h="16838"/>
      <w:pgMar w:left="851" w:right="851"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ragmatica">
    <w:charset w:val="00" w:characterSet="windows-1252"/>
    <w:family w:val="auto"/>
    <w:pitch w:val="variable"/>
  </w:font>
  <w:font w:name="Arial">
    <w:charset w:val="cc" w:characterSet="windows-1251"/>
    <w:family w:val="swiss"/>
    <w:pitch w:val="variable"/>
  </w:font>
  <w:font w:name="Bodoni">
    <w:charset w:val="00" w:characterSet="windows-1252"/>
    <w:family w:val="auto"/>
    <w:pitch w:val="variable"/>
  </w:font>
  <w:font w:name="Liberation Sans">
    <w:altName w:val="Arial"/>
    <w:charset w:val="01" w:characterSet="utf-8"/>
    <w:family w:val="swiss"/>
    <w:pitch w:val="variable"/>
  </w:font>
  <w:font w:name="AGOpus">
    <w:charset w:val="00" w:characterSet="windows-1252"/>
    <w:family w:val="swiss"/>
    <w:pitch w:val="variable"/>
  </w:font>
  <w:font w:name="NTHelvetica">
    <w:charset w:val="00" w:characterSet="windows-1252"/>
    <w:family w:val="swiss"/>
    <w:pitch w:val="variable"/>
  </w:font>
  <w:font w:name="PragmaticaCondC">
    <w:charset w:val="00" w:characterSet="windows-1252"/>
    <w:family w:val="decorative"/>
    <w:pitch w:val="variable"/>
  </w:font>
  <w:font w:name="NTHelvetica/Cyrillic">
    <w:charset w:val="00" w:characterSet="windows-1252"/>
    <w:family w:val="auto"/>
    <w:pitch w:val="variable"/>
  </w:font>
  <w:font w:name="PragmaticaC">
    <w:charset w:val="00" w:characterSet="windows-1252"/>
    <w:family w:val="decorative"/>
    <w:pitch w:val="variable"/>
  </w:font>
  <w:font w:name="Times New Roman">
    <w:charset w:val="cc" w:characterSet="windows-1251"/>
    <w:family w:val="roman"/>
    <w:pitch w:val="variable"/>
  </w:font>
  <w:font w:name="TimesET">
    <w:charset w:val="00" w:characterSet="windows-1252"/>
    <w:family w:val="auto"/>
    <w:pitch w:val="variable"/>
  </w:font>
  <w:font w:name="Courier New">
    <w:charset w:val="cc" w:characterSet="windows-1251"/>
    <w:family w:val="modern"/>
    <w:pitch w:val="default"/>
  </w:font>
  <w:font w:name="Symbol">
    <w:charset w:val="0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3"/>
        </w:tabs>
        <w:ind w:start="283"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Pragmatica" w:hAnsi="Pragmatica" w:eastAsia="Times New Roman" w:cs="Pragmatica"/>
      <w:color w:val="auto"/>
      <w:sz w:val="22"/>
      <w:szCs w:val="20"/>
      <w:lang w:bidi="ar-SA" w:val="ru-RU"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character" w:styleId="DefaultParagraphFont">
    <w:name w:val="Default Paragraph Font"/>
    <w:qFormat/>
    <w:rPr/>
  </w:style>
  <w:style w:type="character" w:styleId="FootnoteCharacters">
    <w:name w:val="Footnote Characters"/>
    <w:basedOn w:val="DefaultParagraphFont"/>
    <w:qFormat/>
    <w:rPr>
      <w:vertAlign w:val="superscript"/>
    </w:rPr>
  </w:style>
  <w:style w:type="character" w:styleId="Style13">
    <w:name w:val="Текст содержания"/>
    <w:basedOn w:val="DefaultParagraphFont"/>
    <w:qFormat/>
    <w:rPr>
      <w:rFonts w:ascii="Bodoni" w:hAnsi="Bodoni" w:cs="Bodoni"/>
      <w:color w:val="000000"/>
      <w:spacing w:val="0"/>
      <w:position w:val="0"/>
      <w:sz w:val="22"/>
      <w:u w:val="none"/>
      <w:vertAlign w:val="baselin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MainText"/>
    <w:next w:val="MainText"/>
    <w:pPr>
      <w:tabs>
        <w:tab w:val="clear" w:pos="720"/>
        <w:tab w:val="right" w:pos="340" w:leader="none"/>
        <w:tab w:val="left" w:pos="567" w:leader="none"/>
      </w:tabs>
      <w:ind w:hanging="567" w:start="567" w:end="0"/>
      <w:jc w:val="star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глава"/>
    <w:basedOn w:val="Normal"/>
    <w:qFormat/>
    <w:pPr>
      <w:keepNext w:val="true"/>
      <w:keepLines/>
      <w:spacing w:before="113" w:after="113"/>
      <w:ind w:hanging="0" w:start="567" w:end="0"/>
    </w:pPr>
    <w:rPr>
      <w:b/>
      <w:sz w:val="20"/>
    </w:rPr>
  </w:style>
  <w:style w:type="paragraph" w:styleId="Style15">
    <w:name w:val="Осн. текст"/>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20"/>
      <w:szCs w:val="20"/>
      <w:lang w:val="en-US" w:bidi="ar-SA" w:eastAsia="zh-CN"/>
    </w:rPr>
  </w:style>
  <w:style w:type="paragraph" w:styleId="Style16">
    <w:name w:val="С чертой"/>
    <w:basedOn w:val="Normal"/>
    <w:qFormat/>
    <w:pPr>
      <w:tabs>
        <w:tab w:val="clear" w:pos="720"/>
        <w:tab w:val="right" w:pos="9639" w:leader="dot"/>
      </w:tabs>
      <w:spacing w:before="0" w:after="120"/>
      <w:ind w:hanging="0" w:start="851" w:end="0"/>
    </w:pPr>
    <w:rPr>
      <w:color w:val="000000"/>
      <w:sz w:val="20"/>
    </w:rPr>
  </w:style>
  <w:style w:type="paragraph" w:styleId="Style17">
    <w:name w:val="тема"/>
    <w:basedOn w:val="Normal"/>
    <w:qFormat/>
    <w:pPr>
      <w:pBdr>
        <w:top w:val="single" w:sz="12" w:space="5" w:color="0000FF"/>
      </w:pBdr>
      <w:tabs>
        <w:tab w:val="clear" w:pos="720"/>
        <w:tab w:val="right" w:pos="9639" w:leader="dot"/>
      </w:tabs>
      <w:spacing w:before="180" w:after="180"/>
      <w:jc w:val="both"/>
    </w:pPr>
    <w:rPr>
      <w:rFonts w:ascii="AGOpus" w:hAnsi="AGOpus" w:cs="AGOpus"/>
      <w:b/>
      <w:color w:val="0000FF"/>
      <w:spacing w:val="100"/>
      <w:sz w:val="24"/>
    </w:rPr>
  </w:style>
  <w:style w:type="paragraph" w:styleId="Bodytext1">
    <w:name w:val="Body text1"/>
    <w:qFormat/>
    <w:pPr>
      <w:widowControl/>
      <w:overflowPunct w:val="false"/>
      <w:autoSpaceDE w:val="false"/>
      <w:bidi w:val="0"/>
      <w:ind w:firstLine="480" w:start="0" w:end="0"/>
      <w:textAlignment w:val="baseline"/>
    </w:pPr>
    <w:rPr>
      <w:rFonts w:ascii="AGOpus" w:hAnsi="AGOpus" w:eastAsia="Times New Roman" w:cs="AGOpus"/>
      <w:color w:val="000000"/>
      <w:sz w:val="24"/>
      <w:szCs w:val="20"/>
      <w:lang w:bidi="ar-SA" w:val="ru-RU" w:eastAsia="zh-CN"/>
    </w:rPr>
  </w:style>
  <w:style w:type="paragraph" w:styleId="Style18">
    <w:name w:val="Главный"/>
    <w:basedOn w:val="Normal"/>
    <w:qFormat/>
    <w:pPr>
      <w:keepNext w:val="true"/>
      <w:keepLines/>
      <w:spacing w:before="240" w:after="0"/>
    </w:pPr>
    <w:rPr>
      <w:rFonts w:ascii="AGOpus" w:hAnsi="AGOpus" w:cs="AGOpus"/>
      <w:sz w:val="28"/>
    </w:rPr>
  </w:style>
  <w:style w:type="paragraph" w:styleId="Style19">
    <w:name w:val="Главная тема"/>
    <w:basedOn w:val="Style18"/>
    <w:next w:val="Style20"/>
    <w:qFormat/>
    <w:pPr>
      <w:pageBreakBefore/>
      <w:pBdr>
        <w:top w:val="single" w:sz="12" w:space="1" w:color="0000FF"/>
        <w:bottom w:val="single" w:sz="18" w:space="1" w:color="0000FF"/>
      </w:pBdr>
      <w:shd w:fill="0000FF" w:val="clear"/>
      <w:tabs>
        <w:tab w:val="clear" w:pos="720"/>
        <w:tab w:val="left" w:pos="567" w:leader="none"/>
      </w:tabs>
      <w:suppressAutoHyphens w:val="true"/>
      <w:spacing w:before="120" w:after="40"/>
    </w:pPr>
    <w:rPr>
      <w:b/>
      <w:color w:val="FFFFFF"/>
      <w:spacing w:val="120"/>
      <w:sz w:val="24"/>
      <w:lang w:val="en-US"/>
    </w:rPr>
  </w:style>
  <w:style w:type="paragraph" w:styleId="Style20">
    <w:name w:val="Заголовок"/>
    <w:basedOn w:val="Normal"/>
    <w:qFormat/>
    <w:pPr>
      <w:keepNext w:val="true"/>
      <w:keepLines/>
      <w:spacing w:before="240" w:after="120"/>
    </w:pPr>
    <w:rPr>
      <w:rFonts w:ascii="NTHelvetica" w:hAnsi="NTHelvetica" w:cs="NTHelvetica"/>
      <w:b/>
      <w:color w:val="0000FF"/>
      <w:sz w:val="24"/>
    </w:rPr>
  </w:style>
  <w:style w:type="paragraph" w:styleId="Style21">
    <w:name w:val="приказ"/>
    <w:basedOn w:val="Style15"/>
    <w:qFormat/>
    <w:pPr>
      <w:keepNext w:val="true"/>
      <w:keepLines/>
      <w:spacing w:before="113" w:after="0"/>
      <w:ind w:hanging="0" w:start="0" w:end="0"/>
      <w:jc w:val="end"/>
    </w:pPr>
    <w:rPr/>
  </w:style>
  <w:style w:type="paragraph" w:styleId="Style22">
    <w:name w:val="дата"/>
    <w:basedOn w:val="Style15"/>
    <w:qFormat/>
    <w:pPr>
      <w:keepNext w:val="true"/>
      <w:keepLines/>
      <w:tabs>
        <w:tab w:val="clear" w:pos="720"/>
        <w:tab w:val="right" w:pos="9639" w:leader="none"/>
      </w:tabs>
      <w:spacing w:before="0" w:after="120"/>
      <w:ind w:hanging="0" w:start="0" w:end="0"/>
      <w:jc w:val="start"/>
    </w:pPr>
    <w:rPr>
      <w:color w:val="000000"/>
      <w:lang w:val="ru-RU"/>
    </w:rPr>
  </w:style>
  <w:style w:type="paragraph" w:styleId="Style23">
    <w:name w:val="подпись"/>
    <w:basedOn w:val="Style15"/>
    <w:qFormat/>
    <w:pPr>
      <w:keepLines/>
      <w:tabs>
        <w:tab w:val="clear" w:pos="720"/>
        <w:tab w:val="right" w:pos="5670" w:leader="none"/>
      </w:tabs>
      <w:spacing w:before="340" w:after="0"/>
      <w:ind w:hanging="0" w:start="567" w:end="0"/>
      <w:jc w:val="start"/>
    </w:pPr>
    <w:rPr>
      <w:caps/>
      <w:lang w:val="ru-RU"/>
    </w:rPr>
  </w:style>
  <w:style w:type="paragraph" w:styleId="Style24">
    <w:name w:val="Приложение"/>
    <w:basedOn w:val="Style15"/>
    <w:next w:val="Style15"/>
    <w:qFormat/>
    <w:pPr>
      <w:keepNext w:val="true"/>
      <w:keepLines/>
      <w:spacing w:before="0" w:after="170"/>
      <w:jc w:val="end"/>
    </w:pPr>
    <w:rPr>
      <w:color w:val="000000"/>
    </w:rPr>
  </w:style>
  <w:style w:type="paragraph" w:styleId="-">
    <w:name w:val="Осн. текст-список"/>
    <w:basedOn w:val="Style15"/>
    <w:next w:val="Style15"/>
    <w:qFormat/>
    <w:pPr>
      <w:tabs>
        <w:tab w:val="clear" w:pos="720"/>
        <w:tab w:val="right" w:pos="850" w:leader="none"/>
        <w:tab w:val="left" w:pos="964" w:leader="none"/>
      </w:tabs>
      <w:ind w:hanging="397" w:start="964" w:end="0"/>
    </w:pPr>
    <w:rPr>
      <w:color w:val="000000"/>
      <w:sz w:val="18"/>
      <w:lang w:val="ru-RU"/>
    </w:rPr>
  </w:style>
  <w:style w:type="paragraph" w:styleId="Style25">
    <w:name w:val="Таблица"/>
    <w:basedOn w:val="Normal"/>
    <w:qFormat/>
    <w:pPr>
      <w:keepLines/>
      <w:spacing w:before="60" w:after="60"/>
    </w:pPr>
    <w:rPr>
      <w:rFonts w:ascii="PragmaticaCondC" w:hAnsi="PragmaticaCondC" w:cs="PragmaticaCondC"/>
      <w:sz w:val="18"/>
    </w:rPr>
  </w:style>
  <w:style w:type="paragraph" w:styleId="Style26">
    <w:name w:val="Сноска"/>
    <w:basedOn w:val="Normal"/>
    <w:qFormat/>
    <w:pPr>
      <w:keepLines/>
      <w:spacing w:before="120" w:after="0"/>
    </w:pPr>
    <w:rPr>
      <w:rFonts w:ascii="PragmaticaCondC" w:hAnsi="PragmaticaCondC" w:cs="PragmaticaCondC"/>
      <w:sz w:val="18"/>
    </w:rPr>
  </w:style>
  <w:style w:type="paragraph" w:styleId="Style27">
    <w:name w:val="Еще с чертой"/>
    <w:basedOn w:val="Style16"/>
    <w:qFormat/>
    <w:pPr>
      <w:spacing w:before="113" w:after="0"/>
    </w:pPr>
    <w:rPr>
      <w:color w:val="000000"/>
    </w:rPr>
  </w:style>
  <w:style w:type="paragraph" w:styleId="--">
    <w:name w:val="дата-номер-кому"/>
    <w:basedOn w:val="Style22"/>
    <w:next w:val="Style22"/>
    <w:qFormat/>
    <w:pPr>
      <w:keepNext w:val="false"/>
      <w:keepLines w:val="false"/>
      <w:tabs>
        <w:tab w:val="clear" w:pos="9639"/>
        <w:tab w:val="left" w:pos="5953" w:leader="none"/>
        <w:tab w:val="right" w:pos="8787" w:leader="none"/>
      </w:tabs>
      <w:spacing w:before="57" w:after="0"/>
    </w:pPr>
    <w:rPr>
      <w:color w:val="000000"/>
    </w:rPr>
  </w:style>
  <w:style w:type="paragraph" w:styleId="Style28">
    <w:name w:val="Глава"/>
    <w:basedOn w:val="Style15"/>
    <w:next w:val="Style15"/>
    <w:qFormat/>
    <w:pPr>
      <w:keepNext w:val="true"/>
      <w:spacing w:before="113" w:after="113"/>
      <w:ind w:hanging="0" w:start="567" w:end="0"/>
      <w:jc w:val="start"/>
    </w:pPr>
    <w:rPr>
      <w:b/>
      <w:sz w:val="18"/>
      <w:lang w:val="ru-RU"/>
    </w:rPr>
  </w:style>
  <w:style w:type="paragraph" w:styleId="Style29">
    <w:name w:val="Осн. текст список орг."/>
    <w:basedOn w:val="Style15"/>
    <w:next w:val="Style15"/>
    <w:qFormat/>
    <w:pPr>
      <w:spacing w:before="113" w:after="0"/>
    </w:pPr>
    <w:rPr>
      <w:sz w:val="18"/>
      <w:lang w:val="ru-RU"/>
    </w:rPr>
  </w:style>
  <w:style w:type="paragraph" w:styleId="3">
    <w:name w:val="Таблица+3"/>
    <w:basedOn w:val="Style25"/>
    <w:next w:val="Style25"/>
    <w:qFormat/>
    <w:pPr>
      <w:keepNext w:val="true"/>
      <w:pBdr>
        <w:top w:val="single" w:sz="2" w:space="0" w:color="000000"/>
      </w:pBdr>
      <w:tabs>
        <w:tab w:val="clear" w:pos="720"/>
        <w:tab w:val="left" w:pos="3061" w:leader="none"/>
        <w:tab w:val="left" w:pos="5159" w:leader="none"/>
        <w:tab w:val="left" w:pos="7427" w:leader="none"/>
      </w:tabs>
      <w:spacing w:before="0" w:after="0"/>
      <w:ind w:hanging="0" w:start="57" w:end="57"/>
    </w:pPr>
    <w:rPr>
      <w:rFonts w:ascii="Pragmatica" w:hAnsi="Pragmatica" w:cs="Pragmatica"/>
      <w:color w:val="000000"/>
    </w:rPr>
  </w:style>
  <w:style w:type="paragraph" w:styleId="2">
    <w:name w:val="Таблица+2"/>
    <w:basedOn w:val="Style25"/>
    <w:next w:val="Style25"/>
    <w:qFormat/>
    <w:pPr>
      <w:keepNext w:val="true"/>
      <w:tabs>
        <w:tab w:val="clear" w:pos="720"/>
        <w:tab w:val="center" w:pos="3628" w:leader="none"/>
        <w:tab w:val="center" w:pos="5726" w:leader="none"/>
        <w:tab w:val="center" w:pos="7824" w:leader="none"/>
      </w:tabs>
      <w:spacing w:before="0" w:after="0"/>
      <w:ind w:hanging="0" w:start="57" w:end="57"/>
    </w:pPr>
    <w:rPr>
      <w:rFonts w:ascii="Pragmatica" w:hAnsi="Pragmatica" w:cs="Pragmatica"/>
      <w:color w:val="000000"/>
    </w:rPr>
  </w:style>
  <w:style w:type="paragraph" w:styleId="7">
    <w:name w:val="Подпись 7"/>
    <w:basedOn w:val="Style23"/>
    <w:qFormat/>
    <w:pPr>
      <w:keepLines w:val="false"/>
      <w:tabs>
        <w:tab w:val="clear" w:pos="5670"/>
        <w:tab w:val="center" w:pos="4365" w:leader="none"/>
        <w:tab w:val="right" w:pos="8759" w:leader="none"/>
      </w:tabs>
      <w:spacing w:before="227" w:after="0"/>
    </w:pPr>
    <w:rPr>
      <w:sz w:val="18"/>
    </w:rPr>
  </w:style>
  <w:style w:type="paragraph" w:styleId="77">
    <w:name w:val="Подпись 77"/>
    <w:basedOn w:val="7"/>
    <w:qFormat/>
    <w:pPr>
      <w:pBdr>
        <w:top w:val="single" w:sz="6" w:space="0" w:color="000000"/>
      </w:pBdr>
      <w:tabs>
        <w:tab w:val="clear" w:pos="4365"/>
      </w:tabs>
      <w:spacing w:before="170" w:after="0"/>
    </w:pPr>
    <w:rPr/>
  </w:style>
  <w:style w:type="paragraph" w:styleId="71">
    <w:name w:val="Схема 7"/>
    <w:basedOn w:val="Style20"/>
    <w:qFormat/>
    <w:pPr>
      <w:keepNext w:val="false"/>
      <w:keepLines w:val="false"/>
      <w:spacing w:before="340" w:after="227"/>
    </w:pPr>
    <w:rPr>
      <w:rFonts w:ascii="AGOpus" w:hAnsi="AGOpus" w:cs="AGOpus"/>
      <w:b w:val="false"/>
      <w:color w:val="000000"/>
      <w:sz w:val="40"/>
    </w:rPr>
  </w:style>
  <w:style w:type="paragraph" w:styleId="Style30">
    <w:name w:val="текст"/>
    <w:qFormat/>
    <w:pPr>
      <w:widowControl/>
      <w:overflowPunct w:val="false"/>
      <w:autoSpaceDE w:val="false"/>
      <w:bidi w:val="0"/>
      <w:ind w:firstLine="567" w:start="0" w:end="0"/>
      <w:jc w:val="both"/>
      <w:textAlignment w:val="baseline"/>
    </w:pPr>
    <w:rPr>
      <w:rFonts w:ascii="NTHelvetica" w:hAnsi="NTHelvetica" w:eastAsia="Times New Roman" w:cs="NTHelvetica"/>
      <w:color w:val="000000"/>
      <w:sz w:val="18"/>
      <w:szCs w:val="20"/>
      <w:lang w:bidi="ar-SA" w:val="ru-RU" w:eastAsia="zh-CN"/>
    </w:rPr>
  </w:style>
  <w:style w:type="paragraph" w:styleId="Style31">
    <w:name w:val="приложение"/>
    <w:basedOn w:val="Style15"/>
    <w:next w:val="Style15"/>
    <w:qFormat/>
    <w:pPr>
      <w:spacing w:before="0" w:after="170"/>
      <w:ind w:hanging="0" w:start="0" w:end="0"/>
      <w:jc w:val="end"/>
    </w:pPr>
    <w:rPr>
      <w:sz w:val="18"/>
      <w:lang w:val="ru-RU"/>
    </w:rPr>
  </w:style>
  <w:style w:type="paragraph" w:styleId="FootnoteText">
    <w:name w:val="footnote text"/>
    <w:basedOn w:val="Normal"/>
    <w:pPr/>
    <w:rPr>
      <w:sz w:val="20"/>
    </w:rPr>
  </w:style>
  <w:style w:type="paragraph" w:styleId="006">
    <w:name w:val="Таб006"/>
    <w:basedOn w:val="Style25"/>
    <w:next w:val="00630"/>
    <w:qFormat/>
    <w:pPr>
      <w:keepNext w:val="true"/>
      <w:tabs>
        <w:tab w:val="clear" w:pos="720"/>
        <w:tab w:val="right" w:pos="794" w:leader="none"/>
        <w:tab w:val="right" w:pos="1956" w:leader="none"/>
        <w:tab w:val="right" w:pos="2976" w:leader="none"/>
        <w:tab w:val="right" w:pos="4082" w:leader="none"/>
        <w:tab w:val="right" w:pos="5131" w:leader="none"/>
        <w:tab w:val="right" w:pos="6293" w:leader="none"/>
        <w:tab w:val="right" w:pos="7398" w:leader="none"/>
        <w:tab w:val="decimal" w:pos="8192" w:leader="none"/>
      </w:tabs>
      <w:spacing w:before="0" w:after="0"/>
      <w:ind w:hanging="0" w:start="57" w:end="0"/>
    </w:pPr>
    <w:rPr>
      <w:rFonts w:ascii="Pragmatica" w:hAnsi="Pragmatica" w:cs="Pragmatica"/>
      <w:color w:val="000000"/>
    </w:rPr>
  </w:style>
  <w:style w:type="paragraph" w:styleId="00630">
    <w:name w:val="Таб006+30%"/>
    <w:basedOn w:val="006"/>
    <w:next w:val="006"/>
    <w:qFormat/>
    <w:pPr>
      <w:pBdr>
        <w:top w:val="single" w:sz="12" w:space="0" w:color="000000"/>
      </w:pBdr>
    </w:pPr>
    <w:rPr/>
  </w:style>
  <w:style w:type="paragraph" w:styleId="028">
    <w:name w:val="Таб028"/>
    <w:basedOn w:val="Style25"/>
    <w:next w:val="Style25"/>
    <w:qFormat/>
    <w:pPr>
      <w:keepNext w:val="true"/>
      <w:tabs>
        <w:tab w:val="clear" w:pos="720"/>
        <w:tab w:val="center" w:pos="283" w:leader="none"/>
        <w:tab w:val="left" w:pos="680" w:leader="none"/>
        <w:tab w:val="center" w:pos="4110" w:leader="none"/>
        <w:tab w:val="center" w:pos="4961" w:leader="none"/>
        <w:tab w:val="center" w:pos="5783" w:leader="none"/>
        <w:tab w:val="left" w:pos="6350" w:leader="none"/>
      </w:tabs>
      <w:spacing w:before="0" w:after="0"/>
      <w:ind w:hanging="0" w:start="57" w:end="57"/>
    </w:pPr>
    <w:rPr>
      <w:rFonts w:ascii="Pragmatica" w:hAnsi="Pragmatica" w:cs="Pragmatica"/>
      <w:color w:val="000000"/>
    </w:rPr>
  </w:style>
  <w:style w:type="paragraph" w:styleId="00730">
    <w:name w:val="Таб007+30%"/>
    <w:basedOn w:val="Style25"/>
    <w:next w:val="Style25"/>
    <w:qFormat/>
    <w:pPr>
      <w:keepNext w:val="true"/>
      <w:pBdr>
        <w:top w:val="single" w:sz="12" w:space="0" w:color="000000"/>
      </w:pBdr>
      <w:tabs>
        <w:tab w:val="clear" w:pos="720"/>
        <w:tab w:val="left" w:pos="1928" w:leader="none"/>
        <w:tab w:val="right" w:pos="3770" w:leader="none"/>
        <w:tab w:val="right" w:pos="4762" w:leader="none"/>
        <w:tab w:val="right" w:pos="5839" w:leader="none"/>
        <w:tab w:val="right" w:pos="7087" w:leader="none"/>
        <w:tab w:val="right" w:pos="8362" w:leader="none"/>
      </w:tabs>
      <w:spacing w:before="0" w:after="0"/>
      <w:ind w:hanging="0" w:start="57" w:end="57"/>
    </w:pPr>
    <w:rPr>
      <w:rFonts w:ascii="Pragmatica" w:hAnsi="Pragmatica" w:cs="Pragmatica"/>
      <w:color w:val="000000"/>
      <w:lang w:val="en-US"/>
    </w:rPr>
  </w:style>
  <w:style w:type="paragraph" w:styleId="007">
    <w:name w:val="Таб007"/>
    <w:basedOn w:val="Style25"/>
    <w:next w:val="Style25"/>
    <w:qFormat/>
    <w:pPr>
      <w:keepNext w:val="true"/>
      <w:tabs>
        <w:tab w:val="clear" w:pos="720"/>
        <w:tab w:val="left" w:pos="1928" w:leader="none"/>
        <w:tab w:val="right" w:pos="3770" w:leader="none"/>
        <w:tab w:val="right" w:pos="4762" w:leader="none"/>
        <w:tab w:val="right" w:pos="5839" w:leader="none"/>
        <w:tab w:val="right" w:pos="7087" w:leader="none"/>
        <w:tab w:val="right" w:pos="8362" w:leader="none"/>
      </w:tabs>
      <w:spacing w:before="0" w:after="0"/>
      <w:ind w:hanging="0" w:start="57" w:end="57"/>
    </w:pPr>
    <w:rPr>
      <w:rFonts w:ascii="Pragmatica" w:hAnsi="Pragmatica" w:cs="Pragmatica"/>
      <w:lang w:val="en-US"/>
    </w:rPr>
  </w:style>
  <w:style w:type="paragraph" w:styleId="00760">
    <w:name w:val="Таб007+60%"/>
    <w:basedOn w:val="007"/>
    <w:next w:val="007"/>
    <w:qFormat/>
    <w:pPr>
      <w:pBdr>
        <w:top w:val="single" w:sz="12" w:space="0" w:color="000000"/>
      </w:pBdr>
    </w:pPr>
    <w:rPr>
      <w:color w:val="000000"/>
    </w:rPr>
  </w:style>
  <w:style w:type="paragraph" w:styleId="Style32">
    <w:name w:val="Осн. текст список"/>
    <w:basedOn w:val="Normal"/>
    <w:next w:val="Normal"/>
    <w:qFormat/>
    <w:pPr>
      <w:tabs>
        <w:tab w:val="clear" w:pos="720"/>
        <w:tab w:val="right" w:pos="850" w:leader="none"/>
        <w:tab w:val="left" w:pos="964" w:leader="none"/>
      </w:tabs>
      <w:spacing w:lineRule="atLeast" w:line="220"/>
      <w:ind w:hanging="397" w:start="964" w:end="0"/>
    </w:pPr>
    <w:rPr>
      <w:color w:val="000000"/>
      <w:sz w:val="18"/>
    </w:rPr>
  </w:style>
  <w:style w:type="paragraph" w:styleId="033">
    <w:name w:val="Таб033"/>
    <w:basedOn w:val="Style25"/>
    <w:next w:val="Style25"/>
    <w:qFormat/>
    <w:pPr>
      <w:keepNext w:val="true"/>
      <w:tabs>
        <w:tab w:val="clear" w:pos="720"/>
        <w:tab w:val="right" w:pos="454" w:leader="none"/>
        <w:tab w:val="left" w:pos="907" w:leader="none"/>
        <w:tab w:val="decimal" w:pos="4876" w:leader="none"/>
        <w:tab w:val="decimal" w:pos="5613" w:leader="none"/>
        <w:tab w:val="decimal" w:pos="6576" w:leader="none"/>
        <w:tab w:val="decimal" w:pos="7597" w:leader="none"/>
        <w:tab w:val="decimal" w:pos="8731" w:leader="none"/>
        <w:tab w:val="decimal" w:pos="9865" w:leader="none"/>
        <w:tab w:val="decimal" w:pos="11112" w:leader="none"/>
        <w:tab w:val="decimal" w:pos="12246" w:leader="none"/>
        <w:tab w:val="decimal" w:pos="13493" w:leader="none"/>
      </w:tabs>
      <w:spacing w:before="0" w:after="0"/>
      <w:ind w:hanging="0" w:start="57" w:end="57"/>
    </w:pPr>
    <w:rPr>
      <w:rFonts w:ascii="Pragmatica" w:hAnsi="Pragmatica" w:cs="Pragmatica"/>
      <w:color w:val="000000"/>
    </w:rPr>
  </w:style>
  <w:style w:type="paragraph" w:styleId="0331">
    <w:name w:val="Таб033обл."/>
    <w:basedOn w:val="033"/>
    <w:qFormat/>
    <w:pPr>
      <w:spacing w:before="57" w:after="57"/>
      <w:jc w:val="center"/>
    </w:pPr>
    <w:rPr/>
  </w:style>
  <w:style w:type="paragraph" w:styleId="Style33">
    <w:name w:val="Подпись"/>
    <w:basedOn w:val="Normal"/>
    <w:qFormat/>
    <w:pPr>
      <w:spacing w:before="120" w:after="0"/>
      <w:ind w:hanging="0" w:start="567" w:end="0"/>
    </w:pPr>
    <w:rPr>
      <w:rFonts w:ascii="NTHelvetica" w:hAnsi="NTHelvetica" w:cs="NTHelvetica"/>
      <w:sz w:val="20"/>
    </w:rPr>
  </w:style>
  <w:style w:type="paragraph" w:styleId="Style34">
    <w:name w:val="Приказ"/>
    <w:basedOn w:val="Normal"/>
    <w:qFormat/>
    <w:pPr>
      <w:spacing w:before="0" w:after="120"/>
      <w:jc w:val="end"/>
    </w:pPr>
    <w:rPr>
      <w:rFonts w:ascii="NTHelvetica" w:hAnsi="NTHelvetica" w:cs="NTHelvetica"/>
      <w:sz w:val="20"/>
    </w:rPr>
  </w:style>
  <w:style w:type="paragraph" w:styleId="Style35">
    <w:name w:val="Дата"/>
    <w:basedOn w:val="Normal"/>
    <w:qFormat/>
    <w:pPr>
      <w:spacing w:before="0" w:after="120"/>
    </w:pPr>
    <w:rPr>
      <w:rFonts w:ascii="NTHelvetica" w:hAnsi="NTHelvetica" w:cs="NTHelvetica"/>
      <w:sz w:val="20"/>
    </w:rPr>
  </w:style>
  <w:style w:type="paragraph" w:styleId="Style36">
    <w:name w:val="Гранки"/>
    <w:basedOn w:val="Normal"/>
    <w:qFormat/>
    <w:pPr>
      <w:spacing w:before="120" w:after="0"/>
    </w:pPr>
    <w:rPr>
      <w:lang w:val="en-US"/>
    </w:rPr>
  </w:style>
  <w:style w:type="paragraph" w:styleId="72">
    <w:name w:val="Осн. текст 7"/>
    <w:basedOn w:val="Style15"/>
    <w:qFormat/>
    <w:pPr/>
    <w:rPr>
      <w:color w:val="000000"/>
    </w:rPr>
  </w:style>
  <w:style w:type="paragraph" w:styleId="Style37">
    <w:name w:val="формула"/>
    <w:basedOn w:val="Style30"/>
    <w:next w:val="Style30"/>
    <w:qFormat/>
    <w:pPr>
      <w:spacing w:before="113" w:after="113"/>
      <w:ind w:hanging="0" w:start="0" w:end="0"/>
      <w:jc w:val="center"/>
    </w:pPr>
    <w:rPr>
      <w:rFonts w:ascii="Bodoni" w:hAnsi="Bodoni" w:cs="Bodoni"/>
      <w:sz w:val="20"/>
    </w:rPr>
  </w:style>
  <w:style w:type="paragraph" w:styleId="Style38">
    <w:name w:val="Рисунок"/>
    <w:basedOn w:val="Normal"/>
    <w:qFormat/>
    <w:pPr>
      <w:spacing w:before="0" w:after="240"/>
    </w:pPr>
    <w:rPr>
      <w:rFonts w:ascii="Bodoni" w:hAnsi="Bodoni" w:cs="Bodoni"/>
      <w:sz w:val="20"/>
    </w:rPr>
  </w:style>
  <w:style w:type="paragraph" w:styleId="010">
    <w:name w:val="Таб010"/>
    <w:basedOn w:val="Style25"/>
    <w:next w:val="Style25"/>
    <w:qFormat/>
    <w:pPr>
      <w:keepNext w:val="true"/>
      <w:tabs>
        <w:tab w:val="clear" w:pos="720"/>
        <w:tab w:val="decimal" w:pos="1474" w:leader="none"/>
        <w:tab w:val="decimal" w:pos="2580" w:leader="none"/>
        <w:tab w:val="decimal" w:pos="3458" w:leader="none"/>
        <w:tab w:val="decimal" w:pos="4422" w:leader="none"/>
        <w:tab w:val="decimal" w:pos="5244" w:leader="none"/>
        <w:tab w:val="decimal" w:pos="6265" w:leader="none"/>
        <w:tab w:val="decimal" w:pos="7342" w:leader="none"/>
        <w:tab w:val="decimal" w:pos="8447" w:leader="none"/>
      </w:tabs>
      <w:spacing w:before="0" w:after="0"/>
      <w:ind w:hanging="0" w:start="113" w:end="57"/>
    </w:pPr>
    <w:rPr>
      <w:rFonts w:ascii="Pragmatica" w:hAnsi="Pragmatica" w:cs="Pragmatica"/>
      <w:sz w:val="20"/>
    </w:rPr>
  </w:style>
  <w:style w:type="paragraph" w:styleId="01030">
    <w:name w:val="Таб010+30%"/>
    <w:basedOn w:val="010"/>
    <w:next w:val="010"/>
    <w:qFormat/>
    <w:pPr>
      <w:pBdr>
        <w:top w:val="single" w:sz="12" w:space="0" w:color="000000"/>
      </w:pBdr>
    </w:pPr>
    <w:rPr>
      <w:color w:val="000000"/>
    </w:rPr>
  </w:style>
  <w:style w:type="paragraph" w:styleId="Style39">
    <w:name w:val="Оглавление"/>
    <w:basedOn w:val="Normal"/>
    <w:qFormat/>
    <w:pPr>
      <w:tabs>
        <w:tab w:val="clear" w:pos="720"/>
        <w:tab w:val="right" w:pos="10148" w:leader="dot"/>
      </w:tabs>
      <w:spacing w:before="113" w:after="0"/>
      <w:ind w:hanging="0" w:start="1134" w:end="0"/>
    </w:pPr>
    <w:rPr>
      <w:rFonts w:ascii="Bodoni" w:hAnsi="Bodoni" w:cs="Bodoni"/>
      <w:sz w:val="24"/>
    </w:rPr>
  </w:style>
  <w:style w:type="paragraph" w:styleId="01060">
    <w:name w:val="Таб010+60%"/>
    <w:basedOn w:val="010"/>
    <w:next w:val="010"/>
    <w:qFormat/>
    <w:pPr>
      <w:pBdr>
        <w:top w:val="single" w:sz="12" w:space="0" w:color="000000"/>
      </w:pBdr>
      <w:ind w:hanging="0" w:start="0" w:end="57"/>
      <w:jc w:val="center"/>
    </w:pPr>
    <w:rPr>
      <w:color w:val="000000"/>
    </w:rPr>
  </w:style>
  <w:style w:type="paragraph" w:styleId="022">
    <w:name w:val="Таб022"/>
    <w:basedOn w:val="Style25"/>
    <w:next w:val="Style25"/>
    <w:qFormat/>
    <w:pPr>
      <w:keepNext w:val="true"/>
      <w:tabs>
        <w:tab w:val="clear" w:pos="720"/>
        <w:tab w:val="right" w:pos="680" w:leader="none"/>
        <w:tab w:val="center" w:pos="1871" w:leader="none"/>
        <w:tab w:val="decimal" w:pos="3458" w:leader="none"/>
        <w:tab w:val="decimal" w:pos="4989" w:leader="none"/>
        <w:tab w:val="decimal" w:pos="6690" w:leader="none"/>
        <w:tab w:val="decimal" w:pos="8079" w:leader="none"/>
        <w:tab w:val="right" w:pos="9524" w:leader="none"/>
      </w:tabs>
      <w:spacing w:before="0" w:after="0"/>
      <w:ind w:hanging="0" w:start="57" w:end="57"/>
    </w:pPr>
    <w:rPr>
      <w:rFonts w:ascii="Pragmatica" w:hAnsi="Pragmatica" w:cs="Pragmatica"/>
      <w:sz w:val="20"/>
    </w:rPr>
  </w:style>
  <w:style w:type="paragraph" w:styleId="02230">
    <w:name w:val="Таб022+30%"/>
    <w:basedOn w:val="022"/>
    <w:next w:val="022"/>
    <w:qFormat/>
    <w:pPr>
      <w:pBdr>
        <w:top w:val="single" w:sz="12" w:space="0" w:color="000000"/>
      </w:pBdr>
    </w:pPr>
    <w:rPr>
      <w:color w:val="000000"/>
    </w:rPr>
  </w:style>
  <w:style w:type="paragraph" w:styleId="73">
    <w:name w:val="текст 7"/>
    <w:basedOn w:val="Style30"/>
    <w:qFormat/>
    <w:pPr/>
    <w:rPr>
      <w:rFonts w:ascii="NTHelvetica/Cyrillic" w:hAnsi="NTHelvetica/Cyrillic" w:cs="NTHelvetica/Cyrillic"/>
      <w:color w:val="000000"/>
      <w:sz w:val="20"/>
    </w:rPr>
  </w:style>
  <w:style w:type="paragraph" w:styleId="026">
    <w:name w:val="Таб026"/>
    <w:basedOn w:val="Style25"/>
    <w:next w:val="Style25"/>
    <w:qFormat/>
    <w:pPr>
      <w:keepNext w:val="true"/>
      <w:tabs>
        <w:tab w:val="clear" w:pos="720"/>
        <w:tab w:val="left" w:pos="567" w:leader="none"/>
        <w:tab w:val="left" w:pos="765" w:leader="none"/>
        <w:tab w:val="left" w:pos="1417" w:leader="none"/>
        <w:tab w:val="left" w:pos="1559" w:leader="none"/>
        <w:tab w:val="right" w:pos="8476" w:leader="none"/>
      </w:tabs>
      <w:spacing w:before="0" w:after="0"/>
      <w:ind w:hanging="0" w:start="170" w:end="57"/>
    </w:pPr>
    <w:rPr>
      <w:rFonts w:ascii="Pragmatica" w:hAnsi="Pragmatica" w:cs="Pragmatica"/>
      <w:lang w:val="en-US"/>
    </w:rPr>
  </w:style>
  <w:style w:type="paragraph" w:styleId="02630">
    <w:name w:val="Таб026+30%"/>
    <w:basedOn w:val="026"/>
    <w:next w:val="026"/>
    <w:qFormat/>
    <w:pPr>
      <w:pBdr>
        <w:top w:val="single" w:sz="12" w:space="0" w:color="000000"/>
      </w:pBdr>
    </w:pPr>
    <w:rPr>
      <w:color w:val="000000"/>
    </w:rPr>
  </w:style>
  <w:style w:type="paragraph" w:styleId="02660">
    <w:name w:val="Таб026+60%"/>
    <w:basedOn w:val="026"/>
    <w:next w:val="026"/>
    <w:qFormat/>
    <w:pPr>
      <w:pBdr>
        <w:top w:val="single" w:sz="12" w:space="0" w:color="000000"/>
      </w:pBdr>
    </w:pPr>
    <w:rPr>
      <w:color w:val="000000"/>
    </w:rPr>
  </w:style>
  <w:style w:type="paragraph" w:styleId="003">
    <w:name w:val="Таб003"/>
    <w:basedOn w:val="Style25"/>
    <w:next w:val="Style25"/>
    <w:qFormat/>
    <w:pPr>
      <w:keepNext w:val="true"/>
      <w:tabs>
        <w:tab w:val="clear" w:pos="720"/>
        <w:tab w:val="left" w:pos="340" w:leader="none"/>
        <w:tab w:val="left" w:pos="850" w:leader="none"/>
        <w:tab w:val="right" w:pos="3912" w:leader="none"/>
        <w:tab w:val="decimal" w:pos="4876" w:leader="none"/>
        <w:tab w:val="right" w:pos="6180" w:leader="none"/>
        <w:tab w:val="decimal" w:pos="7172" w:leader="none"/>
        <w:tab w:val="right" w:pos="8391" w:leader="none"/>
      </w:tabs>
      <w:spacing w:before="28" w:after="0"/>
      <w:ind w:hanging="0" w:start="0" w:end="57"/>
    </w:pPr>
    <w:rPr>
      <w:rFonts w:ascii="Pragmatica" w:hAnsi="Pragmatica" w:cs="Pragmatica"/>
      <w:lang w:val="en-US"/>
    </w:rPr>
  </w:style>
  <w:style w:type="paragraph" w:styleId="00330">
    <w:name w:val="Таб003+30%"/>
    <w:basedOn w:val="003"/>
    <w:qFormat/>
    <w:pPr>
      <w:pBdr>
        <w:top w:val="single" w:sz="12" w:space="0" w:color="000000"/>
      </w:pBdr>
    </w:pPr>
    <w:rPr>
      <w:color w:val="000000"/>
    </w:rPr>
  </w:style>
  <w:style w:type="paragraph" w:styleId="00360-end">
    <w:name w:val="Таб003+60%-end"/>
    <w:basedOn w:val="00330"/>
    <w:qFormat/>
    <w:pPr>
      <w:spacing w:before="255" w:after="0"/>
    </w:pPr>
    <w:rPr/>
  </w:style>
  <w:style w:type="paragraph" w:styleId="00460">
    <w:name w:val="Таб004+60%"/>
    <w:basedOn w:val="Normal"/>
    <w:qFormat/>
    <w:pPr>
      <w:keepNext w:val="true"/>
      <w:keepLines/>
      <w:pBdr>
        <w:top w:val="single" w:sz="12" w:space="0" w:color="000000"/>
      </w:pBdr>
      <w:tabs>
        <w:tab w:val="clear" w:pos="720"/>
        <w:tab w:val="left" w:pos="113" w:leader="none"/>
        <w:tab w:val="right" w:pos="3146" w:leader="none"/>
        <w:tab w:val="right" w:pos="4224" w:leader="none"/>
        <w:tab w:val="right" w:pos="5414" w:leader="none"/>
        <w:tab w:val="right" w:pos="6775" w:leader="none"/>
        <w:tab w:val="right" w:pos="7739" w:leader="none"/>
        <w:tab w:val="right" w:pos="8589" w:leader="none"/>
      </w:tabs>
      <w:spacing w:lineRule="atLeast" w:line="260"/>
    </w:pPr>
    <w:rPr>
      <w:color w:val="000000"/>
      <w:sz w:val="18"/>
      <w:lang w:val="en-US"/>
    </w:rPr>
  </w:style>
  <w:style w:type="paragraph" w:styleId="004">
    <w:name w:val="Таб004"/>
    <w:basedOn w:val="Normal"/>
    <w:qFormat/>
    <w:pPr>
      <w:keepNext w:val="true"/>
      <w:keepLines/>
      <w:tabs>
        <w:tab w:val="clear" w:pos="720"/>
        <w:tab w:val="left" w:pos="113" w:leader="none"/>
        <w:tab w:val="right" w:pos="3146" w:leader="none"/>
        <w:tab w:val="right" w:pos="4224" w:leader="none"/>
        <w:tab w:val="right" w:pos="5414" w:leader="none"/>
        <w:tab w:val="right" w:pos="6775" w:leader="none"/>
        <w:tab w:val="right" w:pos="7739" w:leader="none"/>
        <w:tab w:val="right" w:pos="8589" w:leader="none"/>
      </w:tabs>
      <w:spacing w:lineRule="atLeast" w:line="260"/>
    </w:pPr>
    <w:rPr>
      <w:color w:val="000000"/>
      <w:sz w:val="18"/>
      <w:lang w:val="en-US"/>
    </w:rPr>
  </w:style>
  <w:style w:type="paragraph" w:styleId="005">
    <w:name w:val="Таб005"/>
    <w:basedOn w:val="Style25"/>
    <w:next w:val="Style25"/>
    <w:qFormat/>
    <w:pPr>
      <w:keepNext w:val="true"/>
      <w:tabs>
        <w:tab w:val="clear" w:pos="720"/>
        <w:tab w:val="right" w:pos="3430" w:leader="none"/>
        <w:tab w:val="right" w:pos="4479" w:leader="none"/>
        <w:tab w:val="right" w:pos="5584" w:leader="none"/>
        <w:tab w:val="right" w:pos="7087" w:leader="none"/>
        <w:tab w:val="right" w:pos="8334" w:leader="none"/>
        <w:tab w:val="right" w:pos="9553" w:leader="none"/>
      </w:tabs>
      <w:spacing w:before="0" w:after="0"/>
      <w:ind w:hanging="0" w:start="57" w:end="57"/>
    </w:pPr>
    <w:rPr>
      <w:rFonts w:ascii="Pragmatica" w:hAnsi="Pragmatica" w:cs="Pragmatica"/>
      <w:lang w:val="en-US"/>
    </w:rPr>
  </w:style>
  <w:style w:type="paragraph" w:styleId="00530">
    <w:name w:val="Таб005+30%"/>
    <w:basedOn w:val="005"/>
    <w:next w:val="005"/>
    <w:qFormat/>
    <w:pPr>
      <w:pBdr>
        <w:top w:val="single" w:sz="12" w:space="0" w:color="000000"/>
      </w:pBdr>
    </w:pPr>
    <w:rPr>
      <w:color w:val="000000"/>
    </w:rPr>
  </w:style>
  <w:style w:type="paragraph" w:styleId="20">
    <w:name w:val="Таб20"/>
    <w:basedOn w:val="Style25"/>
    <w:next w:val="Style25"/>
    <w:qFormat/>
    <w:pPr>
      <w:keepNext w:val="true"/>
      <w:tabs>
        <w:tab w:val="clear" w:pos="720"/>
        <w:tab w:val="decimal" w:pos="3090" w:leader="none"/>
        <w:tab w:val="decimal" w:pos="3969" w:leader="none"/>
        <w:tab w:val="decimal" w:pos="4706" w:leader="none"/>
        <w:tab w:val="decimal" w:pos="5528" w:leader="none"/>
        <w:tab w:val="decimal" w:pos="6350" w:leader="none"/>
        <w:tab w:val="decimal" w:pos="7228" w:leader="none"/>
        <w:tab w:val="decimal" w:pos="8022" w:leader="none"/>
        <w:tab w:val="decimal" w:pos="8901" w:leader="none"/>
        <w:tab w:val="decimal" w:pos="9638" w:leader="none"/>
      </w:tabs>
      <w:spacing w:before="0" w:after="0"/>
      <w:ind w:hanging="0" w:start="170" w:end="57"/>
    </w:pPr>
    <w:rPr>
      <w:rFonts w:ascii="Pragmatica" w:hAnsi="Pragmatica" w:cs="Pragmatica"/>
      <w:lang w:val="en-US"/>
    </w:rPr>
  </w:style>
  <w:style w:type="paragraph" w:styleId="2030">
    <w:name w:val="Таб20+30%"/>
    <w:basedOn w:val="20"/>
    <w:next w:val="20"/>
    <w:qFormat/>
    <w:pPr>
      <w:pBdr>
        <w:top w:val="single" w:sz="12" w:space="0" w:color="000000"/>
      </w:pBdr>
    </w:pPr>
    <w:rPr>
      <w:color w:val="000000"/>
    </w:rPr>
  </w:style>
  <w:style w:type="paragraph" w:styleId="2060">
    <w:name w:val="Таб20+60%"/>
    <w:basedOn w:val="20"/>
    <w:next w:val="20"/>
    <w:qFormat/>
    <w:pPr>
      <w:pBdr>
        <w:top w:val="single" w:sz="12" w:space="0" w:color="000000"/>
      </w:pBdr>
      <w:tabs>
        <w:tab w:val="clear" w:pos="3090"/>
        <w:tab w:val="clear" w:pos="3969"/>
        <w:tab w:val="clear" w:pos="4706"/>
        <w:tab w:val="clear" w:pos="5528"/>
        <w:tab w:val="clear" w:pos="6350"/>
        <w:tab w:val="clear" w:pos="7228"/>
        <w:tab w:val="clear" w:pos="8022"/>
        <w:tab w:val="clear" w:pos="8901"/>
        <w:tab w:val="clear" w:pos="9638"/>
        <w:tab w:val="center" w:pos="3061" w:leader="none"/>
        <w:tab w:val="center" w:pos="3940" w:leader="none"/>
        <w:tab w:val="center" w:pos="4649" w:leader="none"/>
        <w:tab w:val="center" w:pos="5499" w:leader="none"/>
        <w:tab w:val="center" w:pos="6321" w:leader="none"/>
        <w:tab w:val="center" w:pos="7200" w:leader="none"/>
        <w:tab w:val="center" w:pos="7994" w:leader="none"/>
        <w:tab w:val="center" w:pos="8872" w:leader="none"/>
        <w:tab w:val="center" w:pos="9609" w:leader="none"/>
      </w:tabs>
    </w:pPr>
    <w:rPr>
      <w:color w:val="000000"/>
    </w:rPr>
  </w:style>
  <w:style w:type="paragraph" w:styleId="008">
    <w:name w:val="Таб008"/>
    <w:basedOn w:val="Style25"/>
    <w:next w:val="Style25"/>
    <w:qFormat/>
    <w:pPr>
      <w:keepNext w:val="true"/>
      <w:tabs>
        <w:tab w:val="clear" w:pos="720"/>
        <w:tab w:val="right" w:pos="680" w:leader="none"/>
        <w:tab w:val="decimal" w:pos="1559" w:leader="none"/>
        <w:tab w:val="decimal" w:pos="2580" w:leader="none"/>
        <w:tab w:val="right" w:pos="3770" w:leader="none"/>
        <w:tab w:val="right" w:pos="4620" w:leader="none"/>
        <w:tab w:val="right" w:pos="5556" w:leader="none"/>
        <w:tab w:val="right" w:pos="6520" w:leader="none"/>
        <w:tab w:val="right" w:pos="7625" w:leader="none"/>
        <w:tab w:val="right" w:pos="8504" w:leader="none"/>
      </w:tabs>
      <w:spacing w:before="0" w:after="0"/>
      <w:ind w:hanging="0" w:start="57" w:end="57"/>
    </w:pPr>
    <w:rPr>
      <w:rFonts w:ascii="Pragmatica" w:hAnsi="Pragmatica" w:cs="Pragmatica"/>
      <w:lang w:val="en-US"/>
    </w:rPr>
  </w:style>
  <w:style w:type="paragraph" w:styleId="00830">
    <w:name w:val="Таб008+30%"/>
    <w:basedOn w:val="008"/>
    <w:next w:val="008"/>
    <w:qFormat/>
    <w:pPr>
      <w:pBdr>
        <w:top w:val="single" w:sz="12" w:space="0" w:color="000000"/>
      </w:pBdr>
    </w:pPr>
    <w:rPr>
      <w:color w:val="000000"/>
    </w:rPr>
  </w:style>
  <w:style w:type="paragraph" w:styleId="009">
    <w:name w:val="Таб009"/>
    <w:basedOn w:val="Style25"/>
    <w:next w:val="Style25"/>
    <w:qFormat/>
    <w:pPr>
      <w:keepNext w:val="true"/>
      <w:tabs>
        <w:tab w:val="clear" w:pos="720"/>
        <w:tab w:val="center" w:pos="2551" w:leader="none"/>
        <w:tab w:val="center" w:pos="3685" w:leader="none"/>
        <w:tab w:val="center" w:pos="4932" w:leader="none"/>
        <w:tab w:val="center" w:pos="6236" w:leader="none"/>
        <w:tab w:val="center" w:pos="7512" w:leader="none"/>
        <w:tab w:val="center" w:pos="8617" w:leader="none"/>
      </w:tabs>
      <w:spacing w:before="0" w:after="0"/>
      <w:ind w:hanging="0" w:start="227" w:end="57"/>
    </w:pPr>
    <w:rPr>
      <w:rFonts w:ascii="Pragmatica" w:hAnsi="Pragmatica" w:cs="Pragmatica"/>
      <w:lang w:val="en-US"/>
    </w:rPr>
  </w:style>
  <w:style w:type="paragraph" w:styleId="00930">
    <w:name w:val="Таб009+30%"/>
    <w:basedOn w:val="009"/>
    <w:next w:val="009"/>
    <w:qFormat/>
    <w:pPr>
      <w:pBdr>
        <w:top w:val="single" w:sz="12" w:space="0" w:color="000000"/>
      </w:pBdr>
    </w:pPr>
    <w:rPr>
      <w:color w:val="000000"/>
    </w:rPr>
  </w:style>
  <w:style w:type="paragraph" w:styleId="00960">
    <w:name w:val="Таб009+60%"/>
    <w:basedOn w:val="009"/>
    <w:next w:val="009"/>
    <w:qFormat/>
    <w:pPr>
      <w:pBdr>
        <w:top w:val="single" w:sz="12" w:space="0" w:color="000000"/>
      </w:pBdr>
      <w:spacing w:before="0" w:after="227"/>
    </w:pPr>
    <w:rPr>
      <w:color w:val="000000"/>
    </w:rPr>
  </w:style>
  <w:style w:type="paragraph" w:styleId="018">
    <w:name w:val="Таб018"/>
    <w:basedOn w:val="Style25"/>
    <w:next w:val="Style25"/>
    <w:qFormat/>
    <w:pPr>
      <w:keepNext w:val="true"/>
      <w:tabs>
        <w:tab w:val="clear" w:pos="720"/>
        <w:tab w:val="center" w:pos="595" w:leader="none"/>
        <w:tab w:val="center" w:pos="2835" w:leader="none"/>
        <w:tab w:val="center" w:pos="5329" w:leader="none"/>
        <w:tab w:val="center" w:pos="7767" w:leader="none"/>
      </w:tabs>
      <w:spacing w:before="0" w:after="0"/>
      <w:ind w:hanging="0" w:start="57" w:end="57"/>
    </w:pPr>
    <w:rPr>
      <w:rFonts w:ascii="Pragmatica" w:hAnsi="Pragmatica" w:cs="Pragmatica"/>
      <w:lang w:val="en-US"/>
    </w:rPr>
  </w:style>
  <w:style w:type="paragraph" w:styleId="01830">
    <w:name w:val="Таб018+30%"/>
    <w:basedOn w:val="018"/>
    <w:next w:val="018"/>
    <w:qFormat/>
    <w:pPr>
      <w:pBdr>
        <w:top w:val="single" w:sz="12" w:space="0" w:color="000000"/>
      </w:pBdr>
    </w:pPr>
    <w:rPr>
      <w:color w:val="000000"/>
    </w:rPr>
  </w:style>
  <w:style w:type="paragraph" w:styleId="01860">
    <w:name w:val="Таб018+60%"/>
    <w:basedOn w:val="018"/>
    <w:next w:val="018"/>
    <w:qFormat/>
    <w:pPr>
      <w:pBdr>
        <w:top w:val="single" w:sz="12" w:space="0" w:color="000000"/>
      </w:pBdr>
      <w:spacing w:before="0" w:after="227"/>
    </w:pPr>
    <w:rPr>
      <w:color w:val="000000"/>
    </w:rPr>
  </w:style>
  <w:style w:type="paragraph" w:styleId="-001">
    <w:name w:val="Таб-001"/>
    <w:basedOn w:val="Style25"/>
    <w:next w:val="Style25"/>
    <w:qFormat/>
    <w:pPr>
      <w:keepNext w:val="true"/>
      <w:tabs>
        <w:tab w:val="clear" w:pos="720"/>
        <w:tab w:val="center" w:pos="1701" w:leader="none"/>
        <w:tab w:val="center" w:pos="4932" w:leader="none"/>
        <w:tab w:val="center" w:pos="7597" w:leader="none"/>
      </w:tabs>
      <w:spacing w:before="0" w:after="0"/>
      <w:ind w:hanging="0" w:start="57" w:end="57"/>
    </w:pPr>
    <w:rPr>
      <w:rFonts w:ascii="Pragmatica" w:hAnsi="Pragmatica" w:cs="Pragmatica"/>
      <w:lang w:val="en-US"/>
    </w:rPr>
  </w:style>
  <w:style w:type="paragraph" w:styleId="-002">
    <w:name w:val="Таб-002"/>
    <w:basedOn w:val="Style25"/>
    <w:next w:val="Style25"/>
    <w:qFormat/>
    <w:pPr>
      <w:keepNext w:val="true"/>
      <w:tabs>
        <w:tab w:val="clear" w:pos="720"/>
        <w:tab w:val="center" w:pos="850" w:leader="none"/>
        <w:tab w:val="decimal" w:pos="2608" w:leader="none"/>
        <w:tab w:val="decimal" w:pos="4479" w:leader="none"/>
        <w:tab w:val="decimal" w:pos="6350" w:leader="none"/>
        <w:tab w:val="decimal" w:pos="7937" w:leader="none"/>
      </w:tabs>
      <w:spacing w:before="0" w:after="0"/>
      <w:ind w:hanging="0" w:start="57" w:end="57"/>
    </w:pPr>
    <w:rPr>
      <w:rFonts w:ascii="Pragmatica" w:hAnsi="Pragmatica" w:cs="Pragmatica"/>
      <w:lang w:val="en-US"/>
    </w:rPr>
  </w:style>
  <w:style w:type="paragraph" w:styleId="-003">
    <w:name w:val="Таб-003"/>
    <w:basedOn w:val="Style25"/>
    <w:next w:val="Style25"/>
    <w:qFormat/>
    <w:pPr>
      <w:keepNext w:val="true"/>
      <w:tabs>
        <w:tab w:val="clear" w:pos="720"/>
        <w:tab w:val="center" w:pos="964" w:leader="none"/>
        <w:tab w:val="center" w:pos="3061" w:leader="none"/>
        <w:tab w:val="center" w:pos="5159" w:leader="none"/>
        <w:tab w:val="center" w:pos="7540" w:leader="none"/>
      </w:tabs>
      <w:spacing w:before="0" w:after="0"/>
      <w:ind w:hanging="0" w:start="57" w:end="57"/>
    </w:pPr>
    <w:rPr>
      <w:rFonts w:ascii="Pragmatica" w:hAnsi="Pragmatica" w:cs="Pragmatica"/>
      <w:lang w:val="en-US"/>
    </w:rPr>
  </w:style>
  <w:style w:type="paragraph" w:styleId="019">
    <w:name w:val="Таб019"/>
    <w:basedOn w:val="Style25"/>
    <w:next w:val="Style25"/>
    <w:qFormat/>
    <w:pPr>
      <w:keepNext w:val="true"/>
      <w:tabs>
        <w:tab w:val="clear" w:pos="720"/>
        <w:tab w:val="right" w:pos="1077" w:leader="none"/>
        <w:tab w:val="right" w:pos="2551" w:leader="none"/>
        <w:tab w:val="right" w:pos="3600" w:leader="none"/>
        <w:tab w:val="right" w:pos="4564" w:leader="none"/>
        <w:tab w:val="right" w:pos="5868" w:leader="none"/>
        <w:tab w:val="right" w:pos="8022" w:leader="none"/>
      </w:tabs>
      <w:spacing w:before="0" w:after="0"/>
      <w:ind w:hanging="0" w:start="57" w:end="57"/>
    </w:pPr>
    <w:rPr>
      <w:rFonts w:ascii="Pragmatica" w:hAnsi="Pragmatica" w:cs="Pragmatica"/>
      <w:lang w:val="en-US"/>
    </w:rPr>
  </w:style>
  <w:style w:type="paragraph" w:styleId="01930">
    <w:name w:val="Таб019+30%"/>
    <w:basedOn w:val="019"/>
    <w:next w:val="019"/>
    <w:qFormat/>
    <w:pPr>
      <w:pBdr>
        <w:top w:val="single" w:sz="12" w:space="0" w:color="000000"/>
      </w:pBdr>
    </w:pPr>
    <w:rPr>
      <w:color w:val="000000"/>
    </w:rPr>
  </w:style>
  <w:style w:type="paragraph" w:styleId="01960">
    <w:name w:val="Таб019+60%"/>
    <w:basedOn w:val="019"/>
    <w:next w:val="019"/>
    <w:qFormat/>
    <w:pPr>
      <w:pBdr>
        <w:top w:val="single" w:sz="12" w:space="0" w:color="000000"/>
      </w:pBdr>
      <w:jc w:val="center"/>
    </w:pPr>
    <w:rPr>
      <w:color w:val="000000"/>
    </w:rPr>
  </w:style>
  <w:style w:type="paragraph" w:styleId="012">
    <w:name w:val="Таб012"/>
    <w:basedOn w:val="Style25"/>
    <w:next w:val="Style25"/>
    <w:qFormat/>
    <w:pPr>
      <w:keepNext w:val="true"/>
      <w:tabs>
        <w:tab w:val="clear" w:pos="720"/>
        <w:tab w:val="left" w:pos="113" w:leader="none"/>
        <w:tab w:val="right" w:pos="1729" w:leader="none"/>
        <w:tab w:val="decimal" w:pos="2324" w:leader="none"/>
        <w:tab w:val="decimal" w:pos="3543" w:leader="none"/>
        <w:tab w:val="decimal" w:pos="4337" w:leader="none"/>
        <w:tab w:val="decimal" w:pos="5046" w:leader="none"/>
        <w:tab w:val="decimal" w:pos="6094" w:leader="none"/>
        <w:tab w:val="decimal" w:pos="7398" w:leader="none"/>
        <w:tab w:val="center" w:pos="8334" w:leader="none"/>
      </w:tabs>
      <w:spacing w:before="0" w:after="0"/>
    </w:pPr>
    <w:rPr>
      <w:rFonts w:ascii="Pragmatica" w:hAnsi="Pragmatica" w:cs="Pragmatica"/>
      <w:lang w:val="en-US"/>
    </w:rPr>
  </w:style>
  <w:style w:type="paragraph" w:styleId="01260">
    <w:name w:val="Таб012+60%"/>
    <w:basedOn w:val="012"/>
    <w:next w:val="012"/>
    <w:qFormat/>
    <w:pPr>
      <w:pBdr>
        <w:top w:val="single" w:sz="12" w:space="0" w:color="000000"/>
      </w:pBdr>
    </w:pPr>
    <w:rPr>
      <w:color w:val="000000"/>
    </w:rPr>
  </w:style>
  <w:style w:type="paragraph" w:styleId="012x">
    <w:name w:val="Таб012x"/>
    <w:basedOn w:val="012"/>
    <w:next w:val="012"/>
    <w:qFormat/>
    <w:pPr>
      <w:tabs>
        <w:tab w:val="clear" w:pos="2324"/>
        <w:tab w:val="clear" w:pos="3543"/>
        <w:tab w:val="clear" w:pos="4337"/>
        <w:tab w:val="clear" w:pos="5046"/>
        <w:tab w:val="clear" w:pos="7398"/>
        <w:tab w:val="clear" w:pos="8334"/>
        <w:tab w:val="decimal" w:pos="2381" w:leader="none"/>
        <w:tab w:val="decimal" w:pos="3600" w:leader="none"/>
        <w:tab w:val="decimal" w:pos="4394" w:leader="none"/>
        <w:tab w:val="decimal" w:pos="5074" w:leader="none"/>
        <w:tab w:val="decimal" w:pos="7058" w:leader="none"/>
        <w:tab w:val="center" w:pos="8164" w:leader="none"/>
      </w:tabs>
    </w:pPr>
    <w:rPr>
      <w:color w:val="000000"/>
    </w:rPr>
  </w:style>
  <w:style w:type="paragraph" w:styleId="012601">
    <w:name w:val="Таб012х+60%"/>
    <w:basedOn w:val="012x"/>
    <w:next w:val="01260"/>
    <w:qFormat/>
    <w:pPr>
      <w:pBdr>
        <w:top w:val="single" w:sz="12" w:space="0" w:color="000000"/>
      </w:pBdr>
      <w:tabs>
        <w:tab w:val="decimal" w:pos="1729" w:leader="none"/>
      </w:tabs>
    </w:pPr>
    <w:rPr/>
  </w:style>
  <w:style w:type="paragraph" w:styleId="013">
    <w:name w:val="Таб013"/>
    <w:basedOn w:val="Style25"/>
    <w:next w:val="Style25"/>
    <w:qFormat/>
    <w:pPr>
      <w:keepNext w:val="true"/>
      <w:tabs>
        <w:tab w:val="clear" w:pos="720"/>
        <w:tab w:val="right" w:pos="2948" w:leader="none"/>
        <w:tab w:val="center" w:pos="4479" w:leader="none"/>
        <w:tab w:val="decimal" w:pos="6208" w:leader="none"/>
        <w:tab w:val="center" w:pos="7994" w:leader="none"/>
      </w:tabs>
      <w:spacing w:before="0" w:after="0"/>
      <w:ind w:hanging="0" w:start="454" w:end="57"/>
    </w:pPr>
    <w:rPr>
      <w:rFonts w:ascii="Pragmatica" w:hAnsi="Pragmatica" w:cs="Pragmatica"/>
      <w:lang w:val="en-US"/>
    </w:rPr>
  </w:style>
  <w:style w:type="paragraph" w:styleId="01330">
    <w:name w:val="Таб013+30%"/>
    <w:basedOn w:val="013"/>
    <w:next w:val="013"/>
    <w:qFormat/>
    <w:pPr>
      <w:pBdr>
        <w:top w:val="single" w:sz="12" w:space="0" w:color="000000"/>
      </w:pBdr>
    </w:pPr>
    <w:rPr>
      <w:color w:val="000000"/>
    </w:rPr>
  </w:style>
  <w:style w:type="paragraph" w:styleId="014">
    <w:name w:val="Таб014"/>
    <w:basedOn w:val="Style25"/>
    <w:next w:val="Style25"/>
    <w:qFormat/>
    <w:pPr>
      <w:keepNext w:val="true"/>
      <w:tabs>
        <w:tab w:val="clear" w:pos="720"/>
        <w:tab w:val="right" w:pos="709" w:leader="none"/>
        <w:tab w:val="right" w:pos="1786" w:leader="none"/>
        <w:tab w:val="right" w:pos="2750" w:leader="none"/>
        <w:tab w:val="right" w:pos="3402" w:leader="none"/>
        <w:tab w:val="right" w:pos="4224" w:leader="none"/>
        <w:tab w:val="right" w:pos="5216" w:leader="none"/>
        <w:tab w:val="right" w:pos="6321" w:leader="none"/>
        <w:tab w:val="right" w:pos="7597" w:leader="none"/>
        <w:tab w:val="right" w:pos="8646" w:leader="none"/>
      </w:tabs>
      <w:spacing w:before="0" w:after="0"/>
      <w:ind w:hanging="0" w:start="57" w:end="1"/>
    </w:pPr>
    <w:rPr>
      <w:rFonts w:ascii="Pragmatica" w:hAnsi="Pragmatica" w:cs="Pragmatica"/>
      <w:lang w:val="en-US"/>
    </w:rPr>
  </w:style>
  <w:style w:type="paragraph" w:styleId="01430">
    <w:name w:val="Таб014+30%"/>
    <w:basedOn w:val="014"/>
    <w:next w:val="014"/>
    <w:qFormat/>
    <w:pPr>
      <w:pBdr>
        <w:top w:val="single" w:sz="12" w:space="0" w:color="000000"/>
      </w:pBdr>
      <w:ind w:hanging="0" w:start="57" w:end="0"/>
    </w:pPr>
    <w:rPr>
      <w:color w:val="000000"/>
    </w:rPr>
  </w:style>
  <w:style w:type="paragraph" w:styleId="015">
    <w:name w:val="Таб015"/>
    <w:basedOn w:val="Style25"/>
    <w:next w:val="Style25"/>
    <w:qFormat/>
    <w:pPr>
      <w:keepNext w:val="true"/>
      <w:tabs>
        <w:tab w:val="clear" w:pos="720"/>
        <w:tab w:val="left" w:pos="1729" w:leader="none"/>
        <w:tab w:val="decimal" w:pos="4224" w:leader="none"/>
        <w:tab w:val="decimal" w:pos="5556" w:leader="none"/>
        <w:tab w:val="decimal" w:pos="6917" w:leader="none"/>
        <w:tab w:val="decimal" w:pos="8249" w:leader="none"/>
      </w:tabs>
      <w:spacing w:before="0" w:after="0"/>
      <w:ind w:hanging="0" w:start="113" w:end="57"/>
    </w:pPr>
    <w:rPr>
      <w:rFonts w:ascii="Pragmatica" w:hAnsi="Pragmatica" w:cs="Pragmatica"/>
      <w:lang w:val="en-US"/>
    </w:rPr>
  </w:style>
  <w:style w:type="paragraph" w:styleId="0151">
    <w:name w:val="Таб015+шапка"/>
    <w:basedOn w:val="015"/>
    <w:next w:val="015"/>
    <w:qFormat/>
    <w:pPr>
      <w:tabs>
        <w:tab w:val="clear" w:pos="4224"/>
        <w:tab w:val="clear" w:pos="5556"/>
        <w:tab w:val="clear" w:pos="6917"/>
        <w:tab w:val="clear" w:pos="8249"/>
        <w:tab w:val="center" w:pos="4252" w:leader="none"/>
        <w:tab w:val="center" w:pos="5669" w:leader="none"/>
        <w:tab w:val="center" w:pos="6973" w:leader="none"/>
        <w:tab w:val="center" w:pos="8220" w:leader="none"/>
      </w:tabs>
      <w:spacing w:before="0" w:after="113"/>
    </w:pPr>
    <w:rPr>
      <w:color w:val="000000"/>
    </w:rPr>
  </w:style>
  <w:style w:type="paragraph" w:styleId="01530">
    <w:name w:val="Таб015+30%"/>
    <w:basedOn w:val="015"/>
    <w:next w:val="015"/>
    <w:qFormat/>
    <w:pPr>
      <w:pBdr>
        <w:top w:val="single" w:sz="12" w:space="0" w:color="000000"/>
      </w:pBdr>
    </w:pPr>
    <w:rPr>
      <w:color w:val="000000"/>
    </w:rPr>
  </w:style>
  <w:style w:type="paragraph" w:styleId="016-">
    <w:name w:val="Таб016-шапка"/>
    <w:basedOn w:val="Style25"/>
    <w:next w:val="Style25"/>
    <w:qFormat/>
    <w:pPr>
      <w:keepNext w:val="true"/>
      <w:tabs>
        <w:tab w:val="clear" w:pos="720"/>
        <w:tab w:val="center" w:pos="4394" w:leader="none"/>
        <w:tab w:val="center" w:pos="5754" w:leader="none"/>
        <w:tab w:val="center" w:pos="7002" w:leader="none"/>
        <w:tab w:val="center" w:pos="8164" w:leader="none"/>
      </w:tabs>
      <w:spacing w:before="0" w:after="142"/>
      <w:ind w:hanging="0" w:start="57" w:end="57"/>
    </w:pPr>
    <w:rPr>
      <w:rFonts w:ascii="Pragmatica" w:hAnsi="Pragmatica" w:cs="Pragmatica"/>
      <w:color w:val="000000"/>
      <w:lang w:val="en-US"/>
    </w:rPr>
  </w:style>
  <w:style w:type="paragraph" w:styleId="016">
    <w:name w:val="Таб016"/>
    <w:basedOn w:val="Style25"/>
    <w:next w:val="Style25"/>
    <w:qFormat/>
    <w:pPr>
      <w:keepNext w:val="true"/>
      <w:tabs>
        <w:tab w:val="clear" w:pos="720"/>
        <w:tab w:val="left" w:pos="1389" w:leader="none"/>
        <w:tab w:val="decimal" w:pos="4535" w:leader="none"/>
        <w:tab w:val="decimal" w:pos="5811" w:leader="none"/>
        <w:tab w:val="decimal" w:pos="7087" w:leader="none"/>
        <w:tab w:val="decimal" w:pos="8362" w:leader="none"/>
      </w:tabs>
      <w:spacing w:before="0" w:after="0"/>
      <w:ind w:hanging="0" w:start="57" w:end="57"/>
    </w:pPr>
    <w:rPr>
      <w:rFonts w:ascii="Pragmatica" w:hAnsi="Pragmatica" w:cs="Pragmatica"/>
      <w:lang w:val="en-US"/>
    </w:rPr>
  </w:style>
  <w:style w:type="paragraph" w:styleId="01630">
    <w:name w:val="Таб016+30%"/>
    <w:basedOn w:val="016"/>
    <w:next w:val="016"/>
    <w:qFormat/>
    <w:pPr>
      <w:pBdr>
        <w:top w:val="single" w:sz="12" w:space="0" w:color="000000"/>
      </w:pBdr>
    </w:pPr>
    <w:rPr>
      <w:color w:val="000000"/>
    </w:rPr>
  </w:style>
  <w:style w:type="paragraph" w:styleId="01660">
    <w:name w:val="Таб016+60%"/>
    <w:basedOn w:val="016"/>
    <w:next w:val="016"/>
    <w:qFormat/>
    <w:pPr>
      <w:pBdr>
        <w:top w:val="single" w:sz="12" w:space="0" w:color="000000"/>
      </w:pBdr>
    </w:pPr>
    <w:rPr>
      <w:color w:val="000000"/>
    </w:rPr>
  </w:style>
  <w:style w:type="paragraph" w:styleId="027">
    <w:name w:val="Таб027"/>
    <w:basedOn w:val="Style25"/>
    <w:next w:val="Style25"/>
    <w:qFormat/>
    <w:pPr>
      <w:keepNext w:val="true"/>
      <w:tabs>
        <w:tab w:val="clear" w:pos="720"/>
        <w:tab w:val="decimal" w:pos="7030" w:leader="none"/>
      </w:tabs>
      <w:spacing w:before="0" w:after="0"/>
      <w:ind w:hanging="0" w:start="567" w:end="57"/>
    </w:pPr>
    <w:rPr>
      <w:rFonts w:ascii="Pragmatica" w:hAnsi="Pragmatica" w:cs="Pragmatica"/>
      <w:lang w:val="en-US"/>
    </w:rPr>
  </w:style>
  <w:style w:type="paragraph" w:styleId="02730">
    <w:name w:val="Таб027+30%"/>
    <w:basedOn w:val="027"/>
    <w:next w:val="027"/>
    <w:qFormat/>
    <w:pPr>
      <w:pBdr>
        <w:top w:val="single" w:sz="12" w:space="0" w:color="000000"/>
      </w:pBdr>
    </w:pPr>
    <w:rPr>
      <w:color w:val="000000"/>
    </w:rPr>
  </w:style>
  <w:style w:type="paragraph" w:styleId="023">
    <w:name w:val="Таб023"/>
    <w:basedOn w:val="Style25"/>
    <w:next w:val="Style25"/>
    <w:qFormat/>
    <w:pPr>
      <w:keepNext w:val="true"/>
      <w:tabs>
        <w:tab w:val="clear" w:pos="720"/>
        <w:tab w:val="right" w:pos="2721" w:leader="none"/>
        <w:tab w:val="right" w:pos="3458" w:leader="none"/>
        <w:tab w:val="right" w:pos="4082" w:leader="none"/>
        <w:tab w:val="decimal" w:pos="4734" w:leader="none"/>
        <w:tab w:val="decimal" w:pos="5726" w:leader="none"/>
        <w:tab w:val="decimal" w:pos="6746" w:leader="none"/>
        <w:tab w:val="right" w:pos="7852" w:leader="none"/>
        <w:tab w:val="right" w:pos="8674" w:leader="none"/>
      </w:tabs>
      <w:spacing w:before="0" w:after="0"/>
      <w:ind w:hanging="0" w:start="57" w:end="29"/>
    </w:pPr>
    <w:rPr>
      <w:rFonts w:ascii="Pragmatica" w:hAnsi="Pragmatica" w:cs="Pragmatica"/>
      <w:lang w:val="en-US"/>
    </w:rPr>
  </w:style>
  <w:style w:type="paragraph" w:styleId="0231">
    <w:name w:val="Таб023итог"/>
    <w:basedOn w:val="023"/>
    <w:next w:val="023"/>
    <w:qFormat/>
    <w:pPr>
      <w:tabs>
        <w:tab w:val="clear" w:pos="2721"/>
        <w:tab w:val="clear" w:pos="3458"/>
        <w:tab w:val="clear" w:pos="4082"/>
        <w:tab w:val="clear" w:pos="4734"/>
        <w:tab w:val="clear" w:pos="5726"/>
        <w:tab w:val="clear" w:pos="6746"/>
        <w:tab w:val="clear" w:pos="7852"/>
        <w:tab w:val="left" w:pos="1729" w:leader="none"/>
        <w:tab w:val="left" w:pos="4762" w:leader="none"/>
      </w:tabs>
    </w:pPr>
    <w:rPr>
      <w:color w:val="000000"/>
    </w:rPr>
  </w:style>
  <w:style w:type="paragraph" w:styleId="02330">
    <w:name w:val="Таб023+30%"/>
    <w:basedOn w:val="023"/>
    <w:next w:val="023"/>
    <w:qFormat/>
    <w:pPr>
      <w:pBdr>
        <w:top w:val="single" w:sz="12" w:space="0" w:color="000000"/>
      </w:pBdr>
      <w:ind w:hanging="0" w:start="57" w:end="28"/>
      <w:jc w:val="center"/>
    </w:pPr>
    <w:rPr>
      <w:color w:val="000000"/>
    </w:rPr>
  </w:style>
  <w:style w:type="paragraph" w:styleId="02360">
    <w:name w:val="Таб023+60%"/>
    <w:basedOn w:val="Style25"/>
    <w:next w:val="Style25"/>
    <w:qFormat/>
    <w:pPr>
      <w:keepNext w:val="true"/>
      <w:spacing w:before="0" w:after="0"/>
      <w:ind w:hanging="0" w:start="57" w:end="57"/>
      <w:jc w:val="center"/>
    </w:pPr>
    <w:rPr>
      <w:rFonts w:ascii="Pragmatica" w:hAnsi="Pragmatica" w:cs="Pragmatica"/>
      <w:b/>
      <w:color w:val="FF00FF"/>
      <w:lang w:val="en-US"/>
    </w:rPr>
  </w:style>
  <w:style w:type="paragraph" w:styleId="001">
    <w:name w:val="Таб001"/>
    <w:basedOn w:val="Style25"/>
    <w:qFormat/>
    <w:pPr>
      <w:keepNext w:val="true"/>
      <w:tabs>
        <w:tab w:val="clear" w:pos="720"/>
        <w:tab w:val="right" w:pos="340" w:leader="none"/>
        <w:tab w:val="left" w:pos="482" w:leader="none"/>
        <w:tab w:val="right" w:pos="5046" w:leader="none"/>
        <w:tab w:val="right" w:pos="6406" w:leader="none"/>
        <w:tab w:val="center" w:pos="6860" w:leader="none"/>
        <w:tab w:val="center" w:pos="7200" w:leader="none"/>
        <w:tab w:val="center" w:pos="7540" w:leader="none"/>
        <w:tab w:val="center" w:pos="7880" w:leader="none"/>
        <w:tab w:val="center" w:pos="8277" w:leader="none"/>
        <w:tab w:val="center" w:pos="8617" w:leader="none"/>
      </w:tabs>
      <w:spacing w:before="0" w:after="0"/>
      <w:ind w:hanging="0" w:start="85" w:end="1"/>
    </w:pPr>
    <w:rPr>
      <w:rFonts w:ascii="Pragmatica" w:hAnsi="Pragmatica" w:cs="Pragmatica"/>
      <w:lang w:val="en-US"/>
    </w:rPr>
  </w:style>
  <w:style w:type="paragraph" w:styleId="002">
    <w:name w:val="Таб002"/>
    <w:basedOn w:val="001"/>
    <w:next w:val="001"/>
    <w:qFormat/>
    <w:pPr>
      <w:tabs>
        <w:tab w:val="clear" w:pos="340"/>
        <w:tab w:val="clear" w:pos="482"/>
        <w:tab w:val="clear" w:pos="5046"/>
        <w:tab w:val="clear" w:pos="6406"/>
        <w:tab w:val="clear" w:pos="6860"/>
        <w:tab w:val="clear" w:pos="7200"/>
        <w:tab w:val="clear" w:pos="7540"/>
        <w:tab w:val="clear" w:pos="7880"/>
        <w:tab w:val="clear" w:pos="8277"/>
        <w:tab w:val="left" w:pos="567" w:leader="none"/>
        <w:tab w:val="center" w:pos="3175" w:leader="none"/>
        <w:tab w:val="right" w:pos="4592" w:leader="none"/>
        <w:tab w:val="left" w:pos="5187" w:leader="none"/>
        <w:tab w:val="left" w:pos="6491" w:leader="none"/>
      </w:tabs>
      <w:spacing w:before="142" w:after="0"/>
      <w:ind w:hanging="0" w:start="85" w:end="0"/>
    </w:pPr>
    <w:rPr/>
  </w:style>
  <w:style w:type="paragraph" w:styleId="00230">
    <w:name w:val="Таб002+30%"/>
    <w:basedOn w:val="002"/>
    <w:next w:val="002"/>
    <w:qFormat/>
    <w:pPr>
      <w:pBdr>
        <w:top w:val="single" w:sz="12" w:space="0" w:color="000000"/>
      </w:pBdr>
    </w:pPr>
    <w:rPr>
      <w:color w:val="000000"/>
    </w:rPr>
  </w:style>
  <w:style w:type="paragraph" w:styleId="00130">
    <w:name w:val="Таб001+30%"/>
    <w:basedOn w:val="Style25"/>
    <w:qFormat/>
    <w:pPr>
      <w:keepNext w:val="true"/>
      <w:pBdr>
        <w:top w:val="single" w:sz="12" w:space="0" w:color="000000"/>
      </w:pBdr>
      <w:tabs>
        <w:tab w:val="clear" w:pos="720"/>
        <w:tab w:val="right" w:pos="340" w:leader="none"/>
        <w:tab w:val="left" w:pos="482" w:leader="none"/>
        <w:tab w:val="right" w:pos="5046" w:leader="none"/>
        <w:tab w:val="right" w:pos="6406" w:leader="none"/>
        <w:tab w:val="center" w:pos="6860" w:leader="none"/>
        <w:tab w:val="center" w:pos="7200" w:leader="none"/>
        <w:tab w:val="center" w:pos="7540" w:leader="none"/>
        <w:tab w:val="center" w:pos="7880" w:leader="none"/>
        <w:tab w:val="center" w:pos="8277" w:leader="none"/>
        <w:tab w:val="center" w:pos="8617" w:leader="none"/>
      </w:tabs>
      <w:spacing w:before="0" w:after="0"/>
      <w:ind w:hanging="0" w:start="85" w:end="0"/>
    </w:pPr>
    <w:rPr>
      <w:rFonts w:ascii="Pragmatica" w:hAnsi="Pragmatica" w:cs="Pragmatica"/>
      <w:color w:val="000000"/>
      <w:lang w:val="en-US"/>
    </w:rPr>
  </w:style>
  <w:style w:type="paragraph" w:styleId="024">
    <w:name w:val="Таб024"/>
    <w:basedOn w:val="Style25"/>
    <w:next w:val="Style25"/>
    <w:qFormat/>
    <w:pPr>
      <w:keepNext w:val="true"/>
      <w:tabs>
        <w:tab w:val="clear" w:pos="720"/>
        <w:tab w:val="decimal" w:pos="4280" w:leader="none"/>
        <w:tab w:val="decimal" w:pos="5414" w:leader="none"/>
        <w:tab w:val="decimal" w:pos="6548" w:leader="none"/>
        <w:tab w:val="decimal" w:pos="7994" w:leader="none"/>
        <w:tab w:val="decimal" w:pos="8277" w:leader="none"/>
      </w:tabs>
      <w:spacing w:before="0" w:after="0"/>
      <w:ind w:hanging="0" w:start="170" w:end="57"/>
    </w:pPr>
    <w:rPr>
      <w:rFonts w:ascii="Pragmatica" w:hAnsi="Pragmatica" w:cs="Pragmatica"/>
      <w:lang w:val="en-US"/>
    </w:rPr>
  </w:style>
  <w:style w:type="paragraph" w:styleId="02430">
    <w:name w:val="Таб024+30%"/>
    <w:basedOn w:val="024"/>
    <w:next w:val="024"/>
    <w:qFormat/>
    <w:pPr>
      <w:pBdr>
        <w:top w:val="single" w:sz="12" w:space="0" w:color="000000"/>
      </w:pBdr>
    </w:pPr>
    <w:rPr>
      <w:color w:val="000000"/>
    </w:rPr>
  </w:style>
  <w:style w:type="paragraph" w:styleId="025">
    <w:name w:val="Таб025"/>
    <w:basedOn w:val="Style25"/>
    <w:next w:val="Style25"/>
    <w:qFormat/>
    <w:pPr>
      <w:keepNext w:val="true"/>
      <w:tabs>
        <w:tab w:val="clear" w:pos="720"/>
        <w:tab w:val="decimal" w:pos="4876" w:leader="none"/>
        <w:tab w:val="decimal" w:pos="6009" w:leader="none"/>
        <w:tab w:val="decimal" w:pos="7143" w:leader="none"/>
        <w:tab w:val="decimal" w:pos="8277" w:leader="none"/>
      </w:tabs>
      <w:spacing w:before="0" w:after="0"/>
      <w:ind w:hanging="0" w:start="113" w:end="57"/>
    </w:pPr>
    <w:rPr>
      <w:rFonts w:ascii="Pragmatica" w:hAnsi="Pragmatica" w:cs="Pragmatica"/>
      <w:i/>
      <w:lang w:val="en-US"/>
    </w:rPr>
  </w:style>
  <w:style w:type="paragraph" w:styleId="02530">
    <w:name w:val="Таб025+30%"/>
    <w:basedOn w:val="025"/>
    <w:next w:val="025"/>
    <w:qFormat/>
    <w:pPr>
      <w:pBdr>
        <w:top w:val="single" w:sz="12" w:space="0" w:color="000000"/>
      </w:pBdr>
    </w:pPr>
    <w:rPr>
      <w:color w:val="000000"/>
    </w:rPr>
  </w:style>
  <w:style w:type="paragraph" w:styleId="0061">
    <w:name w:val="Таб006+1кол"/>
    <w:basedOn w:val="006"/>
    <w:next w:val="006"/>
    <w:qFormat/>
    <w:pPr>
      <w:tabs>
        <w:tab w:val="clear" w:pos="794"/>
        <w:tab w:val="clear" w:pos="1956"/>
        <w:tab w:val="clear" w:pos="2976"/>
        <w:tab w:val="clear" w:pos="4082"/>
        <w:tab w:val="clear" w:pos="5131"/>
        <w:tab w:val="clear" w:pos="6293"/>
        <w:tab w:val="clear" w:pos="7398"/>
        <w:tab w:val="clear" w:pos="8192"/>
        <w:tab w:val="right" w:pos="595" w:leader="none"/>
        <w:tab w:val="right" w:pos="1814" w:leader="none"/>
        <w:tab w:val="right" w:pos="2693" w:leader="none"/>
        <w:tab w:val="right" w:pos="3543" w:leader="none"/>
        <w:tab w:val="right" w:pos="4479" w:leader="none"/>
        <w:tab w:val="right" w:pos="5386" w:leader="none"/>
        <w:tab w:val="right" w:pos="6520" w:leader="none"/>
        <w:tab w:val="decimal" w:pos="7370" w:leader="none"/>
        <w:tab w:val="decimal" w:pos="8334" w:leader="none"/>
      </w:tabs>
    </w:pPr>
    <w:rPr>
      <w:lang w:val="en-US"/>
    </w:rPr>
  </w:style>
  <w:style w:type="paragraph" w:styleId="006301">
    <w:name w:val="Таб006+30%+1кол"/>
    <w:basedOn w:val="0061"/>
    <w:next w:val="0061"/>
    <w:qFormat/>
    <w:pPr>
      <w:pBdr>
        <w:top w:val="single" w:sz="12" w:space="0" w:color="000000"/>
      </w:pBdr>
    </w:pPr>
    <w:rPr/>
  </w:style>
  <w:style w:type="paragraph" w:styleId="005-">
    <w:name w:val="Таб005-шапка"/>
    <w:basedOn w:val="Style25"/>
    <w:next w:val="Style25"/>
    <w:qFormat/>
    <w:pPr>
      <w:keepNext w:val="true"/>
      <w:tabs>
        <w:tab w:val="clear" w:pos="720"/>
        <w:tab w:val="center" w:pos="567" w:leader="none"/>
        <w:tab w:val="center" w:pos="1616" w:leader="none"/>
        <w:tab w:val="center" w:pos="2891" w:leader="none"/>
        <w:tab w:val="center" w:pos="4195" w:leader="none"/>
        <w:tab w:val="center" w:pos="5443" w:leader="none"/>
        <w:tab w:val="center" w:pos="6775" w:leader="none"/>
      </w:tabs>
      <w:spacing w:before="0" w:after="0"/>
      <w:ind w:hanging="0" w:start="57" w:end="57"/>
    </w:pPr>
    <w:rPr>
      <w:rFonts w:ascii="Pragmatica" w:hAnsi="Pragmatica" w:cs="Pragmatica"/>
      <w:sz w:val="20"/>
      <w:lang w:val="en-US"/>
    </w:rPr>
  </w:style>
  <w:style w:type="paragraph" w:styleId="01460">
    <w:name w:val="Таб014+60%"/>
    <w:basedOn w:val="01430"/>
    <w:next w:val="01430"/>
    <w:qFormat/>
    <w:pPr>
      <w:pBdr>
        <w:top w:val="single" w:sz="12" w:space="0" w:color="000000"/>
      </w:pBdr>
    </w:pPr>
    <w:rPr>
      <w:sz w:val="20"/>
    </w:rPr>
  </w:style>
  <w:style w:type="paragraph" w:styleId="006-730">
    <w:name w:val="Таб006-7дней+30%"/>
    <w:basedOn w:val="00630"/>
    <w:next w:val="00630"/>
    <w:qFormat/>
    <w:pPr>
      <w:tabs>
        <w:tab w:val="clear" w:pos="794"/>
        <w:tab w:val="clear" w:pos="1956"/>
        <w:tab w:val="clear" w:pos="2976"/>
        <w:tab w:val="clear" w:pos="4082"/>
        <w:tab w:val="clear" w:pos="5131"/>
        <w:tab w:val="clear" w:pos="6293"/>
        <w:tab w:val="right" w:pos="595" w:leader="none"/>
        <w:tab w:val="right" w:pos="1757" w:leader="none"/>
        <w:tab w:val="right" w:pos="2523" w:leader="none"/>
        <w:tab w:val="right" w:pos="3288" w:leader="none"/>
        <w:tab w:val="right" w:pos="4054" w:leader="none"/>
        <w:tab w:val="right" w:pos="4791" w:leader="none"/>
        <w:tab w:val="right" w:pos="5556" w:leader="none"/>
        <w:tab w:val="right" w:pos="6321" w:leader="none"/>
      </w:tabs>
    </w:pPr>
    <w:rPr>
      <w:lang w:val="en-US"/>
    </w:rPr>
  </w:style>
  <w:style w:type="paragraph" w:styleId="006-7">
    <w:name w:val="Таб006-7дней"/>
    <w:basedOn w:val="006"/>
    <w:next w:val="006"/>
    <w:qFormat/>
    <w:pPr>
      <w:tabs>
        <w:tab w:val="clear" w:pos="794"/>
        <w:tab w:val="clear" w:pos="1956"/>
        <w:tab w:val="clear" w:pos="2976"/>
        <w:tab w:val="clear" w:pos="4082"/>
        <w:tab w:val="clear" w:pos="5131"/>
        <w:tab w:val="clear" w:pos="6293"/>
        <w:tab w:val="right" w:pos="595" w:leader="none"/>
        <w:tab w:val="right" w:pos="1757" w:leader="none"/>
        <w:tab w:val="right" w:pos="2523" w:leader="none"/>
        <w:tab w:val="right" w:pos="3288" w:leader="none"/>
        <w:tab w:val="right" w:pos="4054" w:leader="none"/>
        <w:tab w:val="right" w:pos="4791" w:leader="none"/>
        <w:tab w:val="right" w:pos="5556" w:leader="none"/>
        <w:tab w:val="right" w:pos="6321" w:leader="none"/>
      </w:tabs>
    </w:pPr>
    <w:rPr>
      <w:lang w:val="en-US"/>
    </w:rPr>
  </w:style>
  <w:style w:type="paragraph" w:styleId="-1">
    <w:name w:val="Таб-ин.акт"/>
    <w:basedOn w:val="Style25"/>
    <w:next w:val="Style25"/>
    <w:qFormat/>
    <w:pPr>
      <w:keepNext w:val="true"/>
      <w:tabs>
        <w:tab w:val="clear" w:pos="720"/>
        <w:tab w:val="left" w:pos="850" w:leader="none"/>
        <w:tab w:val="decimal" w:pos="4819" w:leader="none"/>
        <w:tab w:val="decimal" w:pos="5953" w:leader="none"/>
        <w:tab w:val="decimal" w:pos="7087" w:leader="none"/>
        <w:tab w:val="decimal" w:pos="8220" w:leader="none"/>
      </w:tabs>
      <w:spacing w:before="0" w:after="0"/>
      <w:ind w:hanging="0" w:start="57" w:end="57"/>
    </w:pPr>
    <w:rPr>
      <w:rFonts w:ascii="Pragmatica" w:hAnsi="Pragmatica" w:cs="Pragmatica"/>
      <w:lang w:val="en-US"/>
    </w:rPr>
  </w:style>
  <w:style w:type="paragraph" w:styleId="-2">
    <w:name w:val="Таб-акт."/>
    <w:basedOn w:val="Style25"/>
    <w:next w:val="Style25"/>
    <w:qFormat/>
    <w:pPr>
      <w:keepNext w:val="true"/>
      <w:tabs>
        <w:tab w:val="clear" w:pos="720"/>
        <w:tab w:val="decimal" w:pos="2324" w:leader="none"/>
        <w:tab w:val="decimal" w:pos="2891" w:leader="none"/>
        <w:tab w:val="decimal" w:pos="3515" w:leader="none"/>
        <w:tab w:val="decimal" w:pos="4025" w:leader="none"/>
        <w:tab w:val="decimal" w:pos="4649" w:leader="none"/>
        <w:tab w:val="decimal" w:pos="5159" w:leader="none"/>
        <w:tab w:val="decimal" w:pos="5726" w:leader="none"/>
        <w:tab w:val="decimal" w:pos="6293" w:leader="none"/>
        <w:tab w:val="decimal" w:pos="6917" w:leader="none"/>
        <w:tab w:val="decimal" w:pos="7427" w:leader="none"/>
        <w:tab w:val="decimal" w:pos="7994" w:leader="none"/>
        <w:tab w:val="decimal" w:pos="8561" w:leader="none"/>
      </w:tabs>
      <w:spacing w:before="113" w:after="0"/>
      <w:ind w:hanging="0" w:start="57" w:end="57"/>
    </w:pPr>
    <w:rPr>
      <w:rFonts w:ascii="Pragmatica" w:hAnsi="Pragmatica" w:cs="Pragmatica"/>
      <w:lang w:val="en-US"/>
    </w:rPr>
  </w:style>
  <w:style w:type="paragraph" w:styleId="--2">
    <w:name w:val="Таб-акт-шапка2"/>
    <w:basedOn w:val="Style25"/>
    <w:next w:val="Style25"/>
    <w:qFormat/>
    <w:pPr>
      <w:keepNext w:val="true"/>
      <w:tabs>
        <w:tab w:val="clear" w:pos="720"/>
        <w:tab w:val="center" w:pos="2268" w:leader="none"/>
        <w:tab w:val="center" w:pos="2835" w:leader="none"/>
        <w:tab w:val="center" w:pos="3402" w:leader="none"/>
        <w:tab w:val="center" w:pos="3969" w:leader="none"/>
        <w:tab w:val="center" w:pos="4535" w:leader="none"/>
        <w:tab w:val="center" w:pos="5102" w:leader="none"/>
        <w:tab w:val="center" w:pos="5669" w:leader="none"/>
        <w:tab w:val="center" w:pos="6236" w:leader="none"/>
        <w:tab w:val="center" w:pos="6803" w:leader="none"/>
        <w:tab w:val="center" w:pos="7370" w:leader="none"/>
        <w:tab w:val="center" w:pos="7937" w:leader="none"/>
        <w:tab w:val="center" w:pos="8504" w:leader="none"/>
      </w:tabs>
      <w:spacing w:before="0" w:after="0"/>
      <w:ind w:hanging="0" w:start="57" w:end="57"/>
    </w:pPr>
    <w:rPr>
      <w:rFonts w:ascii="Pragmatica" w:hAnsi="Pragmatica" w:cs="Pragmatica"/>
      <w:lang w:val="en-US"/>
    </w:rPr>
  </w:style>
  <w:style w:type="paragraph" w:styleId="--1">
    <w:name w:val="Таб-акт-шапка1"/>
    <w:basedOn w:val="Style25"/>
    <w:next w:val="Style25"/>
    <w:qFormat/>
    <w:pPr>
      <w:keepNext w:val="true"/>
      <w:tabs>
        <w:tab w:val="clear" w:pos="720"/>
        <w:tab w:val="center" w:pos="2551" w:leader="none"/>
        <w:tab w:val="center" w:pos="3685" w:leader="none"/>
        <w:tab w:val="center" w:pos="4791" w:leader="none"/>
        <w:tab w:val="center" w:pos="5924" w:leader="none"/>
        <w:tab w:val="center" w:pos="7058" w:leader="none"/>
        <w:tab w:val="center" w:pos="8220" w:leader="none"/>
      </w:tabs>
      <w:spacing w:before="0" w:after="57"/>
      <w:ind w:hanging="0" w:start="57" w:end="57"/>
    </w:pPr>
    <w:rPr>
      <w:rFonts w:ascii="Pragmatica" w:hAnsi="Pragmatica" w:cs="Pragmatica"/>
      <w:lang w:val="en-US"/>
    </w:rPr>
  </w:style>
  <w:style w:type="paragraph" w:styleId="21">
    <w:name w:val="Таблица верт ш2"/>
    <w:basedOn w:val="Style25"/>
    <w:next w:val="Style25"/>
    <w:qFormat/>
    <w:pPr>
      <w:keepNext w:val="true"/>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center" w:pos="5953" w:leader="none"/>
        <w:tab w:val="center" w:pos="7087" w:leader="none"/>
        <w:tab w:val="center" w:pos="8220" w:leader="none"/>
      </w:tabs>
      <w:spacing w:before="0" w:after="85"/>
      <w:ind w:hanging="0" w:start="57" w:end="57"/>
    </w:pPr>
    <w:rPr>
      <w:rFonts w:ascii="Pragmatica" w:hAnsi="Pragmatica" w:cs="Pragmatica"/>
      <w:lang w:val="en-US"/>
    </w:rPr>
  </w:style>
  <w:style w:type="paragraph" w:styleId="Style40">
    <w:name w:val="Таблица верт."/>
    <w:basedOn w:val="Style25"/>
    <w:next w:val="Style25"/>
    <w:qFormat/>
    <w:pPr>
      <w:keepNext w:val="true"/>
      <w:tabs>
        <w:tab w:val="clear" w:pos="720"/>
        <w:tab w:val="left" w:pos="283" w:leader="none"/>
        <w:tab w:val="left" w:pos="567" w:leader="none"/>
        <w:tab w:val="left" w:pos="850" w:leader="none"/>
        <w:tab w:val="left" w:pos="1134" w:leader="none"/>
        <w:tab w:val="left" w:pos="1417" w:leader="none"/>
        <w:tab w:val="left" w:pos="1701" w:leader="none"/>
        <w:tab w:val="left" w:pos="1984" w:leader="none"/>
        <w:tab w:val="left" w:pos="2268" w:leader="none"/>
        <w:tab w:val="decimal" w:pos="6236" w:leader="none"/>
        <w:tab w:val="decimal" w:pos="7370" w:leader="none"/>
        <w:tab w:val="decimal" w:pos="8447" w:leader="none"/>
      </w:tabs>
      <w:spacing w:before="0" w:after="0"/>
      <w:ind w:hanging="0" w:start="57" w:end="57"/>
    </w:pPr>
    <w:rPr>
      <w:rFonts w:ascii="Pragmatica" w:hAnsi="Pragmatica" w:cs="Pragmatica"/>
      <w:lang w:val="en-US"/>
    </w:rPr>
  </w:style>
  <w:style w:type="paragraph" w:styleId="1">
    <w:name w:val="Таблица верт ш1"/>
    <w:basedOn w:val="Style40"/>
    <w:next w:val="Style40"/>
    <w:qFormat/>
    <w:pPr>
      <w:tabs>
        <w:tab w:val="clear" w:pos="2268"/>
        <w:tab w:val="clear" w:pos="6236"/>
        <w:tab w:val="clear" w:pos="7370"/>
        <w:tab w:val="center" w:pos="7058" w:leader="none"/>
      </w:tabs>
      <w:spacing w:before="0" w:after="57"/>
    </w:pPr>
    <w:rPr/>
  </w:style>
  <w:style w:type="paragraph" w:styleId="006302">
    <w:name w:val="Таб006+30%+2 кол."/>
    <w:basedOn w:val="00630"/>
    <w:next w:val="00630"/>
    <w:qFormat/>
    <w:pPr>
      <w:tabs>
        <w:tab w:val="clear" w:pos="794"/>
        <w:tab w:val="clear" w:pos="1956"/>
        <w:tab w:val="clear" w:pos="2976"/>
        <w:tab w:val="clear" w:pos="4082"/>
        <w:tab w:val="clear" w:pos="5131"/>
        <w:tab w:val="clear" w:pos="6293"/>
        <w:tab w:val="right" w:pos="595" w:leader="none"/>
        <w:tab w:val="right" w:pos="1757" w:leader="none"/>
        <w:tab w:val="right" w:pos="2494" w:leader="none"/>
        <w:tab w:val="right" w:pos="3288" w:leader="none"/>
        <w:tab w:val="right" w:pos="4025" w:leader="none"/>
        <w:tab w:val="right" w:pos="4791" w:leader="none"/>
        <w:tab w:val="right" w:pos="5528" w:leader="none"/>
        <w:tab w:val="right" w:pos="6321" w:leader="none"/>
      </w:tabs>
    </w:pPr>
    <w:rPr>
      <w:lang w:val="en-US"/>
    </w:rPr>
  </w:style>
  <w:style w:type="paragraph" w:styleId="0062">
    <w:name w:val="Таб006+2 кол."/>
    <w:basedOn w:val="006"/>
    <w:next w:val="006"/>
    <w:qFormat/>
    <w:pPr>
      <w:tabs>
        <w:tab w:val="clear" w:pos="794"/>
        <w:tab w:val="clear" w:pos="1956"/>
        <w:tab w:val="clear" w:pos="2976"/>
        <w:tab w:val="clear" w:pos="4082"/>
        <w:tab w:val="clear" w:pos="5131"/>
        <w:tab w:val="clear" w:pos="6293"/>
        <w:tab w:val="right" w:pos="595" w:leader="none"/>
        <w:tab w:val="right" w:pos="1757" w:leader="none"/>
        <w:tab w:val="right" w:pos="2494" w:leader="none"/>
        <w:tab w:val="right" w:pos="3288" w:leader="none"/>
        <w:tab w:val="right" w:pos="4025" w:leader="none"/>
        <w:tab w:val="right" w:pos="4791" w:leader="none"/>
        <w:tab w:val="right" w:pos="5528" w:leader="none"/>
        <w:tab w:val="right" w:pos="6321" w:leader="none"/>
      </w:tabs>
    </w:pPr>
    <w:rPr>
      <w:lang w:val="en-US"/>
    </w:rPr>
  </w:style>
  <w:style w:type="paragraph" w:styleId="-1-">
    <w:name w:val="Табл-прил.1-черта"/>
    <w:basedOn w:val="Style25"/>
    <w:next w:val="Style25"/>
    <w:qFormat/>
    <w:pPr>
      <w:keepNext w:val="true"/>
      <w:pBdr>
        <w:top w:val="single" w:sz="2" w:space="0" w:color="000000"/>
      </w:pBdr>
      <w:tabs>
        <w:tab w:val="clear" w:pos="720"/>
        <w:tab w:val="center" w:pos="4649" w:leader="none"/>
        <w:tab w:val="center" w:pos="5669" w:leader="none"/>
        <w:tab w:val="center" w:pos="6690" w:leader="none"/>
      </w:tabs>
      <w:spacing w:before="113" w:after="0"/>
      <w:ind w:hanging="0" w:start="850" w:end="57"/>
    </w:pPr>
    <w:rPr>
      <w:rFonts w:ascii="Pragmatica" w:hAnsi="Pragmatica" w:cs="Pragmatica"/>
      <w:lang w:val="en-US"/>
    </w:rPr>
  </w:style>
  <w:style w:type="paragraph" w:styleId="-11">
    <w:name w:val="Табл-прил.1"/>
    <w:basedOn w:val="Style25"/>
    <w:next w:val="Style25"/>
    <w:qFormat/>
    <w:pPr>
      <w:keepNext w:val="true"/>
      <w:tabs>
        <w:tab w:val="clear" w:pos="720"/>
        <w:tab w:val="center" w:pos="4649" w:leader="none"/>
        <w:tab w:val="center" w:pos="5669" w:leader="none"/>
        <w:tab w:val="center" w:pos="6690" w:leader="none"/>
      </w:tabs>
      <w:spacing w:before="113" w:after="0"/>
      <w:ind w:hanging="0" w:start="57" w:end="57"/>
    </w:pPr>
    <w:rPr>
      <w:rFonts w:ascii="Pragmatica" w:hAnsi="Pragmatica" w:cs="Pragmatica"/>
      <w:lang w:val="en-US"/>
    </w:rPr>
  </w:style>
  <w:style w:type="paragraph" w:styleId="Style41">
    <w:name w:val="Таблица+ПРЕЙСКУРАНТ"/>
    <w:basedOn w:val="Style25"/>
    <w:next w:val="Style25"/>
    <w:qFormat/>
    <w:pPr>
      <w:keepNext w:val="true"/>
      <w:tabs>
        <w:tab w:val="clear" w:pos="720"/>
        <w:tab w:val="left" w:pos="2608" w:leader="none"/>
        <w:tab w:val="left" w:pos="4876" w:leader="none"/>
        <w:tab w:val="center" w:pos="7795" w:leader="none"/>
      </w:tabs>
      <w:spacing w:before="0" w:after="0"/>
      <w:ind w:hanging="0" w:start="57" w:end="28"/>
    </w:pPr>
    <w:rPr>
      <w:rFonts w:ascii="Pragmatica" w:hAnsi="Pragmatica" w:cs="Pragmatica"/>
      <w:lang w:val="en-US"/>
    </w:rPr>
  </w:style>
  <w:style w:type="paragraph" w:styleId="029">
    <w:name w:val="Таб029"/>
    <w:basedOn w:val="Style25"/>
    <w:next w:val="Style25"/>
    <w:qFormat/>
    <w:pPr>
      <w:keepNext w:val="true"/>
      <w:tabs>
        <w:tab w:val="clear" w:pos="720"/>
        <w:tab w:val="center" w:pos="283" w:leader="none"/>
        <w:tab w:val="left" w:pos="680" w:leader="none"/>
        <w:tab w:val="decimal" w:pos="4309" w:leader="none"/>
        <w:tab w:val="right" w:pos="5272" w:leader="none"/>
        <w:tab w:val="right" w:pos="6123" w:leader="none"/>
        <w:tab w:val="left" w:pos="6350" w:leader="none"/>
      </w:tabs>
      <w:spacing w:before="0" w:after="0"/>
      <w:ind w:hanging="0" w:start="57" w:end="28"/>
    </w:pPr>
    <w:rPr>
      <w:rFonts w:ascii="Pragmatica" w:hAnsi="Pragmatica" w:cs="Pragmatica"/>
      <w:lang w:val="en-US"/>
    </w:rPr>
  </w:style>
  <w:style w:type="paragraph" w:styleId="--3">
    <w:name w:val="Таблица-воп-отв"/>
    <w:basedOn w:val="Style25"/>
    <w:qFormat/>
    <w:pPr>
      <w:keepNext w:val="true"/>
      <w:tabs>
        <w:tab w:val="clear" w:pos="720"/>
        <w:tab w:val="left" w:pos="567" w:leader="none"/>
      </w:tabs>
      <w:spacing w:before="113" w:after="0"/>
      <w:ind w:hanging="0" w:start="85" w:end="85"/>
      <w:jc w:val="both"/>
    </w:pPr>
    <w:rPr>
      <w:sz w:val="16"/>
      <w:lang w:val="en-US"/>
    </w:rPr>
  </w:style>
  <w:style w:type="paragraph" w:styleId="02630-2">
    <w:name w:val="Таб026+30%-2стр"/>
    <w:basedOn w:val="02630"/>
    <w:next w:val="02630"/>
    <w:qFormat/>
    <w:pPr>
      <w:tabs>
        <w:tab w:val="clear" w:pos="765"/>
        <w:tab w:val="clear" w:pos="1417"/>
        <w:tab w:val="clear" w:pos="1559"/>
        <w:tab w:val="left" w:pos="850" w:leader="none"/>
        <w:tab w:val="left" w:pos="1134" w:leader="none"/>
        <w:tab w:val="left" w:pos="1304" w:leader="none"/>
        <w:tab w:val="left" w:pos="1474" w:leader="none"/>
      </w:tabs>
    </w:pPr>
    <w:rPr>
      <w:color w:val="000000"/>
    </w:rPr>
  </w:style>
  <w:style w:type="paragraph" w:styleId="02630-3">
    <w:name w:val="Таб026+30%-3стр"/>
    <w:basedOn w:val="02630-2"/>
    <w:next w:val="02630-2"/>
    <w:qFormat/>
    <w:pPr/>
    <w:rPr/>
  </w:style>
  <w:style w:type="paragraph" w:styleId="030">
    <w:name w:val="Таб030"/>
    <w:basedOn w:val="Style25"/>
    <w:next w:val="Style25"/>
    <w:qFormat/>
    <w:pPr>
      <w:keepNext w:val="true"/>
      <w:tabs>
        <w:tab w:val="clear" w:pos="720"/>
        <w:tab w:val="left" w:pos="510" w:leader="none"/>
        <w:tab w:val="left" w:pos="907" w:leader="none"/>
        <w:tab w:val="decimal" w:pos="7257" w:leader="none"/>
        <w:tab w:val="decimal" w:pos="8391" w:leader="none"/>
      </w:tabs>
      <w:spacing w:before="0" w:after="0"/>
      <w:ind w:hanging="397" w:start="510" w:end="57"/>
    </w:pPr>
    <w:rPr>
      <w:rFonts w:ascii="Pragmatica" w:hAnsi="Pragmatica" w:cs="Pragmatica"/>
      <w:lang w:val="en-US"/>
    </w:rPr>
  </w:style>
  <w:style w:type="paragraph" w:styleId="03030">
    <w:name w:val="Таб030+30%"/>
    <w:basedOn w:val="030"/>
    <w:next w:val="030"/>
    <w:qFormat/>
    <w:pPr>
      <w:pBdr>
        <w:top w:val="single" w:sz="12" w:space="0" w:color="000000"/>
      </w:pBdr>
    </w:pPr>
    <w:rPr>
      <w:color w:val="000000"/>
    </w:rPr>
  </w:style>
  <w:style w:type="paragraph" w:styleId="03060">
    <w:name w:val="Таб030+60%"/>
    <w:basedOn w:val="030"/>
    <w:next w:val="030"/>
    <w:qFormat/>
    <w:pPr>
      <w:pBdr>
        <w:top w:val="single" w:sz="12" w:space="0" w:color="000000"/>
      </w:pBdr>
      <w:ind w:hanging="0" w:start="113" w:end="57"/>
    </w:pPr>
    <w:rPr>
      <w:b/>
      <w:color w:val="000000"/>
    </w:rPr>
  </w:style>
  <w:style w:type="paragraph" w:styleId="006304">
    <w:name w:val="Таб006+30%+4дн"/>
    <w:basedOn w:val="00630"/>
    <w:next w:val="00630"/>
    <w:qFormat/>
    <w:pPr>
      <w:tabs>
        <w:tab w:val="clear" w:pos="1956"/>
        <w:tab w:val="clear" w:pos="2976"/>
        <w:tab w:val="clear" w:pos="4082"/>
        <w:tab w:val="clear" w:pos="5131"/>
        <w:tab w:val="clear" w:pos="6293"/>
        <w:tab w:val="right" w:pos="2041" w:leader="none"/>
        <w:tab w:val="right" w:pos="3430" w:leader="none"/>
        <w:tab w:val="right" w:pos="4706" w:leader="none"/>
        <w:tab w:val="right" w:pos="6066" w:leader="none"/>
      </w:tabs>
    </w:pPr>
    <w:rPr/>
  </w:style>
  <w:style w:type="paragraph" w:styleId="0064">
    <w:name w:val="Таб006+4дн"/>
    <w:basedOn w:val="006"/>
    <w:next w:val="006"/>
    <w:qFormat/>
    <w:pPr>
      <w:tabs>
        <w:tab w:val="clear" w:pos="1956"/>
        <w:tab w:val="clear" w:pos="2976"/>
        <w:tab w:val="clear" w:pos="4082"/>
        <w:tab w:val="clear" w:pos="5131"/>
        <w:tab w:val="clear" w:pos="6293"/>
        <w:tab w:val="right" w:pos="2041" w:leader="none"/>
        <w:tab w:val="right" w:pos="3430" w:leader="none"/>
        <w:tab w:val="right" w:pos="4706" w:leader="none"/>
        <w:tab w:val="right" w:pos="6066" w:leader="none"/>
      </w:tabs>
    </w:pPr>
    <w:rPr/>
  </w:style>
  <w:style w:type="paragraph" w:styleId="0063014">
    <w:name w:val="Таб006+30%+1кол+4дн"/>
    <w:basedOn w:val="006301"/>
    <w:next w:val="006301"/>
    <w:qFormat/>
    <w:pPr>
      <w:tabs>
        <w:tab w:val="clear" w:pos="595"/>
        <w:tab w:val="clear" w:pos="1814"/>
        <w:tab w:val="clear" w:pos="2693"/>
        <w:tab w:val="clear" w:pos="3543"/>
        <w:tab w:val="clear" w:pos="4479"/>
        <w:tab w:val="clear" w:pos="5386"/>
        <w:tab w:val="clear" w:pos="6520"/>
        <w:tab w:val="right" w:pos="794" w:leader="none"/>
        <w:tab w:val="right" w:pos="1928" w:leader="none"/>
        <w:tab w:val="right" w:pos="3033" w:leader="none"/>
        <w:tab w:val="right" w:pos="4224" w:leader="none"/>
        <w:tab w:val="right" w:pos="5329" w:leader="none"/>
        <w:tab w:val="right" w:pos="6491" w:leader="none"/>
      </w:tabs>
    </w:pPr>
    <w:rPr>
      <w:lang w:val="ru-RU"/>
    </w:rPr>
  </w:style>
  <w:style w:type="paragraph" w:styleId="00614">
    <w:name w:val="Таб006+1кол+4дн"/>
    <w:basedOn w:val="0061"/>
    <w:next w:val="0061"/>
    <w:qFormat/>
    <w:pPr>
      <w:tabs>
        <w:tab w:val="clear" w:pos="595"/>
        <w:tab w:val="clear" w:pos="1814"/>
        <w:tab w:val="clear" w:pos="2693"/>
        <w:tab w:val="clear" w:pos="3543"/>
        <w:tab w:val="clear" w:pos="4479"/>
        <w:tab w:val="clear" w:pos="5386"/>
        <w:tab w:val="clear" w:pos="6520"/>
        <w:tab w:val="right" w:pos="794" w:leader="none"/>
        <w:tab w:val="right" w:pos="1928" w:leader="none"/>
        <w:tab w:val="right" w:pos="3033" w:leader="none"/>
        <w:tab w:val="right" w:pos="4224" w:leader="none"/>
        <w:tab w:val="right" w:pos="5329" w:leader="none"/>
        <w:tab w:val="right" w:pos="6491" w:leader="none"/>
      </w:tabs>
    </w:pPr>
    <w:rPr>
      <w:lang w:val="ru-RU"/>
    </w:rPr>
  </w:style>
  <w:style w:type="paragraph" w:styleId="0301">
    <w:name w:val="Таб030+загол"/>
    <w:basedOn w:val="Style25"/>
    <w:next w:val="Style25"/>
    <w:qFormat/>
    <w:pPr>
      <w:keepNext w:val="true"/>
      <w:tabs>
        <w:tab w:val="clear" w:pos="720"/>
        <w:tab w:val="center" w:pos="3402" w:leader="none"/>
        <w:tab w:val="center" w:pos="7228" w:leader="none"/>
        <w:tab w:val="center" w:pos="8220" w:leader="none"/>
      </w:tabs>
      <w:spacing w:before="0" w:after="0"/>
      <w:ind w:hanging="0" w:start="57" w:end="57"/>
    </w:pPr>
    <w:rPr>
      <w:rFonts w:ascii="Pragmatica" w:hAnsi="Pragmatica" w:cs="Pragmatica"/>
      <w:color w:val="000000"/>
    </w:rPr>
  </w:style>
  <w:style w:type="paragraph" w:styleId="015303">
    <w:name w:val="Таб015+30%+3стр"/>
    <w:basedOn w:val="01530"/>
    <w:next w:val="01530"/>
    <w:qFormat/>
    <w:pPr>
      <w:tabs>
        <w:tab w:val="clear" w:pos="1729"/>
        <w:tab w:val="left" w:pos="1587" w:leader="none"/>
      </w:tabs>
    </w:pPr>
    <w:rPr>
      <w:lang w:val="ru-RU"/>
    </w:rPr>
  </w:style>
  <w:style w:type="paragraph" w:styleId="015302">
    <w:name w:val="Таб015+30%+2стр"/>
    <w:basedOn w:val="01530"/>
    <w:next w:val="01530"/>
    <w:qFormat/>
    <w:pPr>
      <w:tabs>
        <w:tab w:val="clear" w:pos="1729"/>
        <w:tab w:val="left" w:pos="1587" w:leader="none"/>
      </w:tabs>
    </w:pPr>
    <w:rPr>
      <w:lang w:val="ru-RU"/>
    </w:rPr>
  </w:style>
  <w:style w:type="paragraph" w:styleId="034">
    <w:name w:val="Таб034"/>
    <w:basedOn w:val="Style25"/>
    <w:next w:val="Style25"/>
    <w:qFormat/>
    <w:pPr>
      <w:keepNext w:val="true"/>
      <w:tabs>
        <w:tab w:val="clear" w:pos="720"/>
        <w:tab w:val="decimal" w:pos="3572" w:leader="none"/>
        <w:tab w:val="decimal" w:pos="4706" w:leader="none"/>
        <w:tab w:val="decimal" w:pos="5839" w:leader="none"/>
        <w:tab w:val="decimal" w:pos="6973" w:leader="none"/>
        <w:tab w:val="decimal" w:pos="8107" w:leader="none"/>
      </w:tabs>
      <w:spacing w:before="0" w:after="0"/>
      <w:ind w:hanging="0" w:start="57" w:end="57"/>
    </w:pPr>
    <w:rPr>
      <w:rFonts w:ascii="Pragmatica" w:hAnsi="Pragmatica" w:cs="Pragmatica"/>
      <w:color w:val="000000"/>
    </w:rPr>
  </w:style>
  <w:style w:type="paragraph" w:styleId="03430">
    <w:name w:val="Таб034+30%"/>
    <w:basedOn w:val="034"/>
    <w:next w:val="034"/>
    <w:qFormat/>
    <w:pPr>
      <w:pBdr>
        <w:top w:val="single" w:sz="12" w:space="0" w:color="000000"/>
      </w:pBdr>
    </w:pPr>
    <w:rPr/>
  </w:style>
  <w:style w:type="paragraph" w:styleId="018-60">
    <w:name w:val="Таб018-60%"/>
    <w:basedOn w:val="Style25"/>
    <w:next w:val="Style25"/>
    <w:qFormat/>
    <w:pPr>
      <w:keepNext w:val="true"/>
      <w:pBdr>
        <w:top w:val="single" w:sz="12" w:space="0" w:color="000000"/>
      </w:pBdr>
      <w:tabs>
        <w:tab w:val="clear" w:pos="720"/>
        <w:tab w:val="center" w:pos="850" w:leader="none"/>
        <w:tab w:val="center" w:pos="2551" w:leader="none"/>
        <w:tab w:val="center" w:pos="4252" w:leader="none"/>
      </w:tabs>
      <w:spacing w:before="0" w:after="227"/>
      <w:ind w:hanging="0" w:start="57" w:end="57"/>
    </w:pPr>
    <w:rPr>
      <w:rFonts w:ascii="Pragmatica" w:hAnsi="Pragmatica" w:cs="Pragmatica"/>
      <w:color w:val="000000"/>
    </w:rPr>
  </w:style>
  <w:style w:type="paragraph" w:styleId="31">
    <w:name w:val="Таб31"/>
    <w:basedOn w:val="Style25"/>
    <w:next w:val="Style25"/>
    <w:qFormat/>
    <w:pPr>
      <w:keepNext w:val="true"/>
      <w:tabs>
        <w:tab w:val="clear" w:pos="720"/>
        <w:tab w:val="right" w:pos="1134" w:leader="none"/>
        <w:tab w:val="decimal" w:pos="2494" w:leader="none"/>
        <w:tab w:val="decimal" w:pos="3628" w:leader="none"/>
        <w:tab w:val="decimal" w:pos="4706" w:leader="none"/>
        <w:tab w:val="decimal" w:pos="5839" w:leader="none"/>
        <w:tab w:val="decimal" w:pos="7030" w:leader="none"/>
        <w:tab w:val="decimal" w:pos="8164" w:leader="none"/>
      </w:tabs>
      <w:spacing w:before="0" w:after="0"/>
      <w:ind w:hanging="0" w:start="57" w:end="57"/>
    </w:pPr>
    <w:rPr>
      <w:rFonts w:ascii="Pragmatica" w:hAnsi="Pragmatica" w:cs="Pragmatica"/>
      <w:color w:val="000000"/>
    </w:rPr>
  </w:style>
  <w:style w:type="paragraph" w:styleId="3130">
    <w:name w:val="Таб31+30%"/>
    <w:basedOn w:val="31"/>
    <w:next w:val="31"/>
    <w:qFormat/>
    <w:pPr>
      <w:pBdr>
        <w:top w:val="single" w:sz="12" w:space="0" w:color="000000"/>
      </w:pBdr>
    </w:pPr>
    <w:rPr/>
  </w:style>
  <w:style w:type="paragraph" w:styleId="MainText">
    <w:name w:val="MainText"/>
    <w:qFormat/>
    <w:pPr>
      <w:widowControl/>
      <w:overflowPunct w:val="false"/>
      <w:autoSpaceDE w:val="false"/>
      <w:bidi w:val="0"/>
      <w:ind w:firstLine="567" w:start="0" w:end="0"/>
      <w:jc w:val="both"/>
      <w:textAlignment w:val="baseline"/>
    </w:pPr>
    <w:rPr>
      <w:rFonts w:ascii="PragmaticaC" w:hAnsi="PragmaticaC" w:eastAsia="Times New Roman" w:cs="PragmaticaC"/>
      <w:color w:val="000000"/>
      <w:sz w:val="19"/>
      <w:szCs w:val="20"/>
      <w:lang w:val="en-US" w:bidi="ar-SA" w:eastAsia="zh-CN"/>
    </w:rPr>
  </w:style>
  <w:style w:type="paragraph" w:styleId="Data">
    <w:name w:val="Data"/>
    <w:basedOn w:val="MainText"/>
    <w:qFormat/>
    <w:pPr>
      <w:tabs>
        <w:tab w:val="clear" w:pos="720"/>
        <w:tab w:val="right" w:pos="8787" w:leader="none"/>
      </w:tabs>
      <w:spacing w:before="57" w:after="0"/>
      <w:ind w:hanging="0" w:start="0" w:end="0"/>
      <w:jc w:val="start"/>
    </w:pPr>
    <w:rPr/>
  </w:style>
  <w:style w:type="paragraph" w:styleId="Podpis">
    <w:name w:val="Podpis"/>
    <w:basedOn w:val="MainText"/>
    <w:qFormat/>
    <w:pPr>
      <w:tabs>
        <w:tab w:val="clear" w:pos="720"/>
        <w:tab w:val="right" w:pos="4195" w:leader="none"/>
      </w:tabs>
      <w:spacing w:before="180" w:after="0"/>
      <w:ind w:hanging="0" w:start="567" w:end="0"/>
      <w:jc w:val="start"/>
    </w:pPr>
    <w:rPr>
      <w:caps/>
    </w:rPr>
  </w:style>
  <w:style w:type="paragraph" w:styleId="Prikaz">
    <w:name w:val="Prikaz"/>
    <w:basedOn w:val="MainText"/>
    <w:qFormat/>
    <w:pPr>
      <w:spacing w:before="113" w:after="0"/>
      <w:ind w:hanging="0" w:start="0" w:end="0"/>
      <w:jc w:val="end"/>
    </w:pPr>
    <w:rPr/>
  </w:style>
  <w:style w:type="paragraph" w:styleId="Zagolovok">
    <w:name w:val="Zagolovok"/>
    <w:qFormat/>
    <w:pPr>
      <w:widowControl/>
      <w:overflowPunct w:val="false"/>
      <w:autoSpaceDE w:val="false"/>
      <w:bidi w:val="0"/>
      <w:spacing w:before="170" w:after="227"/>
      <w:textAlignment w:val="baseline"/>
    </w:pPr>
    <w:rPr>
      <w:rFonts w:ascii="PragmaticaCondC" w:hAnsi="PragmaticaCondC" w:eastAsia="Times New Roman" w:cs="PragmaticaCondC"/>
      <w:b/>
      <w:color w:val="0000FF"/>
      <w:sz w:val="24"/>
      <w:szCs w:val="20"/>
      <w:lang w:val="en-US" w:bidi="ar-SA" w:eastAsia="zh-CN"/>
    </w:rPr>
  </w:style>
  <w:style w:type="paragraph" w:styleId="Tablica">
    <w:name w:val="Tablica"/>
    <w:basedOn w:val="MainText"/>
    <w:qFormat/>
    <w:pPr>
      <w:keepNext w:val="true"/>
      <w:keepLines/>
      <w:ind w:hanging="0" w:start="57" w:end="57"/>
      <w:jc w:val="start"/>
    </w:pPr>
    <w:rPr>
      <w:sz w:val="18"/>
    </w:rPr>
  </w:style>
  <w:style w:type="paragraph" w:styleId="ListBullet">
    <w:name w:val="List Bullet"/>
    <w:basedOn w:val="Normal"/>
    <w:qFormat/>
    <w:pPr>
      <w:numPr>
        <w:ilvl w:val="0"/>
        <w:numId w:val="2"/>
      </w:numPr>
      <w:ind w:hanging="283" w:start="283" w:end="0"/>
    </w:pPr>
    <w:rPr/>
  </w:style>
  <w:style w:type="paragraph" w:styleId="Glavnyi">
    <w:name w:val="Glavnyi"/>
    <w:basedOn w:val="Zagolovok"/>
    <w:next w:val="MainText"/>
    <w:qFormat/>
    <w:pPr>
      <w:spacing w:before="170" w:after="0"/>
    </w:pPr>
    <w:rPr>
      <w:rFonts w:ascii="AGOpus" w:hAnsi="AGOpus" w:cs="AGOpus"/>
      <w:b w:val="false"/>
      <w:color w:val="000000"/>
      <w:sz w:val="36"/>
    </w:rPr>
  </w:style>
  <w:style w:type="paragraph" w:styleId="Spisok-Telo">
    <w:name w:val="Spisok-Telo"/>
    <w:basedOn w:val="Normal"/>
    <w:next w:val="Normal"/>
    <w:qFormat/>
    <w:pPr>
      <w:keepNext w:val="true"/>
      <w:keepLines/>
      <w:tabs>
        <w:tab w:val="clear" w:pos="720"/>
        <w:tab w:val="right" w:pos="8504" w:leader="none"/>
      </w:tabs>
      <w:spacing w:before="0" w:after="227"/>
      <w:ind w:hanging="0" w:start="57" w:end="57"/>
    </w:pPr>
    <w:rPr>
      <w:rFonts w:ascii="PragmaticaC" w:hAnsi="PragmaticaC" w:cs="PragmaticaC"/>
      <w:color w:val="000000"/>
      <w:sz w:val="18"/>
      <w:lang w:val="en-US"/>
    </w:rPr>
  </w:style>
  <w:style w:type="paragraph" w:styleId="ZenBum">
    <w:name w:val="ZenBum"/>
    <w:basedOn w:val="Spisok-Telo"/>
    <w:next w:val="Spisok-Telo"/>
    <w:qFormat/>
    <w:pPr>
      <w:pBdr>
        <w:bottom w:val="single" w:sz="2" w:space="0" w:color="000000"/>
      </w:pBdr>
      <w:spacing w:before="85" w:after="28"/>
      <w:ind w:hanging="0" w:start="227" w:end="57"/>
    </w:pPr>
    <w:rPr/>
  </w:style>
  <w:style w:type="paragraph" w:styleId="Spisok">
    <w:name w:val="Spisok"/>
    <w:basedOn w:val="Tablica"/>
    <w:next w:val="Tablica"/>
    <w:qFormat/>
    <w:pPr>
      <w:tabs>
        <w:tab w:val="clear" w:pos="720"/>
        <w:tab w:val="center" w:pos="3969" w:leader="none"/>
        <w:tab w:val="right" w:pos="8674" w:leader="none"/>
      </w:tabs>
      <w:spacing w:before="0" w:after="227"/>
    </w:pPr>
    <w:rPr/>
  </w:style>
  <w:style w:type="paragraph" w:styleId="Snoska">
    <w:name w:val="Snoska"/>
    <w:basedOn w:val="MainText"/>
    <w:next w:val="Tablica"/>
    <w:qFormat/>
    <w:pPr>
      <w:tabs>
        <w:tab w:val="clear" w:pos="720"/>
        <w:tab w:val="left" w:pos="567" w:leader="none"/>
      </w:tabs>
      <w:spacing w:before="113" w:after="0"/>
      <w:ind w:hanging="0" w:start="0" w:end="0"/>
    </w:pPr>
    <w:rPr>
      <w:rFonts w:ascii="PragmaticaCondC" w:hAnsi="PragmaticaCondC" w:cs="PragmaticaCondC"/>
      <w:sz w:val="18"/>
    </w:rPr>
  </w:style>
  <w:style w:type="paragraph" w:styleId="DepozitnieOperacii">
    <w:name w:val="DepozitnieOperacii"/>
    <w:basedOn w:val="Tablica"/>
    <w:next w:val="Tablica"/>
    <w:qFormat/>
    <w:pPr>
      <w:tabs>
        <w:tab w:val="clear" w:pos="720"/>
        <w:tab w:val="right" w:pos="907" w:leader="none"/>
        <w:tab w:val="left" w:pos="1417" w:leader="none"/>
        <w:tab w:val="right" w:pos="5726" w:leader="none"/>
        <w:tab w:val="left" w:pos="7427" w:leader="none"/>
      </w:tabs>
      <w:spacing w:before="113" w:after="0"/>
    </w:pPr>
    <w:rPr/>
  </w:style>
  <w:style w:type="paragraph" w:styleId="Tab006">
    <w:name w:val="Tab006"/>
    <w:basedOn w:val="Tablica"/>
    <w:next w:val="Tab00630"/>
    <w:qFormat/>
    <w:pPr>
      <w:tabs>
        <w:tab w:val="clear" w:pos="720"/>
        <w:tab w:val="right" w:pos="794" w:leader="none"/>
        <w:tab w:val="right" w:pos="1956" w:leader="none"/>
        <w:tab w:val="right" w:pos="2976" w:leader="none"/>
        <w:tab w:val="right" w:pos="4082" w:leader="none"/>
        <w:tab w:val="right" w:pos="5131" w:leader="none"/>
        <w:tab w:val="right" w:pos="6293" w:leader="none"/>
        <w:tab w:val="right" w:pos="7398" w:leader="none"/>
        <w:tab w:val="decimal" w:pos="8192" w:leader="none"/>
      </w:tabs>
      <w:ind w:hanging="0" w:start="57" w:end="0"/>
    </w:pPr>
    <w:rPr/>
  </w:style>
  <w:style w:type="paragraph" w:styleId="Tab00630">
    <w:name w:val="Tab006+30%"/>
    <w:basedOn w:val="Tab006"/>
    <w:next w:val="Tab006"/>
    <w:qFormat/>
    <w:pPr>
      <w:pBdr>
        <w:top w:val="single" w:sz="12" w:space="0" w:color="000000"/>
      </w:pBdr>
    </w:pPr>
    <w:rPr/>
  </w:style>
  <w:style w:type="paragraph" w:styleId="Tab0061kol">
    <w:name w:val="Tab006+1kol"/>
    <w:basedOn w:val="Tab006"/>
    <w:next w:val="Tab006"/>
    <w:qFormat/>
    <w:pPr>
      <w:tabs>
        <w:tab w:val="clear" w:pos="1956"/>
        <w:tab w:val="clear" w:pos="2976"/>
        <w:tab w:val="clear" w:pos="4082"/>
        <w:tab w:val="clear" w:pos="5131"/>
        <w:tab w:val="clear" w:pos="6293"/>
        <w:tab w:val="clear" w:pos="7398"/>
        <w:tab w:val="clear" w:pos="8192"/>
        <w:tab w:val="right" w:pos="1814" w:leader="none"/>
        <w:tab w:val="right" w:pos="2693" w:leader="none"/>
        <w:tab w:val="right" w:pos="3543" w:leader="none"/>
        <w:tab w:val="right" w:pos="4479" w:leader="none"/>
        <w:tab w:val="right" w:pos="5386" w:leader="none"/>
        <w:tab w:val="right" w:pos="6520" w:leader="none"/>
        <w:tab w:val="decimal" w:pos="7370" w:leader="none"/>
        <w:tab w:val="decimal" w:pos="8334" w:leader="none"/>
      </w:tabs>
    </w:pPr>
    <w:rPr/>
  </w:style>
  <w:style w:type="paragraph" w:styleId="Tab006301kol">
    <w:name w:val="Tab006+30%+1kol"/>
    <w:basedOn w:val="Tab0061kol"/>
    <w:next w:val="Tab0061kol"/>
    <w:qFormat/>
    <w:pPr>
      <w:pBdr>
        <w:top w:val="single" w:sz="12" w:space="0" w:color="000000"/>
      </w:pBdr>
    </w:pPr>
    <w:rPr/>
  </w:style>
  <w:style w:type="paragraph" w:styleId="Tab034">
    <w:name w:val="Tab034"/>
    <w:basedOn w:val="Tablica"/>
    <w:next w:val="Tablica"/>
    <w:qFormat/>
    <w:pPr>
      <w:tabs>
        <w:tab w:val="clear" w:pos="720"/>
        <w:tab w:val="decimal" w:pos="3572" w:leader="none"/>
        <w:tab w:val="decimal" w:pos="4706" w:leader="none"/>
        <w:tab w:val="decimal" w:pos="5839" w:leader="none"/>
        <w:tab w:val="decimal" w:pos="6973" w:leader="none"/>
        <w:tab w:val="decimal" w:pos="8107" w:leader="none"/>
      </w:tabs>
    </w:pPr>
    <w:rPr/>
  </w:style>
  <w:style w:type="paragraph" w:styleId="Tab03430">
    <w:name w:val="Tab034+30%"/>
    <w:basedOn w:val="Tab034"/>
    <w:next w:val="Tab034"/>
    <w:qFormat/>
    <w:pPr>
      <w:pBdr>
        <w:top w:val="single" w:sz="12" w:space="0" w:color="000000"/>
      </w:pBdr>
    </w:pPr>
    <w:rPr/>
  </w:style>
  <w:style w:type="paragraph" w:styleId="TabValuti">
    <w:name w:val="TabValuti"/>
    <w:basedOn w:val="Tab034"/>
    <w:next w:val="Tab034"/>
    <w:qFormat/>
    <w:pPr>
      <w:tabs>
        <w:tab w:val="clear" w:pos="3572"/>
        <w:tab w:val="clear" w:pos="4706"/>
        <w:tab w:val="clear" w:pos="5839"/>
        <w:tab w:val="clear" w:pos="6973"/>
        <w:tab w:val="clear" w:pos="8107"/>
        <w:tab w:val="decimal" w:pos="3685" w:leader="none"/>
        <w:tab w:val="left" w:pos="4592" w:leader="none"/>
        <w:tab w:val="decimal" w:pos="8220" w:leader="none"/>
      </w:tabs>
    </w:pPr>
    <w:rPr/>
  </w:style>
  <w:style w:type="paragraph" w:styleId="Tab010">
    <w:name w:val="Tab010"/>
    <w:basedOn w:val="Tablica"/>
    <w:next w:val="Tablica"/>
    <w:qFormat/>
    <w:pPr>
      <w:tabs>
        <w:tab w:val="clear" w:pos="720"/>
        <w:tab w:val="right" w:pos="907" w:leader="none"/>
        <w:tab w:val="decimal" w:pos="1531" w:leader="none"/>
        <w:tab w:val="decimal" w:pos="2778" w:leader="none"/>
        <w:tab w:val="decimal" w:pos="4139" w:leader="none"/>
        <w:tab w:val="decimal" w:pos="5499" w:leader="none"/>
        <w:tab w:val="decimal" w:pos="6860" w:leader="none"/>
        <w:tab w:val="decimal" w:pos="8277" w:leader="none"/>
      </w:tabs>
      <w:ind w:hanging="0" w:start="113" w:end="57"/>
    </w:pPr>
    <w:rPr/>
  </w:style>
  <w:style w:type="paragraph" w:styleId="Tab01030">
    <w:name w:val="Tab010+30%"/>
    <w:basedOn w:val="Tab010"/>
    <w:next w:val="Tab010"/>
    <w:qFormat/>
    <w:pPr>
      <w:pBdr>
        <w:top w:val="single" w:sz="12" w:space="0" w:color="000000"/>
      </w:pBdr>
    </w:pPr>
    <w:rPr/>
  </w:style>
  <w:style w:type="paragraph" w:styleId="Tab009">
    <w:name w:val="Tab009"/>
    <w:basedOn w:val="Tablica"/>
    <w:next w:val="Tablica"/>
    <w:qFormat/>
    <w:pPr>
      <w:tabs>
        <w:tab w:val="clear" w:pos="720"/>
        <w:tab w:val="decimal" w:pos="2494" w:leader="none"/>
        <w:tab w:val="decimal" w:pos="3628" w:leader="none"/>
        <w:tab w:val="decimal" w:pos="4876" w:leader="none"/>
        <w:tab w:val="decimal" w:pos="6123" w:leader="none"/>
        <w:tab w:val="decimal" w:pos="7483" w:leader="none"/>
        <w:tab w:val="center" w:pos="8617" w:leader="none"/>
      </w:tabs>
      <w:ind w:hanging="0" w:start="227" w:end="57"/>
    </w:pPr>
    <w:rPr/>
  </w:style>
  <w:style w:type="paragraph" w:styleId="Tab00930">
    <w:name w:val="Tab009+30%"/>
    <w:basedOn w:val="Tab009"/>
    <w:next w:val="Tab009"/>
    <w:qFormat/>
    <w:pPr>
      <w:pBdr>
        <w:top w:val="single" w:sz="12" w:space="0" w:color="000000"/>
      </w:pBdr>
    </w:pPr>
    <w:rPr>
      <w:color w:val="000000"/>
    </w:rPr>
  </w:style>
  <w:style w:type="paragraph" w:styleId="Tab01060">
    <w:name w:val="Tab010+60%"/>
    <w:basedOn w:val="Tab010"/>
    <w:next w:val="Tab010"/>
    <w:qFormat/>
    <w:pPr>
      <w:pBdr>
        <w:top w:val="single" w:sz="12" w:space="0" w:color="000000"/>
      </w:pBdr>
      <w:ind w:hanging="0" w:start="0" w:end="57"/>
      <w:jc w:val="center"/>
    </w:pPr>
    <w:rPr/>
  </w:style>
  <w:style w:type="paragraph" w:styleId="Tab018">
    <w:name w:val="Tab018"/>
    <w:basedOn w:val="Tablica"/>
    <w:next w:val="Tablica"/>
    <w:qFormat/>
    <w:pPr>
      <w:tabs>
        <w:tab w:val="clear" w:pos="720"/>
        <w:tab w:val="right" w:pos="1304" w:leader="none"/>
        <w:tab w:val="decimal" w:pos="2438" w:leader="none"/>
        <w:tab w:val="decimal" w:pos="4139" w:leader="none"/>
      </w:tabs>
    </w:pPr>
    <w:rPr/>
  </w:style>
  <w:style w:type="paragraph" w:styleId="Tab01830">
    <w:name w:val="Tab018+30%"/>
    <w:basedOn w:val="Tab018"/>
    <w:next w:val="Tab018"/>
    <w:qFormat/>
    <w:pPr>
      <w:pBdr>
        <w:top w:val="single" w:sz="12" w:space="0" w:color="000000"/>
      </w:pBdr>
    </w:pPr>
    <w:rPr/>
  </w:style>
  <w:style w:type="paragraph" w:styleId="Tab31">
    <w:name w:val="Tab31"/>
    <w:basedOn w:val="Tablica"/>
    <w:next w:val="Tablica"/>
    <w:qFormat/>
    <w:pPr>
      <w:tabs>
        <w:tab w:val="clear" w:pos="720"/>
        <w:tab w:val="right" w:pos="1134" w:leader="none"/>
        <w:tab w:val="decimal" w:pos="2494" w:leader="none"/>
        <w:tab w:val="decimal" w:pos="3628" w:leader="none"/>
        <w:tab w:val="decimal" w:pos="4706" w:leader="none"/>
        <w:tab w:val="decimal" w:pos="5839" w:leader="none"/>
        <w:tab w:val="decimal" w:pos="7030" w:leader="none"/>
        <w:tab w:val="decimal" w:pos="8164" w:leader="none"/>
      </w:tabs>
    </w:pPr>
    <w:rPr/>
  </w:style>
  <w:style w:type="paragraph" w:styleId="Tab3130">
    <w:name w:val="Tab31+30%"/>
    <w:basedOn w:val="Tab31"/>
    <w:next w:val="Tab31"/>
    <w:qFormat/>
    <w:pPr>
      <w:pBdr>
        <w:top w:val="single" w:sz="12" w:space="0" w:color="000000"/>
      </w:pBdr>
    </w:pPr>
    <w:rPr/>
  </w:style>
  <w:style w:type="paragraph" w:styleId="Tab012">
    <w:name w:val="Tab012"/>
    <w:basedOn w:val="Tablica"/>
    <w:next w:val="Tablica"/>
    <w:qFormat/>
    <w:pPr>
      <w:tabs>
        <w:tab w:val="clear" w:pos="720"/>
        <w:tab w:val="right" w:pos="794" w:leader="none"/>
        <w:tab w:val="right" w:pos="1786" w:leader="none"/>
        <w:tab w:val="decimal" w:pos="2324" w:leader="none"/>
        <w:tab w:val="decimal" w:pos="3543" w:leader="none"/>
        <w:tab w:val="decimal" w:pos="4337" w:leader="none"/>
        <w:tab w:val="decimal" w:pos="5046" w:leader="none"/>
        <w:tab w:val="decimal" w:pos="6094" w:leader="none"/>
        <w:tab w:val="decimal" w:pos="7398" w:leader="none"/>
        <w:tab w:val="center" w:pos="8334" w:leader="none"/>
      </w:tabs>
      <w:ind w:hanging="0" w:start="0" w:end="0"/>
    </w:pPr>
    <w:rPr/>
  </w:style>
  <w:style w:type="paragraph" w:styleId="Tab01260">
    <w:name w:val="Tab012+60%"/>
    <w:basedOn w:val="Tab012"/>
    <w:next w:val="Tab012"/>
    <w:qFormat/>
    <w:pPr>
      <w:pBdr>
        <w:top w:val="single" w:sz="12" w:space="0" w:color="000000"/>
      </w:pBdr>
      <w:tabs>
        <w:tab w:val="clear" w:pos="794"/>
        <w:tab w:val="right" w:pos="907" w:leader="none"/>
      </w:tabs>
    </w:pPr>
    <w:rPr/>
  </w:style>
  <w:style w:type="paragraph" w:styleId="Tab012x">
    <w:name w:val="Tab012x"/>
    <w:basedOn w:val="Tab012"/>
    <w:next w:val="Tab012"/>
    <w:qFormat/>
    <w:pPr>
      <w:tabs>
        <w:tab w:val="clear" w:pos="1786"/>
        <w:tab w:val="clear" w:pos="2324"/>
        <w:tab w:val="clear" w:pos="3543"/>
        <w:tab w:val="clear" w:pos="4337"/>
        <w:tab w:val="clear" w:pos="5046"/>
        <w:tab w:val="clear" w:pos="6094"/>
        <w:tab w:val="clear" w:pos="7398"/>
        <w:tab w:val="clear" w:pos="8334"/>
        <w:tab w:val="right" w:pos="1729" w:leader="none"/>
        <w:tab w:val="decimal" w:pos="2381" w:leader="none"/>
        <w:tab w:val="decimal" w:pos="3600" w:leader="none"/>
        <w:tab w:val="decimal" w:pos="4394" w:leader="none"/>
        <w:tab w:val="decimal" w:pos="5074" w:leader="none"/>
        <w:tab w:val="decimal" w:pos="5896" w:leader="none"/>
        <w:tab w:val="decimal" w:pos="7058" w:leader="none"/>
        <w:tab w:val="center" w:pos="8164" w:leader="none"/>
      </w:tabs>
    </w:pPr>
    <w:rPr/>
  </w:style>
  <w:style w:type="paragraph" w:styleId="Tab012x60">
    <w:name w:val="Tab012x+60%"/>
    <w:basedOn w:val="Tab012x"/>
    <w:next w:val="Tab01260"/>
    <w:qFormat/>
    <w:pPr>
      <w:pBdr>
        <w:top w:val="single" w:sz="12" w:space="0" w:color="000000"/>
      </w:pBdr>
      <w:tabs>
        <w:tab w:val="clear" w:pos="794"/>
        <w:tab w:val="right" w:pos="737" w:leader="none"/>
        <w:tab w:val="decimal" w:pos="1729" w:leader="none"/>
      </w:tabs>
    </w:pPr>
    <w:rPr/>
  </w:style>
  <w:style w:type="paragraph" w:styleId="Tab013">
    <w:name w:val="Tab013"/>
    <w:basedOn w:val="Tablica"/>
    <w:next w:val="Tablica"/>
    <w:qFormat/>
    <w:pPr>
      <w:tabs>
        <w:tab w:val="clear" w:pos="720"/>
        <w:tab w:val="right" w:pos="2948" w:leader="none"/>
        <w:tab w:val="decimal" w:pos="4564" w:leader="none"/>
        <w:tab w:val="decimal" w:pos="6208" w:leader="none"/>
        <w:tab w:val="decimal" w:pos="8249" w:leader="none"/>
      </w:tabs>
      <w:ind w:hanging="0" w:start="454" w:end="57"/>
    </w:pPr>
    <w:rPr/>
  </w:style>
  <w:style w:type="paragraph" w:styleId="Tab01330">
    <w:name w:val="Tab013+30%"/>
    <w:basedOn w:val="Tab013"/>
    <w:next w:val="Tab013"/>
    <w:qFormat/>
    <w:pPr>
      <w:pBdr>
        <w:top w:val="single" w:sz="12" w:space="0" w:color="000000"/>
      </w:pBdr>
    </w:pPr>
    <w:rPr/>
  </w:style>
  <w:style w:type="paragraph" w:styleId="Tab014">
    <w:name w:val="Tab014"/>
    <w:basedOn w:val="Tablica"/>
    <w:next w:val="Tablica"/>
    <w:qFormat/>
    <w:pPr>
      <w:tabs>
        <w:tab w:val="clear" w:pos="720"/>
        <w:tab w:val="right" w:pos="709" w:leader="none"/>
        <w:tab w:val="right" w:pos="1786" w:leader="none"/>
        <w:tab w:val="right" w:pos="2778" w:leader="none"/>
        <w:tab w:val="right" w:pos="3402" w:leader="none"/>
        <w:tab w:val="right" w:pos="4224" w:leader="none"/>
        <w:tab w:val="right" w:pos="5216" w:leader="none"/>
        <w:tab w:val="right" w:pos="6321" w:leader="none"/>
        <w:tab w:val="right" w:pos="7597" w:leader="none"/>
        <w:tab w:val="right" w:pos="8646" w:leader="none"/>
      </w:tabs>
      <w:ind w:hanging="0" w:start="57" w:end="1"/>
    </w:pPr>
    <w:rPr/>
  </w:style>
  <w:style w:type="paragraph" w:styleId="Tab01430">
    <w:name w:val="Tab014+30%"/>
    <w:basedOn w:val="Tab014"/>
    <w:next w:val="Tab014"/>
    <w:qFormat/>
    <w:pPr>
      <w:pBdr>
        <w:top w:val="single" w:sz="12" w:space="0" w:color="000000"/>
      </w:pBdr>
      <w:ind w:hanging="0" w:start="57" w:end="0"/>
    </w:pPr>
    <w:rPr/>
  </w:style>
  <w:style w:type="paragraph" w:styleId="Tab019">
    <w:name w:val="Tab019"/>
    <w:basedOn w:val="Tablica"/>
    <w:next w:val="Tablica"/>
    <w:qFormat/>
    <w:pPr>
      <w:tabs>
        <w:tab w:val="clear" w:pos="720"/>
        <w:tab w:val="right" w:pos="1077" w:leader="none"/>
        <w:tab w:val="decimal" w:pos="2324" w:leader="none"/>
        <w:tab w:val="decimal" w:pos="3402" w:leader="none"/>
        <w:tab w:val="decimal" w:pos="4365" w:leader="none"/>
        <w:tab w:val="decimal" w:pos="5726" w:leader="none"/>
        <w:tab w:val="right" w:pos="8022" w:leader="none"/>
      </w:tabs>
    </w:pPr>
    <w:rPr/>
  </w:style>
  <w:style w:type="paragraph" w:styleId="Tab01960">
    <w:name w:val="Tab019+60%"/>
    <w:basedOn w:val="Tab019"/>
    <w:next w:val="Tab019"/>
    <w:qFormat/>
    <w:pPr>
      <w:pBdr>
        <w:top w:val="single" w:sz="12" w:space="0" w:color="000000"/>
      </w:pBdr>
      <w:jc w:val="center"/>
    </w:pPr>
    <w:rPr/>
  </w:style>
  <w:style w:type="paragraph" w:styleId="Tab01930">
    <w:name w:val="Tab019+30%"/>
    <w:basedOn w:val="Tab019"/>
    <w:next w:val="Tab019"/>
    <w:qFormat/>
    <w:pPr>
      <w:pBdr>
        <w:top w:val="single" w:sz="12" w:space="0" w:color="000000"/>
      </w:pBdr>
    </w:pPr>
    <w:rPr>
      <w:color w:val="000000"/>
    </w:rPr>
  </w:style>
  <w:style w:type="paragraph" w:styleId="Tab015">
    <w:name w:val="Tab015"/>
    <w:basedOn w:val="Tablica"/>
    <w:next w:val="Tablica"/>
    <w:qFormat/>
    <w:pPr>
      <w:tabs>
        <w:tab w:val="clear" w:pos="720"/>
        <w:tab w:val="left" w:pos="1587" w:leader="none"/>
        <w:tab w:val="decimal" w:pos="4224" w:leader="none"/>
        <w:tab w:val="decimal" w:pos="5556" w:leader="none"/>
        <w:tab w:val="decimal" w:pos="6917" w:leader="none"/>
        <w:tab w:val="decimal" w:pos="8249" w:leader="none"/>
      </w:tabs>
      <w:ind w:hanging="0" w:start="113" w:end="57"/>
    </w:pPr>
    <w:rPr/>
  </w:style>
  <w:style w:type="paragraph" w:styleId="Tab01530">
    <w:name w:val="Tab015+30%"/>
    <w:basedOn w:val="Tab015"/>
    <w:next w:val="Tab015"/>
    <w:qFormat/>
    <w:pPr>
      <w:pBdr>
        <w:top w:val="single" w:sz="12" w:space="0" w:color="000000"/>
      </w:pBdr>
    </w:pPr>
    <w:rPr/>
  </w:style>
  <w:style w:type="paragraph" w:styleId="Tab015302">
    <w:name w:val="Tab015+30%+2"/>
    <w:basedOn w:val="Tab01530"/>
    <w:next w:val="Tab01530"/>
    <w:qFormat/>
    <w:pPr/>
    <w:rPr/>
  </w:style>
  <w:style w:type="paragraph" w:styleId="Tab015shapka">
    <w:name w:val="Tab015+shapka"/>
    <w:basedOn w:val="Tab015"/>
    <w:next w:val="Tab015"/>
    <w:qFormat/>
    <w:pPr>
      <w:tabs>
        <w:tab w:val="clear" w:pos="1587"/>
        <w:tab w:val="clear" w:pos="4224"/>
        <w:tab w:val="clear" w:pos="5556"/>
        <w:tab w:val="clear" w:pos="6917"/>
        <w:tab w:val="clear" w:pos="8249"/>
        <w:tab w:val="left" w:pos="1729" w:leader="none"/>
        <w:tab w:val="center" w:pos="4252" w:leader="none"/>
        <w:tab w:val="center" w:pos="5613" w:leader="none"/>
        <w:tab w:val="center" w:pos="6973" w:leader="none"/>
        <w:tab w:val="center" w:pos="8277" w:leader="none"/>
      </w:tabs>
      <w:spacing w:before="0" w:after="113"/>
    </w:pPr>
    <w:rPr/>
  </w:style>
  <w:style w:type="paragraph" w:styleId="Tab016-shapka">
    <w:name w:val="Tab016-shapka"/>
    <w:basedOn w:val="Tablica"/>
    <w:next w:val="Tablica"/>
    <w:qFormat/>
    <w:pPr>
      <w:tabs>
        <w:tab w:val="clear" w:pos="720"/>
        <w:tab w:val="center" w:pos="4394" w:leader="none"/>
        <w:tab w:val="center" w:pos="5754" w:leader="none"/>
        <w:tab w:val="center" w:pos="7002" w:leader="none"/>
        <w:tab w:val="center" w:pos="8164" w:leader="none"/>
      </w:tabs>
      <w:spacing w:before="0" w:after="142"/>
    </w:pPr>
    <w:rPr/>
  </w:style>
  <w:style w:type="paragraph" w:styleId="Tab016">
    <w:name w:val="Tab016"/>
    <w:basedOn w:val="Tablica"/>
    <w:next w:val="Tablica"/>
    <w:qFormat/>
    <w:pPr>
      <w:tabs>
        <w:tab w:val="clear" w:pos="720"/>
        <w:tab w:val="left" w:pos="1389" w:leader="none"/>
        <w:tab w:val="decimal" w:pos="4025" w:leader="none"/>
        <w:tab w:val="decimal" w:pos="5272" w:leader="none"/>
        <w:tab w:val="decimal" w:pos="6576" w:leader="none"/>
        <w:tab w:val="decimal" w:pos="7994" w:leader="none"/>
      </w:tabs>
    </w:pPr>
    <w:rPr/>
  </w:style>
  <w:style w:type="paragraph" w:styleId="Tab01630">
    <w:name w:val="Tab016+30%"/>
    <w:basedOn w:val="Tab016"/>
    <w:next w:val="Tab016"/>
    <w:qFormat/>
    <w:pPr>
      <w:pBdr>
        <w:top w:val="single" w:sz="12" w:space="0" w:color="000000"/>
      </w:pBdr>
    </w:pPr>
    <w:rPr>
      <w:color w:val="000000"/>
    </w:rPr>
  </w:style>
  <w:style w:type="paragraph" w:styleId="Tab01660">
    <w:name w:val="Tab016+60%"/>
    <w:basedOn w:val="Tab016"/>
    <w:next w:val="Tab016"/>
    <w:qFormat/>
    <w:pPr>
      <w:pBdr>
        <w:top w:val="single" w:sz="12" w:space="0" w:color="000000"/>
      </w:pBdr>
    </w:pPr>
    <w:rPr/>
  </w:style>
  <w:style w:type="paragraph" w:styleId="StatusDepositaria">
    <w:name w:val="Status Depositaria"/>
    <w:basedOn w:val="MainText"/>
    <w:next w:val="MainText"/>
    <w:qFormat/>
    <w:pPr>
      <w:tabs>
        <w:tab w:val="clear" w:pos="720"/>
        <w:tab w:val="right" w:pos="567" w:leader="none"/>
        <w:tab w:val="left" w:pos="737" w:leader="none"/>
      </w:tabs>
      <w:ind w:hanging="567" w:start="737" w:end="0"/>
    </w:pPr>
    <w:rPr/>
  </w:style>
  <w:style w:type="paragraph" w:styleId="Tab033">
    <w:name w:val="Tab033"/>
    <w:basedOn w:val="Tablica"/>
    <w:next w:val="Tablica"/>
    <w:qFormat/>
    <w:pPr>
      <w:tabs>
        <w:tab w:val="clear" w:pos="720"/>
        <w:tab w:val="right" w:pos="454" w:leader="none"/>
        <w:tab w:val="left" w:pos="907" w:leader="none"/>
        <w:tab w:val="decimal" w:pos="4876" w:leader="none"/>
        <w:tab w:val="decimal" w:pos="5613" w:leader="none"/>
        <w:tab w:val="decimal" w:pos="6576" w:leader="none"/>
        <w:tab w:val="decimal" w:pos="7597" w:leader="none"/>
        <w:tab w:val="decimal" w:pos="8731" w:leader="none"/>
        <w:tab w:val="decimal" w:pos="9751" w:leader="none"/>
        <w:tab w:val="decimal" w:pos="11112" w:leader="none"/>
        <w:tab w:val="decimal" w:pos="12246" w:leader="none"/>
        <w:tab w:val="decimal" w:pos="13493" w:leader="none"/>
      </w:tabs>
    </w:pPr>
    <w:rPr/>
  </w:style>
  <w:style w:type="paragraph" w:styleId="Tab033obl">
    <w:name w:val="Tab033obl"/>
    <w:basedOn w:val="Tab033"/>
    <w:qFormat/>
    <w:pPr>
      <w:spacing w:before="57" w:after="57"/>
      <w:jc w:val="center"/>
    </w:pPr>
    <w:rPr/>
  </w:style>
  <w:style w:type="paragraph" w:styleId="Tema">
    <w:name w:val="Tema"/>
    <w:next w:val="Schertoi"/>
    <w:qFormat/>
    <w:pPr>
      <w:widowControl/>
      <w:pBdr>
        <w:top w:val="single" w:sz="6" w:space="0" w:color="000000"/>
      </w:pBdr>
      <w:tabs>
        <w:tab w:val="clear" w:pos="720"/>
        <w:tab w:val="right" w:pos="10148" w:leader="dot"/>
      </w:tabs>
      <w:overflowPunct w:val="false"/>
      <w:autoSpaceDE w:val="false"/>
      <w:bidi w:val="0"/>
      <w:spacing w:before="120" w:after="0"/>
      <w:textAlignment w:val="baseline"/>
    </w:pPr>
    <w:rPr>
      <w:rFonts w:ascii="AGOpus" w:hAnsi="AGOpus" w:eastAsia="Times New Roman" w:cs="AGOpus"/>
      <w:b/>
      <w:color w:val="0000FF"/>
      <w:spacing w:val="200"/>
      <w:sz w:val="24"/>
      <w:szCs w:val="20"/>
      <w:lang w:val="en-US" w:bidi="ar-SA" w:eastAsia="zh-CN"/>
    </w:rPr>
  </w:style>
  <w:style w:type="paragraph" w:styleId="Schertoi">
    <w:name w:val="S chertoi"/>
    <w:basedOn w:val="Style39"/>
    <w:next w:val="Style27"/>
    <w:qFormat/>
    <w:pPr>
      <w:spacing w:before="170" w:after="0"/>
    </w:pPr>
    <w:rPr>
      <w:lang w:val="en-US"/>
    </w:rPr>
  </w:style>
  <w:style w:type="paragraph" w:styleId="MainText1">
    <w:name w:val="!MainText"/>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18"/>
      <w:szCs w:val="20"/>
      <w:lang w:val="en-US" w:bidi="ar-SA" w:eastAsia="zh-CN"/>
    </w:rPr>
  </w:style>
  <w:style w:type="paragraph" w:styleId="Tab00960">
    <w:name w:val="Tab009+60%"/>
    <w:basedOn w:val="Tab009"/>
    <w:next w:val="Tab009"/>
    <w:qFormat/>
    <w:pPr>
      <w:pBdr>
        <w:top w:val="single" w:sz="12" w:space="0" w:color="000000"/>
      </w:pBdr>
      <w:tabs>
        <w:tab w:val="clear" w:pos="2494"/>
        <w:tab w:val="clear" w:pos="3628"/>
        <w:tab w:val="clear" w:pos="4876"/>
        <w:tab w:val="clear" w:pos="6123"/>
        <w:tab w:val="clear" w:pos="7483"/>
        <w:tab w:val="center" w:pos="2608" w:leader="none"/>
        <w:tab w:val="center" w:pos="3798" w:leader="none"/>
        <w:tab w:val="center" w:pos="5046" w:leader="none"/>
        <w:tab w:val="center" w:pos="6293" w:leader="none"/>
        <w:tab w:val="center" w:pos="7597" w:leader="none"/>
      </w:tabs>
      <w:spacing w:before="0" w:after="227"/>
    </w:pPr>
    <w:rPr/>
  </w:style>
  <w:style w:type="paragraph" w:styleId="Tab01460">
    <w:name w:val="Tab014+60%"/>
    <w:basedOn w:val="Tab01430"/>
    <w:next w:val="Tab01430"/>
    <w:qFormat/>
    <w:pPr/>
    <w:rPr>
      <w:color w:val="000000"/>
    </w:rPr>
  </w:style>
  <w:style w:type="paragraph" w:styleId="Podp3">
    <w:name w:val="Podp3"/>
    <w:basedOn w:val="Podpis"/>
    <w:next w:val="Podpis"/>
    <w:qFormat/>
    <w:pPr>
      <w:tabs>
        <w:tab w:val="clear" w:pos="4195"/>
        <w:tab w:val="left" w:pos="3118" w:leader="none"/>
        <w:tab w:val="left" w:pos="5953" w:leader="none"/>
      </w:tabs>
      <w:spacing w:before="454" w:after="0"/>
      <w:ind w:hanging="0" w:start="0" w:end="0"/>
    </w:pPr>
    <w:rPr/>
  </w:style>
  <w:style w:type="paragraph" w:styleId="12345">
    <w:name w:val="12345"/>
    <w:basedOn w:val="Data"/>
    <w:next w:val="Data"/>
    <w:qFormat/>
    <w:pPr>
      <w:tabs>
        <w:tab w:val="center" w:pos="1361" w:leader="none"/>
        <w:tab w:val="center" w:pos="4592" w:leader="none"/>
        <w:tab w:val="center" w:pos="7370" w:leader="none"/>
      </w:tabs>
    </w:pPr>
    <w:rPr/>
  </w:style>
  <w:style w:type="paragraph" w:styleId="Glava">
    <w:name w:val="Glava"/>
    <w:basedOn w:val="MainText"/>
    <w:next w:val="MainText"/>
    <w:qFormat/>
    <w:pPr>
      <w:keepNext w:val="true"/>
      <w:spacing w:before="113" w:after="113"/>
      <w:ind w:hanging="0" w:start="567" w:end="0"/>
      <w:jc w:val="start"/>
    </w:pPr>
    <w:rPr>
      <w:b/>
    </w:rPr>
  </w:style>
  <w:style w:type="paragraph" w:styleId="Prilozhenie">
    <w:name w:val="Prilozhenie"/>
    <w:basedOn w:val="MainText"/>
    <w:next w:val="MainText"/>
    <w:qFormat/>
    <w:pPr>
      <w:spacing w:before="0" w:after="170"/>
      <w:jc w:val="end"/>
    </w:pPr>
    <w:rPr/>
  </w:style>
  <w:style w:type="paragraph" w:styleId="Ostatki">
    <w:name w:val="Ostatki"/>
    <w:basedOn w:val="Tablica"/>
    <w:next w:val="Tablica"/>
    <w:qFormat/>
    <w:pPr>
      <w:tabs>
        <w:tab w:val="clear" w:pos="720"/>
        <w:tab w:val="center" w:pos="850" w:leader="none"/>
        <w:tab w:val="center" w:pos="2551" w:leader="none"/>
        <w:tab w:val="center" w:pos="4252" w:leader="none"/>
        <w:tab w:val="center" w:pos="5953" w:leader="none"/>
        <w:tab w:val="center" w:pos="7824" w:leader="none"/>
      </w:tabs>
      <w:spacing w:before="0" w:after="113"/>
    </w:pPr>
    <w:rPr/>
  </w:style>
  <w:style w:type="paragraph" w:styleId="Tab0630-4days">
    <w:name w:val="Tab06+30-4days"/>
    <w:qFormat/>
    <w:pPr>
      <w:keepNext w:val="true"/>
      <w:keepLines/>
      <w:widowControl/>
      <w:pBdr>
        <w:top w:val="single" w:sz="12" w:space="0" w:color="000000"/>
      </w:pBdr>
      <w:tabs>
        <w:tab w:val="clear" w:pos="720"/>
        <w:tab w:val="right" w:pos="794" w:leader="none"/>
        <w:tab w:val="right" w:pos="2098" w:leader="none"/>
        <w:tab w:val="right" w:pos="3430" w:leader="none"/>
        <w:tab w:val="right" w:pos="4819" w:leader="none"/>
        <w:tab w:val="right" w:pos="6123" w:leader="none"/>
        <w:tab w:val="right" w:pos="7313" w:leader="none"/>
        <w:tab w:val="decimal" w:pos="8192" w:leader="none"/>
      </w:tabs>
      <w:overflowPunct w:val="false"/>
      <w:autoSpaceDE w:val="false"/>
      <w:bidi w:val="0"/>
      <w:ind w:hanging="0" w:start="57" w:end="0"/>
      <w:textAlignment w:val="baseline"/>
    </w:pPr>
    <w:rPr>
      <w:rFonts w:ascii="PragmaticaC" w:hAnsi="PragmaticaC" w:eastAsia="Times New Roman" w:cs="PragmaticaC"/>
      <w:color w:val="auto"/>
      <w:sz w:val="18"/>
      <w:szCs w:val="20"/>
      <w:lang w:val="en-US" w:bidi="ar-SA" w:eastAsia="zh-CN"/>
    </w:rPr>
  </w:style>
  <w:style w:type="paragraph" w:styleId="Tab06-4days">
    <w:name w:val="Tab06-4days"/>
    <w:basedOn w:val="Tab006"/>
    <w:next w:val="Tab006"/>
    <w:qFormat/>
    <w:pPr>
      <w:tabs>
        <w:tab w:val="clear" w:pos="1956"/>
        <w:tab w:val="clear" w:pos="2976"/>
        <w:tab w:val="clear" w:pos="4082"/>
        <w:tab w:val="clear" w:pos="5131"/>
        <w:tab w:val="clear" w:pos="6293"/>
        <w:tab w:val="clear" w:pos="7398"/>
        <w:tab w:val="right" w:pos="2098" w:leader="none"/>
        <w:tab w:val="right" w:pos="3430" w:leader="none"/>
        <w:tab w:val="right" w:pos="4819" w:leader="none"/>
        <w:tab w:val="right" w:pos="6123" w:leader="none"/>
        <w:tab w:val="right" w:pos="7313" w:leader="none"/>
      </w:tabs>
    </w:pPr>
    <w:rPr/>
  </w:style>
  <w:style w:type="paragraph" w:styleId="BulletsMain">
    <w:name w:val="BulletsMain"/>
    <w:basedOn w:val="MainText"/>
    <w:next w:val="MainText"/>
    <w:qFormat/>
    <w:pPr>
      <w:tabs>
        <w:tab w:val="clear" w:pos="720"/>
        <w:tab w:val="left" w:pos="567" w:leader="none"/>
      </w:tabs>
      <w:ind w:hanging="567" w:start="567" w:end="0"/>
    </w:pPr>
    <w:rPr/>
  </w:style>
  <w:style w:type="paragraph" w:styleId="Material">
    <w:name w:val="Material"/>
    <w:qFormat/>
    <w:pPr>
      <w:widowControl/>
      <w:overflowPunct w:val="false"/>
      <w:autoSpaceDE w:val="false"/>
      <w:bidi w:val="0"/>
      <w:spacing w:lineRule="atLeast" w:line="220"/>
      <w:jc w:val="end"/>
      <w:textAlignment w:val="baseline"/>
    </w:pPr>
    <w:rPr>
      <w:rFonts w:ascii="PragmaticaC" w:hAnsi="PragmaticaC" w:eastAsia="Times New Roman" w:cs="PragmaticaC"/>
      <w:color w:val="000000"/>
      <w:sz w:val="16"/>
      <w:szCs w:val="20"/>
      <w:lang w:val="en-US" w:bidi="ar-SA" w:eastAsia="zh-CN"/>
    </w:rPr>
  </w:style>
  <w:style w:type="paragraph" w:styleId="Miacr-4-clean">
    <w:name w:val="Miacr-4-clean"/>
    <w:basedOn w:val="Tab0061kol"/>
    <w:next w:val="Tab006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Miacr-4">
    <w:name w:val="Miacr-4"/>
    <w:basedOn w:val="Tab006301kol"/>
    <w:next w:val="Tab00630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color w:val="000000"/>
    </w:rPr>
  </w:style>
  <w:style w:type="paragraph" w:styleId="Tab03430-4days">
    <w:name w:val="Tab034+30%-4days"/>
    <w:basedOn w:val="Tab03430"/>
    <w:next w:val="Tab03430"/>
    <w:qFormat/>
    <w:pPr>
      <w:tabs>
        <w:tab w:val="clear" w:pos="3572"/>
        <w:tab w:val="clear" w:pos="4706"/>
        <w:tab w:val="clear" w:pos="5839"/>
        <w:tab w:val="clear" w:pos="6973"/>
        <w:tab w:val="clear" w:pos="8107"/>
        <w:tab w:val="decimal" w:pos="3713" w:leader="none"/>
        <w:tab w:val="decimal" w:pos="5159" w:leader="none"/>
        <w:tab w:val="decimal" w:pos="6576" w:leader="none"/>
        <w:tab w:val="decimal" w:pos="7909" w:leader="none"/>
      </w:tabs>
    </w:pPr>
    <w:rPr/>
  </w:style>
  <w:style w:type="paragraph" w:styleId="Tab034-4days">
    <w:name w:val="Tab034-4days"/>
    <w:basedOn w:val="Tab034"/>
    <w:next w:val="Tab034"/>
    <w:qFormat/>
    <w:pPr>
      <w:tabs>
        <w:tab w:val="clear" w:pos="3572"/>
        <w:tab w:val="clear" w:pos="4706"/>
        <w:tab w:val="clear" w:pos="5839"/>
        <w:tab w:val="clear" w:pos="6973"/>
        <w:tab w:val="clear" w:pos="8107"/>
        <w:tab w:val="decimal" w:pos="3713" w:leader="none"/>
        <w:tab w:val="decimal" w:pos="5159" w:leader="none"/>
        <w:tab w:val="decimal" w:pos="6576" w:leader="none"/>
        <w:tab w:val="decimal" w:pos="7909" w:leader="none"/>
      </w:tabs>
    </w:pPr>
    <w:rPr/>
  </w:style>
  <w:style w:type="paragraph" w:styleId="Reestr">
    <w:name w:val="Reestr"/>
    <w:basedOn w:val="Tablica"/>
    <w:qFormat/>
    <w:pPr>
      <w:keepNext w:val="false"/>
      <w:tabs>
        <w:tab w:val="clear" w:pos="720"/>
        <w:tab w:val="center" w:pos="283" w:leader="none"/>
        <w:tab w:val="left" w:pos="709" w:leader="none"/>
        <w:tab w:val="center" w:pos="4706" w:leader="none"/>
        <w:tab w:val="right" w:pos="5981" w:leader="none"/>
        <w:tab w:val="decimal" w:pos="6973" w:leader="none"/>
        <w:tab w:val="right" w:pos="8617" w:leader="none"/>
      </w:tabs>
      <w:spacing w:before="28" w:after="0"/>
    </w:pPr>
    <w:rPr/>
  </w:style>
  <w:style w:type="paragraph" w:styleId="ReestrName">
    <w:name w:val="Reestr Name"/>
    <w:basedOn w:val="Tablica"/>
    <w:qFormat/>
    <w:pPr>
      <w:keepNext w:val="false"/>
      <w:pBdr>
        <w:top w:val="single" w:sz="12" w:space="0" w:color="000000"/>
        <w:bottom w:val="single" w:sz="2" w:space="0" w:color="000000"/>
      </w:pBdr>
      <w:spacing w:before="0" w:after="57"/>
      <w:jc w:val="center"/>
    </w:pPr>
    <w:rPr>
      <w:b/>
    </w:rPr>
  </w:style>
  <w:style w:type="paragraph" w:styleId="ReestrUnderlined">
    <w:name w:val="Reestr Underlined"/>
    <w:basedOn w:val="Reestr"/>
    <w:next w:val="Reestr"/>
    <w:qFormat/>
    <w:pPr>
      <w:pBdr>
        <w:bottom w:val="single" w:sz="2" w:space="0" w:color="000000"/>
      </w:pBdr>
    </w:pPr>
    <w:rPr/>
  </w:style>
  <w:style w:type="paragraph" w:styleId="ReestrHoriz">
    <w:name w:val="Reestr Horiz"/>
    <w:basedOn w:val="Tablica"/>
    <w:qFormat/>
    <w:pPr>
      <w:keepNext w:val="false"/>
      <w:tabs>
        <w:tab w:val="clear" w:pos="720"/>
        <w:tab w:val="center" w:pos="283" w:leader="none"/>
        <w:tab w:val="left" w:pos="709" w:leader="none"/>
        <w:tab w:val="left" w:pos="6406" w:leader="none"/>
        <w:tab w:val="right" w:pos="9734" w:leader="none"/>
        <w:tab w:val="decimal" w:pos="10658" w:leader="none"/>
        <w:tab w:val="center" w:pos="11735" w:leader="none"/>
        <w:tab w:val="right" w:pos="13776" w:leader="none"/>
      </w:tabs>
      <w:spacing w:before="28" w:after="0"/>
    </w:pPr>
    <w:rPr/>
  </w:style>
  <w:style w:type="paragraph" w:styleId="ReestrHorizUnderlined">
    <w:name w:val="Reestr Horiz Underlined"/>
    <w:basedOn w:val="ReestrHoriz"/>
    <w:next w:val="ReestrHoriz"/>
    <w:qFormat/>
    <w:pPr>
      <w:pBdr>
        <w:bottom w:val="single" w:sz="2" w:space="0" w:color="000000"/>
      </w:pBdr>
    </w:pPr>
    <w:rPr/>
  </w:style>
  <w:style w:type="paragraph" w:styleId="Reestr-MainText">
    <w:name w:val="Reestr-MainText"/>
    <w:basedOn w:val="MainText"/>
    <w:next w:val="MainText"/>
    <w:qFormat/>
    <w:pPr>
      <w:spacing w:before="170" w:after="113"/>
    </w:pPr>
    <w:rPr/>
  </w:style>
  <w:style w:type="paragraph" w:styleId="ReestrDop">
    <w:name w:val="Reestr Dop"/>
    <w:basedOn w:val="Reestr"/>
    <w:qFormat/>
    <w:pPr>
      <w:tabs>
        <w:tab w:val="clear" w:pos="4706"/>
        <w:tab w:val="clear" w:pos="5981"/>
        <w:tab w:val="clear" w:pos="6973"/>
        <w:tab w:val="left" w:pos="4620" w:leader="none"/>
      </w:tabs>
    </w:pPr>
    <w:rPr/>
  </w:style>
  <w:style w:type="paragraph" w:styleId="ReestrDopHead">
    <w:name w:val="Reestr Dop Head"/>
    <w:basedOn w:val="ReestrDop"/>
    <w:next w:val="ReestrDop"/>
    <w:qFormat/>
    <w:pPr>
      <w:pBdr>
        <w:bottom w:val="single" w:sz="2" w:space="0" w:color="000000"/>
      </w:pBdr>
      <w:tabs>
        <w:tab w:val="clear" w:pos="709"/>
        <w:tab w:val="clear" w:pos="4620"/>
        <w:tab w:val="clear" w:pos="8617"/>
        <w:tab w:val="center" w:pos="2523" w:leader="none"/>
        <w:tab w:val="center" w:pos="6208" w:leader="none"/>
        <w:tab w:val="center" w:pos="8328" w:leader="none"/>
      </w:tabs>
    </w:pPr>
    <w:rPr/>
  </w:style>
  <w:style w:type="paragraph" w:styleId="ReestrDopUnderlined">
    <w:name w:val="Reestr Dop Underlined"/>
    <w:basedOn w:val="ReestrDop"/>
    <w:next w:val="ReestrDop"/>
    <w:qFormat/>
    <w:pPr>
      <w:pBdr>
        <w:bottom w:val="single" w:sz="2" w:space="0" w:color="000000"/>
      </w:pBdr>
    </w:pPr>
    <w:rPr/>
  </w:style>
  <w:style w:type="paragraph" w:styleId="MainText-BezOtstupa">
    <w:name w:val="MainText-BezOtstupa"/>
    <w:basedOn w:val="MainText"/>
    <w:next w:val="MainText"/>
    <w:qFormat/>
    <w:pPr>
      <w:ind w:hanging="0" w:start="0" w:end="0"/>
    </w:pPr>
    <w:rPr/>
  </w:style>
  <w:style w:type="paragraph" w:styleId="MZagolovok">
    <w:name w:val="MZagolovok"/>
    <w:qFormat/>
    <w:pPr>
      <w:widowControl/>
      <w:overflowPunct w:val="false"/>
      <w:autoSpaceDE w:val="false"/>
      <w:bidi w:val="0"/>
      <w:spacing w:before="170" w:after="227"/>
      <w:textAlignment w:val="baseline"/>
    </w:pPr>
    <w:rPr>
      <w:rFonts w:ascii="PragmaticaCondC" w:hAnsi="PragmaticaCondC" w:eastAsia="Times New Roman" w:cs="PragmaticaCondC"/>
      <w:b/>
      <w:color w:val="0000FF"/>
      <w:sz w:val="24"/>
      <w:szCs w:val="20"/>
      <w:lang w:val="en-US" w:bidi="ar-SA" w:eastAsia="zh-CN"/>
    </w:rPr>
  </w:style>
  <w:style w:type="paragraph" w:styleId="Ramka-s">
    <w:name w:val="Ramka-s"/>
    <w:basedOn w:val="MainText"/>
    <w:next w:val="MainText"/>
    <w:qFormat/>
    <w:pPr>
      <w:ind w:hanging="0" w:start="113" w:end="113"/>
    </w:pPr>
    <w:rPr>
      <w:i/>
    </w:rPr>
  </w:style>
  <w:style w:type="paragraph" w:styleId="Registered">
    <w:name w:val="Registered"/>
    <w:basedOn w:val="Tablica"/>
    <w:next w:val="Tablica"/>
    <w:qFormat/>
    <w:pPr>
      <w:pBdr>
        <w:bottom w:val="single" w:sz="2" w:space="0" w:color="000000"/>
      </w:pBdr>
      <w:tabs>
        <w:tab w:val="clear" w:pos="720"/>
        <w:tab w:val="right" w:pos="6803" w:leader="none"/>
      </w:tabs>
      <w:spacing w:before="85" w:after="0"/>
      <w:ind w:hanging="0" w:start="567" w:end="57"/>
    </w:pPr>
    <w:rPr/>
  </w:style>
  <w:style w:type="paragraph" w:styleId="Tab9">
    <w:name w:val="Tab9"/>
    <w:basedOn w:val="Tab009"/>
    <w:next w:val="Tab009"/>
    <w:qFormat/>
    <w:pPr>
      <w:tabs>
        <w:tab w:val="clear" w:pos="2494"/>
        <w:tab w:val="clear" w:pos="3628"/>
        <w:tab w:val="clear" w:pos="4876"/>
        <w:tab w:val="clear" w:pos="6123"/>
        <w:tab w:val="clear" w:pos="7483"/>
        <w:tab w:val="center" w:pos="2608" w:leader="none"/>
        <w:tab w:val="center" w:pos="4365" w:leader="none"/>
        <w:tab w:val="center" w:pos="6066" w:leader="none"/>
        <w:tab w:val="center" w:pos="7710" w:leader="none"/>
      </w:tabs>
    </w:pPr>
    <w:rPr/>
  </w:style>
  <w:style w:type="paragraph" w:styleId="Tab930">
    <w:name w:val="Tab9+30%"/>
    <w:basedOn w:val="Tab00930"/>
    <w:next w:val="Tab00930"/>
    <w:qFormat/>
    <w:pPr>
      <w:tabs>
        <w:tab w:val="clear" w:pos="2494"/>
        <w:tab w:val="clear" w:pos="3628"/>
        <w:tab w:val="clear" w:pos="4876"/>
        <w:tab w:val="clear" w:pos="6123"/>
        <w:tab w:val="clear" w:pos="7483"/>
        <w:tab w:val="center" w:pos="2608" w:leader="none"/>
        <w:tab w:val="center" w:pos="4365" w:leader="none"/>
        <w:tab w:val="center" w:pos="6066" w:leader="none"/>
        <w:tab w:val="center" w:pos="7710" w:leader="none"/>
      </w:tabs>
    </w:pPr>
    <w:rPr/>
  </w:style>
  <w:style w:type="paragraph" w:styleId="1-60">
    <w:name w:val="1-60"/>
    <w:basedOn w:val="Tablica"/>
    <w:next w:val="Tablica"/>
    <w:qFormat/>
    <w:pPr>
      <w:keepNext w:val="false"/>
      <w:pBdr>
        <w:top w:val="single" w:sz="12" w:space="0" w:color="000000"/>
      </w:pBdr>
      <w:tabs>
        <w:tab w:val="clear" w:pos="720"/>
        <w:tab w:val="left" w:pos="113" w:leader="none"/>
        <w:tab w:val="left" w:pos="425" w:leader="none"/>
        <w:tab w:val="center" w:pos="8249" w:leader="none"/>
      </w:tabs>
      <w:ind w:hanging="0" w:start="0" w:end="0"/>
    </w:pPr>
    <w:rPr>
      <w:b/>
    </w:rPr>
  </w:style>
  <w:style w:type="paragraph" w:styleId="Tablica-30">
    <w:name w:val="Tablica-30"/>
    <w:basedOn w:val="1-60"/>
    <w:qFormat/>
    <w:pPr/>
    <w:rPr>
      <w:b w:val="false"/>
    </w:rPr>
  </w:style>
  <w:style w:type="paragraph" w:styleId="32">
    <w:name w:val="3"/>
    <w:basedOn w:val="Tablica"/>
    <w:next w:val="Tablica"/>
    <w:qFormat/>
    <w:pPr>
      <w:keepNext w:val="false"/>
      <w:pBdr>
        <w:bottom w:val="single" w:sz="2" w:space="0" w:color="000000"/>
      </w:pBdr>
      <w:tabs>
        <w:tab w:val="clear" w:pos="720"/>
        <w:tab w:val="right" w:pos="340" w:leader="none"/>
        <w:tab w:val="left" w:pos="425" w:leader="none"/>
        <w:tab w:val="center" w:pos="8249" w:leader="none"/>
      </w:tabs>
      <w:spacing w:before="57" w:after="0"/>
      <w:ind w:hanging="0" w:start="0" w:end="0"/>
    </w:pPr>
    <w:rPr>
      <w:b/>
    </w:rPr>
  </w:style>
  <w:style w:type="paragraph" w:styleId="360">
    <w:name w:val="3+60"/>
    <w:basedOn w:val="32"/>
    <w:qFormat/>
    <w:pPr>
      <w:pBdr>
        <w:top w:val="single" w:sz="12" w:space="0" w:color="000000"/>
        <w:bottom w:val="nil"/>
      </w:pBdr>
      <w:spacing w:before="0" w:after="0"/>
    </w:pPr>
    <w:rPr/>
  </w:style>
  <w:style w:type="paragraph" w:styleId="390">
    <w:name w:val="3+90"/>
    <w:basedOn w:val="360"/>
    <w:next w:val="360"/>
    <w:qFormat/>
    <w:pPr/>
    <w:rPr/>
  </w:style>
  <w:style w:type="paragraph" w:styleId="Spravka30">
    <w:name w:val="Spravka+30"/>
    <w:basedOn w:val="Tablica"/>
    <w:next w:val="Tablica"/>
    <w:qFormat/>
    <w:pPr>
      <w:keepNext w:val="false"/>
      <w:pBdr>
        <w:top w:val="single" w:sz="12" w:space="0" w:color="000000"/>
      </w:pBdr>
      <w:tabs>
        <w:tab w:val="clear" w:pos="720"/>
        <w:tab w:val="left" w:pos="283" w:leader="none"/>
        <w:tab w:val="center" w:pos="3969" w:leader="none"/>
        <w:tab w:val="center" w:pos="4989" w:leader="none"/>
        <w:tab w:val="center" w:pos="5811" w:leader="none"/>
        <w:tab w:val="center" w:pos="6661" w:leader="none"/>
        <w:tab w:val="center" w:pos="7512" w:leader="none"/>
        <w:tab w:val="center" w:pos="8362" w:leader="none"/>
      </w:tabs>
      <w:ind w:hanging="0" w:start="0" w:end="0"/>
    </w:pPr>
    <w:rPr>
      <w:caps/>
    </w:rPr>
  </w:style>
  <w:style w:type="paragraph" w:styleId="Spravka">
    <w:name w:val="Spravka"/>
    <w:basedOn w:val="Tablica"/>
    <w:next w:val="Tablica"/>
    <w:qFormat/>
    <w:pPr>
      <w:keepNext w:val="false"/>
      <w:tabs>
        <w:tab w:val="clear" w:pos="720"/>
        <w:tab w:val="left" w:pos="283" w:leader="none"/>
        <w:tab w:val="center" w:pos="3969" w:leader="none"/>
        <w:tab w:val="center" w:pos="4989" w:leader="none"/>
        <w:tab w:val="center" w:pos="5811" w:leader="none"/>
        <w:tab w:val="center" w:pos="6661" w:leader="none"/>
        <w:tab w:val="center" w:pos="7512" w:leader="none"/>
        <w:tab w:val="center" w:pos="8362" w:leader="none"/>
      </w:tabs>
      <w:ind w:hanging="0" w:start="0" w:end="0"/>
    </w:pPr>
    <w:rPr/>
  </w:style>
  <w:style w:type="paragraph" w:styleId="Bashka">
    <w:name w:val="Bashka"/>
    <w:basedOn w:val="Tablica"/>
    <w:next w:val="Tablica"/>
    <w:qFormat/>
    <w:pPr>
      <w:jc w:val="center"/>
    </w:pPr>
    <w:rPr/>
  </w:style>
  <w:style w:type="paragraph" w:styleId="Moneti">
    <w:name w:val="Moneti"/>
    <w:basedOn w:val="Tablica"/>
    <w:next w:val="Tablica"/>
    <w:qFormat/>
    <w:pPr>
      <w:pBdr>
        <w:top w:val="single" w:sz="2" w:space="0" w:color="000000"/>
      </w:pBdr>
      <w:tabs>
        <w:tab w:val="clear" w:pos="720"/>
        <w:tab w:val="decimal" w:pos="3458" w:leader="none"/>
        <w:tab w:val="decimal" w:pos="4819" w:leader="none"/>
        <w:tab w:val="decimal" w:pos="6066" w:leader="none"/>
        <w:tab w:val="decimal" w:pos="7483" w:leader="none"/>
        <w:tab w:val="decimal" w:pos="9241" w:leader="none"/>
      </w:tabs>
    </w:pPr>
    <w:rPr/>
  </w:style>
  <w:style w:type="paragraph" w:styleId="2-30">
    <w:name w:val="2-30"/>
    <w:basedOn w:val="Tab01630"/>
    <w:next w:val="Tab01630"/>
    <w:qFormat/>
    <w:pPr>
      <w:tabs>
        <w:tab w:val="clear" w:pos="4025"/>
        <w:tab w:val="clear" w:pos="5272"/>
        <w:tab w:val="clear" w:pos="6576"/>
        <w:tab w:val="clear" w:pos="7994"/>
        <w:tab w:val="decimal" w:pos="4309" w:leader="none"/>
        <w:tab w:val="decimal" w:pos="6293" w:leader="none"/>
        <w:tab w:val="decimal" w:pos="8050" w:leader="none"/>
      </w:tabs>
    </w:pPr>
    <w:rPr>
      <w:color w:val="000000"/>
    </w:rPr>
  </w:style>
  <w:style w:type="paragraph" w:styleId="2-0">
    <w:name w:val="2-0"/>
    <w:basedOn w:val="Tab016"/>
    <w:next w:val="Tab016"/>
    <w:qFormat/>
    <w:pPr>
      <w:tabs>
        <w:tab w:val="clear" w:pos="4025"/>
        <w:tab w:val="clear" w:pos="5272"/>
        <w:tab w:val="clear" w:pos="6576"/>
        <w:tab w:val="clear" w:pos="7994"/>
        <w:tab w:val="decimal" w:pos="4309" w:leader="none"/>
        <w:tab w:val="decimal" w:pos="6293" w:leader="none"/>
        <w:tab w:val="decimal" w:pos="8050" w:leader="none"/>
      </w:tabs>
    </w:pPr>
    <w:rPr/>
  </w:style>
  <w:style w:type="paragraph" w:styleId="2-60">
    <w:name w:val="2-60"/>
    <w:basedOn w:val="Tab01660"/>
    <w:next w:val="Tab01660"/>
    <w:qFormat/>
    <w:pPr>
      <w:tabs>
        <w:tab w:val="clear" w:pos="4025"/>
        <w:tab w:val="clear" w:pos="5272"/>
        <w:tab w:val="clear" w:pos="6576"/>
        <w:tab w:val="clear" w:pos="7994"/>
        <w:tab w:val="decimal" w:pos="4309" w:leader="none"/>
        <w:tab w:val="decimal" w:pos="6293" w:leader="none"/>
        <w:tab w:val="decimal" w:pos="8050" w:leader="none"/>
      </w:tabs>
    </w:pPr>
    <w:rPr/>
  </w:style>
  <w:style w:type="paragraph" w:styleId="TelePodpis">
    <w:name w:val="TelePodpis"/>
    <w:basedOn w:val="Podpis"/>
    <w:next w:val="Podpis"/>
    <w:qFormat/>
    <w:pPr>
      <w:tabs>
        <w:tab w:val="clear" w:pos="4195"/>
        <w:tab w:val="right" w:pos="8787" w:leader="none"/>
      </w:tabs>
      <w:spacing w:before="227" w:after="0"/>
    </w:pPr>
    <w:rPr/>
  </w:style>
  <w:style w:type="paragraph" w:styleId="TeleNomer">
    <w:name w:val="TeleNomer"/>
    <w:basedOn w:val="MainText"/>
    <w:next w:val="MainText"/>
    <w:qFormat/>
    <w:pPr>
      <w:tabs>
        <w:tab w:val="clear" w:pos="720"/>
        <w:tab w:val="center" w:pos="4728" w:leader="none"/>
        <w:tab w:val="right" w:pos="8787" w:leader="none"/>
      </w:tabs>
    </w:pPr>
    <w:rPr/>
  </w:style>
  <w:style w:type="paragraph" w:styleId="111">
    <w:name w:val="111"/>
    <w:basedOn w:val="Tablica"/>
    <w:next w:val="Tablica"/>
    <w:qFormat/>
    <w:pPr>
      <w:tabs>
        <w:tab w:val="clear" w:pos="720"/>
        <w:tab w:val="left" w:pos="3118" w:leader="none"/>
        <w:tab w:val="left" w:pos="3742" w:leader="none"/>
        <w:tab w:val="left" w:pos="5386" w:leader="none"/>
        <w:tab w:val="left" w:pos="5783" w:leader="none"/>
        <w:tab w:val="left" w:pos="6746" w:leader="none"/>
        <w:tab w:val="right" w:pos="8561" w:leader="none"/>
      </w:tabs>
    </w:pPr>
    <w:rPr/>
  </w:style>
  <w:style w:type="paragraph" w:styleId="Publications">
    <w:name w:val="Publications"/>
    <w:basedOn w:val="Tablica"/>
    <w:next w:val="Tablica"/>
    <w:qFormat/>
    <w:pPr>
      <w:pBdr>
        <w:bottom w:val="single" w:sz="2" w:space="0" w:color="000000"/>
      </w:pBdr>
      <w:tabs>
        <w:tab w:val="clear" w:pos="720"/>
        <w:tab w:val="center" w:pos="340" w:leader="none"/>
        <w:tab w:val="right" w:pos="1417" w:leader="none"/>
        <w:tab w:val="left" w:pos="1701" w:leader="none"/>
        <w:tab w:val="right" w:pos="8674" w:leader="none"/>
      </w:tabs>
      <w:spacing w:before="57" w:after="0"/>
      <w:ind w:hanging="1701" w:start="1701" w:end="57"/>
    </w:pPr>
    <w:rPr/>
  </w:style>
  <w:style w:type="paragraph" w:styleId="Style42">
    <w:name w:val="!!!"/>
    <w:basedOn w:val="Glavnyi"/>
    <w:next w:val="Glavnyi"/>
    <w:qFormat/>
    <w:pPr>
      <w:spacing w:before="57" w:after="0"/>
    </w:pPr>
    <w:rPr>
      <w:color w:val="000000"/>
      <w:sz w:val="24"/>
    </w:rPr>
  </w:style>
  <w:style w:type="paragraph" w:styleId="PublishedShapka">
    <w:name w:val="PublishedShapka"/>
    <w:basedOn w:val="Publications"/>
    <w:next w:val="Publications"/>
    <w:qFormat/>
    <w:pPr>
      <w:tabs>
        <w:tab w:val="clear" w:pos="340"/>
        <w:tab w:val="clear" w:pos="1417"/>
        <w:tab w:val="clear" w:pos="1701"/>
        <w:tab w:val="clear" w:pos="8674"/>
        <w:tab w:val="center" w:pos="3969" w:leader="none"/>
        <w:tab w:val="center" w:pos="8334" w:leader="none"/>
      </w:tabs>
    </w:pPr>
    <w:rPr/>
  </w:style>
  <w:style w:type="paragraph" w:styleId="Published">
    <w:name w:val="Published"/>
    <w:basedOn w:val="Publications"/>
    <w:next w:val="Publications"/>
    <w:qFormat/>
    <w:pPr>
      <w:tabs>
        <w:tab w:val="clear" w:pos="340"/>
        <w:tab w:val="clear" w:pos="1417"/>
        <w:tab w:val="clear" w:pos="1701"/>
      </w:tabs>
      <w:ind w:hanging="0" w:start="113" w:end="57"/>
    </w:pPr>
    <w:rPr/>
  </w:style>
  <w:style w:type="paragraph" w:styleId="P2-1center">
    <w:name w:val="P2-1center"/>
    <w:basedOn w:val="Tablica"/>
    <w:qFormat/>
    <w:pPr>
      <w:tabs>
        <w:tab w:val="clear" w:pos="720"/>
        <w:tab w:val="center" w:pos="255" w:leader="none"/>
        <w:tab w:val="center" w:pos="850" w:leader="none"/>
        <w:tab w:val="center" w:pos="3260" w:leader="none"/>
        <w:tab w:val="center" w:pos="5839" w:leader="none"/>
        <w:tab w:val="center" w:pos="7087" w:leader="none"/>
        <w:tab w:val="center" w:pos="8220" w:leader="none"/>
      </w:tabs>
      <w:ind w:hanging="0" w:start="0" w:end="0"/>
    </w:pPr>
    <w:rPr/>
  </w:style>
  <w:style w:type="paragraph" w:styleId="25-Head">
    <w:name w:val="25-Head"/>
    <w:basedOn w:val="P2-1center"/>
    <w:qFormat/>
    <w:pPr>
      <w:pBdr>
        <w:bottom w:val="single" w:sz="2" w:space="0" w:color="000000"/>
      </w:pBdr>
      <w:tabs>
        <w:tab w:val="clear" w:pos="255"/>
        <w:tab w:val="clear" w:pos="850"/>
        <w:tab w:val="clear" w:pos="3260"/>
        <w:tab w:val="clear" w:pos="5839"/>
        <w:tab w:val="clear" w:pos="7087"/>
        <w:tab w:val="center" w:pos="340" w:leader="none"/>
        <w:tab w:val="center" w:pos="3061" w:leader="none"/>
        <w:tab w:val="center" w:pos="5953" w:leader="none"/>
        <w:tab w:val="center" w:pos="7115" w:leader="none"/>
      </w:tabs>
      <w:spacing w:before="0" w:after="57"/>
    </w:pPr>
    <w:rPr/>
  </w:style>
  <w:style w:type="paragraph" w:styleId="25-Text">
    <w:name w:val="25-Text"/>
    <w:basedOn w:val="P2-1center"/>
    <w:qFormat/>
    <w:pPr>
      <w:pBdr>
        <w:bottom w:val="single" w:sz="2" w:space="0" w:color="000000"/>
      </w:pBdr>
      <w:tabs>
        <w:tab w:val="clear" w:pos="255"/>
        <w:tab w:val="clear" w:pos="850"/>
        <w:tab w:val="clear" w:pos="3260"/>
        <w:tab w:val="clear" w:pos="5839"/>
        <w:tab w:val="clear" w:pos="7087"/>
        <w:tab w:val="clear" w:pos="8220"/>
        <w:tab w:val="center" w:pos="340" w:leader="none"/>
        <w:tab w:val="left" w:pos="794" w:leader="none"/>
        <w:tab w:val="center" w:pos="5953" w:leader="none"/>
        <w:tab w:val="right" w:pos="7483" w:leader="none"/>
        <w:tab w:val="right" w:pos="8589" w:leader="none"/>
      </w:tabs>
      <w:spacing w:before="0" w:after="57"/>
    </w:pPr>
    <w:rPr/>
  </w:style>
  <w:style w:type="paragraph" w:styleId="25-Text-Line">
    <w:name w:val="25-Text-Line"/>
    <w:basedOn w:val="25-Text"/>
    <w:next w:val="25-Text"/>
    <w:qFormat/>
    <w:pPr>
      <w:pBdr>
        <w:bottom w:val="nil"/>
      </w:pBdr>
    </w:pPr>
    <w:rPr/>
  </w:style>
  <w:style w:type="paragraph" w:styleId="Style43">
    <w:name w:val="!!"/>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Style44">
    <w:name w:val="!!!!"/>
    <w:basedOn w:val="Style43"/>
    <w:next w:val="Style43"/>
    <w:qFormat/>
    <w:pPr>
      <w:pBdr>
        <w:top w:val="nil"/>
      </w:pBdr>
    </w:pPr>
    <w:rPr/>
  </w:style>
  <w:style w:type="paragraph" w:styleId="MZagolvok-Center">
    <w:name w:val="MZagolvok - Center"/>
    <w:basedOn w:val="MZagolovok"/>
    <w:next w:val="MZagolovok"/>
    <w:qFormat/>
    <w:pPr>
      <w:spacing w:before="170" w:after="113"/>
      <w:jc w:val="center"/>
    </w:pPr>
    <w:rPr/>
  </w:style>
  <w:style w:type="paragraph" w:styleId="MainText-BezOtstupa1">
    <w:name w:val="MainText - BezOtstupa"/>
    <w:basedOn w:val="MainText"/>
    <w:next w:val="MainText"/>
    <w:qFormat/>
    <w:pPr>
      <w:ind w:hanging="0" w:start="0" w:end="0"/>
    </w:pPr>
    <w:rPr/>
  </w:style>
  <w:style w:type="paragraph" w:styleId="MGlava">
    <w:name w:val="MGlava"/>
    <w:basedOn w:val="MainText"/>
    <w:next w:val="MainText"/>
    <w:qFormat/>
    <w:pPr>
      <w:keepNext w:val="true"/>
      <w:spacing w:before="113" w:after="113"/>
      <w:ind w:hanging="0" w:start="567" w:end="0"/>
      <w:jc w:val="start"/>
    </w:pPr>
    <w:rPr>
      <w:b/>
    </w:rPr>
  </w:style>
  <w:style w:type="paragraph" w:styleId="MainText-13">
    <w:name w:val="MainText - 13"/>
    <w:basedOn w:val="MainText"/>
    <w:next w:val="MainText"/>
    <w:qFormat/>
    <w:pPr>
      <w:ind w:firstLine="737" w:start="0" w:end="0"/>
    </w:pPr>
    <w:rPr/>
  </w:style>
  <w:style w:type="paragraph" w:styleId="MainText-DebetKredit">
    <w:name w:val="MainText - DebetKredit"/>
    <w:basedOn w:val="MainText"/>
    <w:next w:val="MainText"/>
    <w:qFormat/>
    <w:pPr>
      <w:tabs>
        <w:tab w:val="clear" w:pos="720"/>
        <w:tab w:val="left" w:pos="737" w:leader="none"/>
      </w:tabs>
      <w:ind w:hanging="737" w:start="737" w:end="0"/>
    </w:pPr>
    <w:rPr/>
  </w:style>
  <w:style w:type="paragraph" w:styleId="MData">
    <w:name w:val="MData"/>
    <w:basedOn w:val="MainText"/>
    <w:qFormat/>
    <w:pPr>
      <w:tabs>
        <w:tab w:val="clear" w:pos="720"/>
        <w:tab w:val="right" w:pos="8787" w:leader="none"/>
      </w:tabs>
      <w:ind w:hanging="0" w:start="0" w:end="0"/>
      <w:jc w:val="start"/>
    </w:pPr>
    <w:rPr/>
  </w:style>
  <w:style w:type="paragraph" w:styleId="MacroTab30">
    <w:name w:val="MacroTab_30"/>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MacroTab0">
    <w:name w:val="MacroTab_0"/>
    <w:basedOn w:val="MacroTab30"/>
    <w:next w:val="MacroTab30"/>
    <w:qFormat/>
    <w:pPr>
      <w:pBdr>
        <w:top w:val="nil"/>
      </w:pBdr>
    </w:pPr>
    <w:rPr/>
  </w:style>
  <w:style w:type="paragraph" w:styleId="MacroTab60">
    <w:name w:val="MacroTab_60"/>
    <w:basedOn w:val="Normal"/>
    <w:next w:val="Normal"/>
    <w:qFormat/>
    <w:pPr>
      <w:keepNext w:val="true"/>
      <w:keepLines/>
      <w:pBdr>
        <w:top w:val="single" w:sz="12" w:space="0" w:color="000000"/>
      </w:pBdr>
      <w:tabs>
        <w:tab w:val="clear" w:pos="720"/>
        <w:tab w:val="left" w:pos="1134" w:leader="none"/>
        <w:tab w:val="decimal" w:pos="3827" w:leader="none"/>
        <w:tab w:val="decimal" w:pos="4961" w:leader="none"/>
        <w:tab w:val="decimal" w:pos="6094" w:leader="none"/>
        <w:tab w:val="decimal" w:pos="7200" w:leader="none"/>
        <w:tab w:val="decimal" w:pos="8306" w:leader="none"/>
      </w:tabs>
      <w:ind w:hanging="0" w:start="57" w:end="57"/>
    </w:pPr>
    <w:rPr>
      <w:rFonts w:ascii="PragmaticaC" w:hAnsi="PragmaticaC" w:cs="PragmaticaC"/>
      <w:sz w:val="18"/>
      <w:lang w:val="en-US"/>
    </w:rPr>
  </w:style>
  <w:style w:type="paragraph" w:styleId="26-TextBold">
    <w:name w:val="26-TextBold"/>
    <w:basedOn w:val="25-Text"/>
    <w:next w:val="25-Text"/>
    <w:qFormat/>
    <w:pPr>
      <w:pBdr>
        <w:bottom w:val="nil"/>
      </w:pBdr>
      <w:tabs>
        <w:tab w:val="clear" w:pos="340"/>
        <w:tab w:val="clear" w:pos="794"/>
        <w:tab w:val="clear" w:pos="5953"/>
        <w:tab w:val="clear" w:pos="7483"/>
        <w:tab w:val="clear" w:pos="8589"/>
        <w:tab w:val="left" w:pos="397" w:leader="none"/>
        <w:tab w:val="left" w:pos="7824" w:leader="none"/>
      </w:tabs>
      <w:spacing w:before="0" w:after="198"/>
      <w:ind w:hanging="397" w:start="397" w:end="1134"/>
    </w:pPr>
    <w:rPr>
      <w:b/>
    </w:rPr>
  </w:style>
  <w:style w:type="paragraph" w:styleId="26-text">
    <w:name w:val="26-text"/>
    <w:basedOn w:val="25-Text"/>
    <w:next w:val="25-Text"/>
    <w:qFormat/>
    <w:pPr>
      <w:tabs>
        <w:tab w:val="clear" w:pos="340"/>
        <w:tab w:val="clear" w:pos="794"/>
        <w:tab w:val="clear" w:pos="5953"/>
        <w:tab w:val="clear" w:pos="7483"/>
        <w:tab w:val="clear" w:pos="8589"/>
        <w:tab w:val="right" w:pos="224" w:leader="none"/>
        <w:tab w:val="left" w:pos="397" w:leader="none"/>
        <w:tab w:val="left" w:pos="7824" w:leader="none"/>
      </w:tabs>
      <w:ind w:hanging="397" w:start="397" w:end="0"/>
    </w:pPr>
    <w:rPr/>
  </w:style>
  <w:style w:type="paragraph" w:styleId="Style45">
    <w:name w:val="!!!!!!"/>
    <w:basedOn w:val="Tablica"/>
    <w:next w:val="Tablica"/>
    <w:qFormat/>
    <w:pPr>
      <w:pBdr>
        <w:bottom w:val="single" w:sz="2" w:space="0" w:color="000000"/>
      </w:pBdr>
      <w:tabs>
        <w:tab w:val="clear" w:pos="720"/>
        <w:tab w:val="right" w:pos="8504" w:leader="none"/>
      </w:tabs>
      <w:spacing w:before="57" w:after="0"/>
      <w:ind w:hanging="0" w:start="283" w:end="0"/>
    </w:pPr>
    <w:rPr/>
  </w:style>
  <w:style w:type="paragraph" w:styleId="Mlist">
    <w:name w:val="Mlist"/>
    <w:basedOn w:val="BulletsMain"/>
    <w:next w:val="BulletsMain"/>
    <w:qFormat/>
    <w:pPr>
      <w:tabs>
        <w:tab w:val="clear" w:pos="567"/>
        <w:tab w:val="left" w:pos="283" w:leader="none"/>
        <w:tab w:val="right" w:pos="8504" w:leader="none"/>
      </w:tabs>
      <w:ind w:hanging="283" w:start="283" w:end="283"/>
      <w:jc w:val="start"/>
    </w:pPr>
    <w:rPr/>
  </w:style>
  <w:style w:type="paragraph" w:styleId="Sprav2">
    <w:name w:val="Sprav2"/>
    <w:basedOn w:val="Spravka"/>
    <w:next w:val="Spravka"/>
    <w:qFormat/>
    <w:pPr>
      <w:tabs>
        <w:tab w:val="clear" w:pos="3969"/>
        <w:tab w:val="center" w:pos="3345" w:leader="none"/>
        <w:tab w:val="center" w:pos="4167" w:leader="none"/>
      </w:tabs>
      <w:ind w:hanging="0" w:start="113" w:end="0"/>
    </w:pPr>
    <w:rPr/>
  </w:style>
  <w:style w:type="paragraph" w:styleId="27-text">
    <w:name w:val="27-text"/>
    <w:basedOn w:val="25-Text"/>
    <w:next w:val="25-Text"/>
    <w:qFormat/>
    <w:pPr>
      <w:tabs>
        <w:tab w:val="clear" w:pos="340"/>
        <w:tab w:val="clear" w:pos="794"/>
        <w:tab w:val="clear" w:pos="5953"/>
        <w:tab w:val="clear" w:pos="7483"/>
        <w:tab w:val="clear" w:pos="8589"/>
        <w:tab w:val="right" w:pos="312" w:leader="none"/>
        <w:tab w:val="left" w:pos="567" w:leader="none"/>
        <w:tab w:val="center" w:pos="7115" w:leader="none"/>
        <w:tab w:val="decimal" w:pos="8277" w:leader="none"/>
      </w:tabs>
    </w:pPr>
    <w:rPr/>
  </w:style>
  <w:style w:type="paragraph" w:styleId="MZZagolovok">
    <w:name w:val="MZZagolovok"/>
    <w:qFormat/>
    <w:pPr>
      <w:widowControl/>
      <w:overflowPunct w:val="false"/>
      <w:autoSpaceDE w:val="false"/>
      <w:bidi w:val="0"/>
      <w:spacing w:before="170" w:after="113"/>
      <w:textAlignment w:val="baseline"/>
    </w:pPr>
    <w:rPr>
      <w:rFonts w:ascii="PragmaticaCondC" w:hAnsi="PragmaticaCondC" w:eastAsia="Times New Roman" w:cs="PragmaticaCondC"/>
      <w:b/>
      <w:color w:val="0000FF"/>
      <w:sz w:val="24"/>
      <w:szCs w:val="20"/>
      <w:lang w:val="en-US" w:bidi="ar-SA" w:eastAsia="zh-CN"/>
    </w:rPr>
  </w:style>
  <w:style w:type="paragraph" w:styleId="MainTextTab">
    <w:name w:val="MainText+Tab"/>
    <w:basedOn w:val="MainText"/>
    <w:next w:val="MainText"/>
    <w:qFormat/>
    <w:pPr>
      <w:tabs>
        <w:tab w:val="clear" w:pos="720"/>
        <w:tab w:val="right" w:pos="9923" w:leader="none"/>
      </w:tabs>
    </w:pPr>
    <w:rPr/>
  </w:style>
  <w:style w:type="paragraph" w:styleId="Spravka-Fond-Cyan">
    <w:name w:val="Spravka-Fond-Cyan"/>
    <w:basedOn w:val="Spravka30"/>
    <w:next w:val="Spravka30"/>
    <w:qFormat/>
    <w:pPr>
      <w:tabs>
        <w:tab w:val="clear" w:pos="3969"/>
        <w:tab w:val="clear" w:pos="4989"/>
        <w:tab w:val="clear" w:pos="5811"/>
        <w:tab w:val="clear" w:pos="6661"/>
        <w:tab w:val="clear" w:pos="7512"/>
        <w:tab w:val="clear" w:pos="8362"/>
        <w:tab w:val="center" w:pos="3742" w:leader="none"/>
        <w:tab w:val="center" w:pos="4819" w:leader="none"/>
        <w:tab w:val="center" w:pos="5953" w:leader="none"/>
        <w:tab w:val="center" w:pos="7143" w:leader="none"/>
        <w:tab w:val="center" w:pos="8277" w:leader="none"/>
      </w:tabs>
      <w:ind w:firstLine="283" w:start="0" w:end="0"/>
    </w:pPr>
    <w:rPr/>
  </w:style>
  <w:style w:type="paragraph" w:styleId="Spravka-Fond">
    <w:name w:val="Spravka-Fond"/>
    <w:basedOn w:val="Spravka"/>
    <w:next w:val="Spravka"/>
    <w:qFormat/>
    <w:pPr>
      <w:tabs>
        <w:tab w:val="clear" w:pos="3969"/>
        <w:tab w:val="clear" w:pos="4989"/>
        <w:tab w:val="clear" w:pos="5811"/>
        <w:tab w:val="clear" w:pos="6661"/>
        <w:tab w:val="clear" w:pos="7512"/>
        <w:tab w:val="clear" w:pos="8362"/>
        <w:tab w:val="center" w:pos="3742" w:leader="none"/>
        <w:tab w:val="center" w:pos="4819" w:leader="none"/>
        <w:tab w:val="center" w:pos="5953" w:leader="none"/>
        <w:tab w:val="center" w:pos="7143" w:leader="none"/>
        <w:tab w:val="center" w:pos="8277" w:leader="none"/>
      </w:tabs>
      <w:ind w:firstLine="283" w:start="0" w:end="0"/>
    </w:pPr>
    <w:rPr/>
  </w:style>
  <w:style w:type="paragraph" w:styleId="MainTextLine">
    <w:name w:val="MainText + Line"/>
    <w:basedOn w:val="MainText-DebetKredit"/>
    <w:next w:val="MainText-DebetKredit"/>
    <w:qFormat/>
    <w:pPr>
      <w:tabs>
        <w:tab w:val="clear" w:pos="737"/>
        <w:tab w:val="right" w:pos="8787" w:leader="underscore"/>
      </w:tabs>
      <w:ind w:hanging="737" w:start="737" w:end="1"/>
    </w:pPr>
    <w:rPr/>
  </w:style>
  <w:style w:type="paragraph" w:styleId="lineno">
    <w:name w:val="!!lineno"/>
    <w:basedOn w:val="26-text"/>
    <w:next w:val="26-text"/>
    <w:qFormat/>
    <w:pPr>
      <w:pBdr>
        <w:bottom w:val="nil"/>
      </w:pBdr>
      <w:tabs>
        <w:tab w:val="clear" w:pos="224"/>
        <w:tab w:val="clear" w:pos="397"/>
        <w:tab w:val="clear" w:pos="7824"/>
        <w:tab w:val="left" w:pos="113" w:leader="none"/>
        <w:tab w:val="left" w:pos="794" w:leader="none"/>
        <w:tab w:val="right" w:pos="8674" w:leader="none"/>
      </w:tabs>
    </w:pPr>
    <w:rPr/>
  </w:style>
  <w:style w:type="paragraph" w:styleId="linenohead">
    <w:name w:val="!!linenohead"/>
    <w:basedOn w:val="26-text"/>
    <w:next w:val="26-text"/>
    <w:qFormat/>
    <w:pPr>
      <w:tabs>
        <w:tab w:val="clear" w:pos="224"/>
        <w:tab w:val="clear" w:pos="397"/>
        <w:tab w:val="clear" w:pos="7824"/>
        <w:tab w:val="center" w:pos="340" w:leader="none"/>
        <w:tab w:val="center" w:pos="4365" w:leader="none"/>
        <w:tab w:val="center" w:pos="8220" w:leader="none"/>
      </w:tabs>
    </w:pPr>
    <w:rPr>
      <w:b/>
    </w:rPr>
  </w:style>
  <w:style w:type="paragraph" w:styleId="Line">
    <w:name w:val="!!Line"/>
    <w:basedOn w:val="26-text"/>
    <w:next w:val="26-text"/>
    <w:qFormat/>
    <w:pPr>
      <w:tabs>
        <w:tab w:val="clear" w:pos="224"/>
        <w:tab w:val="clear" w:pos="397"/>
        <w:tab w:val="clear" w:pos="7824"/>
        <w:tab w:val="left" w:pos="113" w:leader="none"/>
        <w:tab w:val="left" w:pos="794" w:leader="none"/>
        <w:tab w:val="right" w:pos="8674" w:leader="none"/>
      </w:tabs>
    </w:pPr>
    <w:rPr/>
  </w:style>
  <w:style w:type="paragraph" w:styleId="00">
    <w:name w:val="!0!0"/>
    <w:basedOn w:val="Line"/>
    <w:next w:val="Line"/>
    <w:qFormat/>
    <w:pPr>
      <w:tabs>
        <w:tab w:val="clear" w:pos="113"/>
        <w:tab w:val="clear" w:pos="794"/>
        <w:tab w:val="clear" w:pos="8674"/>
        <w:tab w:val="right" w:pos="8561" w:leader="none"/>
      </w:tabs>
      <w:spacing w:before="0" w:after="0"/>
      <w:ind w:hanging="0" w:start="283" w:end="0"/>
    </w:pPr>
    <w:rPr/>
  </w:style>
  <w:style w:type="paragraph" w:styleId="11">
    <w:name w:val="!1!1"/>
    <w:basedOn w:val="Line"/>
    <w:next w:val="Line"/>
    <w:qFormat/>
    <w:pPr>
      <w:tabs>
        <w:tab w:val="clear" w:pos="113"/>
        <w:tab w:val="clear" w:pos="794"/>
        <w:tab w:val="clear" w:pos="8674"/>
        <w:tab w:val="right" w:pos="8561" w:leader="none"/>
      </w:tabs>
      <w:ind w:hanging="0" w:start="283" w:end="0"/>
    </w:pPr>
    <w:rPr/>
  </w:style>
  <w:style w:type="paragraph" w:styleId="Tab0000">
    <w:name w:val="Tab0000"/>
    <w:basedOn w:val="26-text"/>
    <w:next w:val="26-text"/>
    <w:qFormat/>
    <w:pPr>
      <w:tabs>
        <w:tab w:val="clear" w:pos="224"/>
        <w:tab w:val="clear" w:pos="397"/>
        <w:tab w:val="clear" w:pos="7824"/>
        <w:tab w:val="right" w:pos="2494" w:leader="none"/>
        <w:tab w:val="right" w:pos="3798" w:leader="none"/>
        <w:tab w:val="right" w:pos="5272" w:leader="none"/>
        <w:tab w:val="right" w:pos="7257" w:leader="none"/>
        <w:tab w:val="right" w:pos="8561" w:leader="none"/>
      </w:tabs>
      <w:ind w:hanging="0" w:start="283" w:end="0"/>
    </w:pPr>
    <w:rPr/>
  </w:style>
  <w:style w:type="paragraph" w:styleId="Podpis2">
    <w:name w:val="Podpis2"/>
    <w:basedOn w:val="Podpis"/>
    <w:next w:val="Podpis"/>
    <w:qFormat/>
    <w:pPr>
      <w:tabs>
        <w:tab w:val="clear" w:pos="4195"/>
        <w:tab w:val="left" w:pos="5102" w:leader="none"/>
      </w:tabs>
      <w:spacing w:before="454" w:after="0"/>
    </w:pPr>
    <w:rPr/>
  </w:style>
  <w:style w:type="paragraph" w:styleId="A-main">
    <w:name w:val="A-main"/>
    <w:basedOn w:val="Tablica"/>
    <w:next w:val="Tablica"/>
    <w:qFormat/>
    <w:pPr>
      <w:keepNext w:val="false"/>
      <w:keepLines w:val="false"/>
      <w:tabs>
        <w:tab w:val="clear" w:pos="720"/>
        <w:tab w:val="center" w:pos="992" w:leader="none"/>
        <w:tab w:val="left" w:pos="1474" w:leader="none"/>
        <w:tab w:val="center" w:pos="7370" w:leader="none"/>
        <w:tab w:val="left" w:pos="7710" w:leader="none"/>
      </w:tabs>
      <w:ind w:hanging="0" w:start="0" w:end="0"/>
    </w:pPr>
    <w:rPr>
      <w:sz w:val="20"/>
    </w:rPr>
  </w:style>
  <w:style w:type="paragraph" w:styleId="C-3-main">
    <w:name w:val="C-3-main"/>
    <w:basedOn w:val="A-main"/>
    <w:next w:val="A-main"/>
    <w:qFormat/>
    <w:pPr>
      <w:tabs>
        <w:tab w:val="clear" w:pos="992"/>
        <w:tab w:val="clear" w:pos="7710"/>
        <w:tab w:val="left" w:pos="454" w:leader="none"/>
        <w:tab w:val="left" w:pos="7370" w:leader="none"/>
      </w:tabs>
    </w:pPr>
    <w:rPr/>
  </w:style>
  <w:style w:type="paragraph" w:styleId="C-4-main">
    <w:name w:val="C-4-main"/>
    <w:basedOn w:val="A-main"/>
    <w:next w:val="A-main"/>
    <w:qFormat/>
    <w:pPr>
      <w:tabs>
        <w:tab w:val="clear" w:pos="992"/>
        <w:tab w:val="left" w:pos="454" w:leader="none"/>
      </w:tabs>
    </w:pPr>
    <w:rPr/>
  </w:style>
  <w:style w:type="paragraph" w:styleId="B-main">
    <w:name w:val="B-main"/>
    <w:basedOn w:val="Tablica"/>
    <w:next w:val="Tablica"/>
    <w:qFormat/>
    <w:pPr>
      <w:tabs>
        <w:tab w:val="clear" w:pos="720"/>
        <w:tab w:val="left" w:pos="1474" w:leader="none"/>
      </w:tabs>
      <w:ind w:hanging="1338" w:start="1474" w:end="1984"/>
    </w:pPr>
    <w:rPr>
      <w:b/>
      <w:sz w:val="20"/>
    </w:rPr>
  </w:style>
  <w:style w:type="paragraph" w:styleId="D-3-main">
    <w:name w:val="D-3-main"/>
    <w:basedOn w:val="B-main"/>
    <w:next w:val="B-main"/>
    <w:qFormat/>
    <w:pPr>
      <w:ind w:hanging="1015" w:start="1474" w:end="1984"/>
    </w:pPr>
    <w:rPr/>
  </w:style>
  <w:style w:type="paragraph" w:styleId="Zagolovok-Center">
    <w:name w:val="Zagolovok-Center"/>
    <w:basedOn w:val="Zagolovok"/>
    <w:next w:val="Zagolovok"/>
    <w:qFormat/>
    <w:pPr>
      <w:jc w:val="center"/>
    </w:pPr>
    <w:rPr>
      <w:color w:val="00FFFF"/>
    </w:rPr>
  </w:style>
  <w:style w:type="paragraph" w:styleId="Podzagolovok">
    <w:name w:val="Podzagolovok"/>
    <w:basedOn w:val="Zagolovok-Center"/>
    <w:qFormat/>
    <w:pPr>
      <w:spacing w:before="0" w:after="283"/>
    </w:pPr>
    <w:rPr>
      <w:rFonts w:ascii="PragmaticaC" w:hAnsi="PragmaticaC" w:cs="PragmaticaC"/>
      <w:sz w:val="22"/>
    </w:rPr>
  </w:style>
  <w:style w:type="paragraph" w:styleId="Header5">
    <w:name w:val="Header5"/>
    <w:basedOn w:val="Tablica"/>
    <w:next w:val="Tablica"/>
    <w:qFormat/>
    <w:pPr>
      <w:keepNext w:val="false"/>
      <w:keepLines w:val="false"/>
      <w:tabs>
        <w:tab w:val="clear" w:pos="720"/>
        <w:tab w:val="center" w:pos="283" w:leader="none"/>
        <w:tab w:val="center" w:pos="992" w:leader="none"/>
        <w:tab w:val="center" w:pos="4252" w:leader="none"/>
        <w:tab w:val="center" w:pos="7370" w:leader="none"/>
        <w:tab w:val="center" w:pos="8220" w:leader="none"/>
      </w:tabs>
      <w:ind w:hanging="0" w:start="0" w:end="0"/>
    </w:pPr>
    <w:rPr>
      <w:sz w:val="20"/>
    </w:rPr>
  </w:style>
  <w:style w:type="paragraph" w:styleId="MainTabulators">
    <w:name w:val="MainTabulators"/>
    <w:basedOn w:val="MainText"/>
    <w:next w:val="MainText"/>
    <w:qFormat/>
    <w:pPr>
      <w:tabs>
        <w:tab w:val="clear" w:pos="720"/>
        <w:tab w:val="right" w:pos="8232" w:leader="none"/>
      </w:tabs>
      <w:ind w:hanging="0" w:start="567" w:end="0"/>
      <w:jc w:val="start"/>
    </w:pPr>
    <w:rPr/>
  </w:style>
  <w:style w:type="paragraph" w:styleId="1234567">
    <w:name w:val="1234567"/>
    <w:basedOn w:val="25-Text"/>
    <w:next w:val="25-Text"/>
    <w:qFormat/>
    <w:pPr>
      <w:tabs>
        <w:tab w:val="clear" w:pos="340"/>
        <w:tab w:val="clear" w:pos="794"/>
        <w:tab w:val="clear" w:pos="5953"/>
        <w:tab w:val="clear" w:pos="7483"/>
        <w:tab w:val="clear" w:pos="8589"/>
        <w:tab w:val="right" w:pos="8674" w:leader="none"/>
      </w:tabs>
      <w:ind w:hanging="0" w:start="170" w:end="0"/>
    </w:pPr>
    <w:rPr/>
  </w:style>
  <w:style w:type="paragraph" w:styleId="MainTextThreeCol">
    <w:name w:val="MainTextThreeCol"/>
    <w:basedOn w:val="MainText-BezOtstupa1"/>
    <w:next w:val="MainText-BezOtstupa1"/>
    <w:qFormat/>
    <w:pPr>
      <w:tabs>
        <w:tab w:val="clear" w:pos="720"/>
        <w:tab w:val="left" w:pos="2551" w:leader="none"/>
        <w:tab w:val="left" w:pos="3969" w:leader="none"/>
      </w:tabs>
      <w:jc w:val="start"/>
    </w:pPr>
    <w:rPr/>
  </w:style>
  <w:style w:type="paragraph" w:styleId="BulletsInDebetCredit">
    <w:name w:val="BulletsInDebetCredit"/>
    <w:basedOn w:val="BulletsMain"/>
    <w:next w:val="BulletsMain"/>
    <w:qFormat/>
    <w:pPr>
      <w:tabs>
        <w:tab w:val="clear" w:pos="567"/>
        <w:tab w:val="left" w:pos="1134" w:leader="none"/>
      </w:tabs>
      <w:ind w:hanging="397" w:start="1134" w:end="0"/>
    </w:pPr>
    <w:rPr/>
  </w:style>
  <w:style w:type="paragraph" w:styleId="PrilZagolovok">
    <w:name w:val="PrilZagolovok"/>
    <w:qFormat/>
    <w:pPr>
      <w:widowControl/>
      <w:overflowPunct w:val="false"/>
      <w:autoSpaceDE w:val="false"/>
      <w:bidi w:val="0"/>
      <w:spacing w:before="113" w:after="113"/>
      <w:jc w:val="center"/>
      <w:textAlignment w:val="baseline"/>
    </w:pPr>
    <w:rPr>
      <w:rFonts w:ascii="PragmaticaCondC" w:hAnsi="PragmaticaCondC" w:eastAsia="Times New Roman" w:cs="PragmaticaCondC"/>
      <w:b/>
      <w:color w:val="0000FF"/>
      <w:sz w:val="24"/>
      <w:szCs w:val="20"/>
      <w:lang w:val="en-US" w:bidi="ar-SA" w:eastAsia="zh-CN"/>
    </w:rPr>
  </w:style>
  <w:style w:type="paragraph" w:styleId="112">
    <w:name w:val="!11!"/>
    <w:basedOn w:val="Normal"/>
    <w:next w:val="Normal"/>
    <w:qFormat/>
    <w:pPr>
      <w:keepLines/>
      <w:pBdr>
        <w:bottom w:val="single" w:sz="2" w:space="0" w:color="000000"/>
      </w:pBdr>
      <w:tabs>
        <w:tab w:val="clear" w:pos="720"/>
        <w:tab w:val="left" w:pos="85" w:leader="none"/>
        <w:tab w:val="left" w:pos="4309" w:leader="none"/>
        <w:tab w:val="center" w:pos="8702" w:leader="none"/>
        <w:tab w:val="right" w:pos="10176" w:leader="none"/>
        <w:tab w:val="center" w:pos="10913" w:leader="none"/>
        <w:tab w:val="center" w:pos="12076" w:leader="none"/>
        <w:tab w:val="left" w:pos="13294" w:leader="none"/>
      </w:tabs>
      <w:spacing w:before="53" w:after="0"/>
      <w:ind w:hanging="0" w:start="0" w:end="57"/>
    </w:pPr>
    <w:rPr>
      <w:rFonts w:ascii="PragmaticaC" w:hAnsi="PragmaticaC" w:cs="PragmaticaC"/>
      <w:color w:val="000000"/>
      <w:sz w:val="17"/>
      <w:lang w:val="en-US"/>
    </w:rPr>
  </w:style>
  <w:style w:type="paragraph" w:styleId="11Vert">
    <w:name w:val="11Vert"/>
    <w:basedOn w:val="112"/>
    <w:next w:val="112"/>
    <w:qFormat/>
    <w:pPr>
      <w:tabs>
        <w:tab w:val="clear" w:pos="85"/>
        <w:tab w:val="clear" w:pos="4309"/>
        <w:tab w:val="clear" w:pos="8702"/>
        <w:tab w:val="clear" w:pos="10176"/>
        <w:tab w:val="clear" w:pos="10913"/>
        <w:tab w:val="clear" w:pos="12076"/>
        <w:tab w:val="clear" w:pos="13294"/>
        <w:tab w:val="center" w:pos="164" w:leader="none"/>
        <w:tab w:val="left" w:pos="425" w:leader="none"/>
        <w:tab w:val="left" w:pos="3969" w:leader="none"/>
        <w:tab w:val="center" w:pos="9269" w:leader="none"/>
        <w:tab w:val="left" w:pos="9723" w:leader="none"/>
        <w:tab w:val="right" w:pos="13096" w:leader="none"/>
        <w:tab w:val="right" w:pos="14258" w:leader="none"/>
      </w:tabs>
    </w:pPr>
    <w:rPr/>
  </w:style>
  <w:style w:type="paragraph" w:styleId="StyleStyle">
    <w:name w:val="StyleStyle"/>
    <w:basedOn w:val="Normal"/>
    <w:next w:val="Normal"/>
    <w:qFormat/>
    <w:pPr>
      <w:keepLines/>
      <w:pBdr>
        <w:bottom w:val="single" w:sz="2" w:space="0" w:color="000000"/>
      </w:pBdr>
      <w:tabs>
        <w:tab w:val="clear" w:pos="720"/>
        <w:tab w:val="right" w:pos="340" w:leader="none"/>
        <w:tab w:val="left" w:pos="539" w:leader="none"/>
        <w:tab w:val="center" w:pos="3481" w:leader="none"/>
        <w:tab w:val="right" w:pos="4365" w:leader="none"/>
        <w:tab w:val="left" w:pos="4620" w:leader="none"/>
        <w:tab w:val="center" w:pos="7172" w:leader="none"/>
        <w:tab w:val="left" w:pos="7625" w:leader="none"/>
      </w:tabs>
      <w:spacing w:before="53" w:after="0"/>
      <w:ind w:hanging="0" w:start="0" w:end="57"/>
    </w:pPr>
    <w:rPr>
      <w:rFonts w:ascii="PragmaticaC" w:hAnsi="PragmaticaC" w:cs="PragmaticaC"/>
      <w:sz w:val="17"/>
      <w:lang w:val="en-US"/>
    </w:rPr>
  </w:style>
  <w:style w:type="paragraph" w:styleId="15">
    <w:name w:val="!15!"/>
    <w:basedOn w:val="StyleStyle"/>
    <w:next w:val="StyleStyle"/>
    <w:qFormat/>
    <w:pPr>
      <w:pBdr>
        <w:bottom w:val="nil"/>
      </w:pBdr>
      <w:tabs>
        <w:tab w:val="clear" w:pos="340"/>
        <w:tab w:val="clear" w:pos="539"/>
        <w:tab w:val="clear" w:pos="3481"/>
        <w:tab w:val="clear" w:pos="4365"/>
        <w:tab w:val="clear" w:pos="4620"/>
        <w:tab w:val="clear" w:pos="7172"/>
        <w:tab w:val="clear" w:pos="7625"/>
        <w:tab w:val="left" w:pos="130" w:leader="none"/>
        <w:tab w:val="left" w:pos="2750" w:leader="none"/>
        <w:tab w:val="center" w:pos="7058" w:leader="none"/>
        <w:tab w:val="center" w:pos="8192" w:leader="none"/>
        <w:tab w:val="center" w:pos="9326" w:leader="none"/>
        <w:tab w:val="center" w:pos="10431" w:leader="none"/>
        <w:tab w:val="left" w:pos="12416" w:leader="none"/>
      </w:tabs>
    </w:pPr>
    <w:rPr/>
  </w:style>
  <w:style w:type="paragraph" w:styleId="15Vert">
    <w:name w:val="15Vert"/>
    <w:basedOn w:val="15"/>
    <w:next w:val="15"/>
    <w:qFormat/>
    <w:pPr>
      <w:pBdr>
        <w:bottom w:val="single" w:sz="2" w:space="0" w:color="000000"/>
      </w:pBdr>
      <w:tabs>
        <w:tab w:val="clear" w:pos="130"/>
        <w:tab w:val="clear" w:pos="2750"/>
        <w:tab w:val="clear" w:pos="7058"/>
        <w:tab w:val="clear" w:pos="8192"/>
        <w:tab w:val="clear" w:pos="9326"/>
        <w:tab w:val="clear" w:pos="10431"/>
        <w:tab w:val="clear" w:pos="12416"/>
        <w:tab w:val="left" w:pos="85" w:leader="none"/>
        <w:tab w:val="left" w:pos="4309" w:leader="none"/>
        <w:tab w:val="center" w:pos="8702" w:leader="none"/>
        <w:tab w:val="right" w:pos="10176" w:leader="none"/>
        <w:tab w:val="center" w:pos="10913" w:leader="none"/>
        <w:tab w:val="center" w:pos="12076" w:leader="none"/>
        <w:tab w:val="left" w:pos="13294" w:leader="none"/>
      </w:tabs>
    </w:pPr>
    <w:rPr>
      <w:color w:val="000000"/>
    </w:rPr>
  </w:style>
  <w:style w:type="paragraph" w:styleId="1515Vert">
    <w:name w:val="1515Vert"/>
    <w:basedOn w:val="15"/>
    <w:next w:val="15"/>
    <w:qFormat/>
    <w:pPr>
      <w:pBdr>
        <w:bottom w:val="single" w:sz="2" w:space="0" w:color="000000"/>
      </w:pBdr>
      <w:tabs>
        <w:tab w:val="clear" w:pos="130"/>
        <w:tab w:val="clear" w:pos="2750"/>
        <w:tab w:val="clear" w:pos="7058"/>
        <w:tab w:val="clear" w:pos="8192"/>
        <w:tab w:val="clear" w:pos="9326"/>
        <w:tab w:val="clear" w:pos="10431"/>
        <w:tab w:val="clear" w:pos="12416"/>
        <w:tab w:val="right" w:pos="283" w:leader="none"/>
        <w:tab w:val="left" w:pos="340" w:leader="none"/>
        <w:tab w:val="center" w:pos="8617" w:leader="none"/>
        <w:tab w:val="center" w:pos="10998" w:leader="none"/>
        <w:tab w:val="center" w:pos="13323" w:leader="none"/>
      </w:tabs>
    </w:pPr>
    <w:rPr>
      <w:color w:val="000000"/>
    </w:rPr>
  </w:style>
  <w:style w:type="paragraph" w:styleId="Norman">
    <w:name w:val="Norman"/>
    <w:basedOn w:val="Normal"/>
    <w:next w:val="Normal"/>
    <w:qFormat/>
    <w:pPr>
      <w:jc w:val="center"/>
    </w:pPr>
    <w:rPr>
      <w:rFonts w:ascii="PragmaticaC" w:hAnsi="PragmaticaC" w:cs="PragmaticaC"/>
      <w:sz w:val="17"/>
      <w:lang w:val="en-US"/>
    </w:rPr>
  </w:style>
  <w:style w:type="paragraph" w:styleId="MainTextRightData">
    <w:name w:val="MainTextRightData"/>
    <w:basedOn w:val="MainText"/>
    <w:next w:val="MainText"/>
    <w:qFormat/>
    <w:pPr>
      <w:ind w:hanging="0" w:start="0" w:end="567"/>
      <w:jc w:val="end"/>
    </w:pPr>
    <w:rPr/>
  </w:style>
  <w:style w:type="paragraph" w:styleId="StySty">
    <w:name w:val="StySty"/>
    <w:basedOn w:val="StyleStyle"/>
    <w:next w:val="StyleStyle"/>
    <w:qFormat/>
    <w:pPr>
      <w:tabs>
        <w:tab w:val="clear" w:pos="4365"/>
        <w:tab w:val="clear" w:pos="4620"/>
        <w:tab w:val="clear" w:pos="7172"/>
        <w:tab w:val="right" w:pos="4450" w:leader="none"/>
        <w:tab w:val="left" w:pos="4535" w:leader="none"/>
        <w:tab w:val="center" w:pos="7143" w:leader="none"/>
      </w:tabs>
    </w:pPr>
    <w:rPr>
      <w:color w:val="000000"/>
    </w:rPr>
  </w:style>
  <w:style w:type="paragraph" w:styleId="12">
    <w:name w:val="?1"/>
    <w:basedOn w:val="25-Text"/>
    <w:next w:val="25-Text"/>
    <w:qFormat/>
    <w:pPr>
      <w:tabs>
        <w:tab w:val="clear" w:pos="340"/>
        <w:tab w:val="clear" w:pos="794"/>
        <w:tab w:val="clear" w:pos="5953"/>
        <w:tab w:val="clear" w:pos="7483"/>
        <w:tab w:val="clear" w:pos="8589"/>
        <w:tab w:val="right" w:pos="397" w:leader="none"/>
        <w:tab w:val="left" w:pos="850" w:leader="none"/>
        <w:tab w:val="center" w:pos="6066" w:leader="none"/>
        <w:tab w:val="center" w:pos="7994" w:leader="none"/>
      </w:tabs>
    </w:pPr>
    <w:rPr/>
  </w:style>
  <w:style w:type="paragraph" w:styleId="2noline">
    <w:name w:val="?2noline"/>
    <w:basedOn w:val="26-text"/>
    <w:next w:val="26-text"/>
    <w:qFormat/>
    <w:pPr>
      <w:pBdr>
        <w:bottom w:val="nil"/>
      </w:pBdr>
      <w:tabs>
        <w:tab w:val="clear" w:pos="224"/>
        <w:tab w:val="clear" w:pos="397"/>
        <w:tab w:val="clear" w:pos="7824"/>
        <w:tab w:val="left" w:pos="113" w:leader="none"/>
        <w:tab w:val="left" w:pos="794" w:leader="none"/>
        <w:tab w:val="right" w:pos="8674" w:leader="none"/>
      </w:tabs>
    </w:pPr>
    <w:rPr/>
  </w:style>
  <w:style w:type="paragraph" w:styleId="2line">
    <w:name w:val="?2line"/>
    <w:basedOn w:val="26-text"/>
    <w:next w:val="26-text"/>
    <w:qFormat/>
    <w:pPr>
      <w:tabs>
        <w:tab w:val="clear" w:pos="224"/>
        <w:tab w:val="clear" w:pos="397"/>
        <w:tab w:val="clear" w:pos="7824"/>
        <w:tab w:val="left" w:pos="113" w:leader="none"/>
        <w:tab w:val="left" w:pos="794" w:leader="none"/>
        <w:tab w:val="right" w:pos="8674" w:leader="none"/>
      </w:tabs>
    </w:pPr>
    <w:rPr/>
  </w:style>
  <w:style w:type="paragraph" w:styleId="3last">
    <w:name w:val="?3last"/>
    <w:basedOn w:val="11"/>
    <w:next w:val="11"/>
    <w:qFormat/>
    <w:pPr>
      <w:tabs>
        <w:tab w:val="clear" w:pos="8561"/>
        <w:tab w:val="right" w:pos="8277" w:leader="none"/>
      </w:tabs>
      <w:ind w:hanging="0" w:start="567" w:end="0"/>
    </w:pPr>
    <w:rPr/>
  </w:style>
  <w:style w:type="paragraph" w:styleId="9itogo">
    <w:name w:val="9itogo"/>
    <w:basedOn w:val="MainText-BezOtstupa1"/>
    <w:next w:val="MainText-BezOtstupa1"/>
    <w:qFormat/>
    <w:pPr>
      <w:pBdr>
        <w:top w:val="single" w:sz="2" w:space="0" w:color="000000"/>
      </w:pBdr>
      <w:tabs>
        <w:tab w:val="clear" w:pos="720"/>
        <w:tab w:val="right" w:pos="7370" w:leader="none"/>
        <w:tab w:val="right" w:pos="8504" w:leader="none"/>
      </w:tabs>
      <w:spacing w:before="57" w:after="0"/>
      <w:jc w:val="start"/>
    </w:pPr>
    <w:rPr/>
  </w:style>
  <w:style w:type="paragraph" w:styleId="9">
    <w:name w:val="9"/>
    <w:basedOn w:val="MainText-BezOtstupa1"/>
    <w:next w:val="MainText-BezOtstupa1"/>
    <w:qFormat/>
    <w:pPr>
      <w:tabs>
        <w:tab w:val="clear" w:pos="720"/>
        <w:tab w:val="right" w:pos="7370" w:leader="none"/>
        <w:tab w:val="right" w:pos="8504" w:leader="none"/>
      </w:tabs>
      <w:jc w:val="start"/>
    </w:pPr>
    <w:rPr/>
  </w:style>
  <w:style w:type="paragraph" w:styleId="14shadow">
    <w:name w:val="14shadow"/>
    <w:basedOn w:val="Spravka30"/>
    <w:next w:val="Spravka30"/>
    <w:qFormat/>
    <w:pPr>
      <w:tabs>
        <w:tab w:val="clear" w:pos="3969"/>
        <w:tab w:val="center" w:pos="3345" w:leader="none"/>
        <w:tab w:val="center" w:pos="4167" w:leader="none"/>
      </w:tabs>
      <w:ind w:hanging="0" w:start="113" w:end="0"/>
    </w:pPr>
    <w:rPr/>
  </w:style>
  <w:style w:type="paragraph" w:styleId="14">
    <w:name w:val="14"/>
    <w:qFormat/>
    <w:pPr>
      <w:keepLines/>
      <w:widowControl/>
      <w:tabs>
        <w:tab w:val="clear" w:pos="720"/>
        <w:tab w:val="left" w:pos="283" w:leader="none"/>
        <w:tab w:val="center" w:pos="3345" w:leader="none"/>
        <w:tab w:val="center" w:pos="4167" w:leader="none"/>
        <w:tab w:val="center" w:pos="4989" w:leader="none"/>
        <w:tab w:val="center" w:pos="5811" w:leader="none"/>
        <w:tab w:val="center" w:pos="6661" w:leader="none"/>
        <w:tab w:val="center" w:pos="7512" w:leader="none"/>
        <w:tab w:val="center" w:pos="8362" w:leader="none"/>
      </w:tabs>
      <w:overflowPunct w:val="false"/>
      <w:autoSpaceDE w:val="false"/>
      <w:bidi w:val="0"/>
      <w:ind w:hanging="0" w:start="113" w:end="0"/>
      <w:textAlignment w:val="baseline"/>
    </w:pPr>
    <w:rPr>
      <w:rFonts w:ascii="PragmaticaC" w:hAnsi="PragmaticaC" w:eastAsia="Times New Roman" w:cs="PragmaticaC"/>
      <w:color w:val="000000"/>
      <w:sz w:val="18"/>
      <w:szCs w:val="20"/>
      <w:lang w:val="en-US" w:bidi="ar-SA" w:eastAsia="zh-CN"/>
    </w:rPr>
  </w:style>
  <w:style w:type="paragraph" w:styleId="17">
    <w:name w:val="17"/>
    <w:basedOn w:val="25-Text"/>
    <w:next w:val="25-Text"/>
    <w:qFormat/>
    <w:pPr>
      <w:tabs>
        <w:tab w:val="clear" w:pos="340"/>
        <w:tab w:val="clear" w:pos="794"/>
        <w:tab w:val="clear" w:pos="5953"/>
        <w:tab w:val="clear" w:pos="7483"/>
        <w:tab w:val="clear" w:pos="8589"/>
        <w:tab w:val="right" w:pos="312" w:leader="none"/>
        <w:tab w:val="left" w:pos="567" w:leader="none"/>
        <w:tab w:val="center" w:pos="7115" w:leader="none"/>
        <w:tab w:val="decimal" w:pos="8277" w:leader="none"/>
      </w:tabs>
    </w:pPr>
    <w:rPr/>
  </w:style>
  <w:style w:type="paragraph" w:styleId="18">
    <w:name w:val="18"/>
    <w:basedOn w:val="27-text"/>
    <w:next w:val="27-text"/>
    <w:qFormat/>
    <w:pPr>
      <w:tabs>
        <w:tab w:val="clear" w:pos="567"/>
        <w:tab w:val="clear" w:pos="7115"/>
        <w:tab w:val="clear" w:pos="8277"/>
        <w:tab w:val="left" w:pos="539" w:leader="none"/>
        <w:tab w:val="center" w:pos="6860" w:leader="none"/>
        <w:tab w:val="left" w:pos="7427" w:leader="none"/>
      </w:tabs>
    </w:pPr>
    <w:rPr/>
  </w:style>
  <w:style w:type="paragraph" w:styleId="DKOtstup">
    <w:name w:val="DKOtstup"/>
    <w:basedOn w:val="25-Text"/>
    <w:next w:val="25-Text"/>
    <w:qFormat/>
    <w:pPr>
      <w:tabs>
        <w:tab w:val="clear" w:pos="340"/>
        <w:tab w:val="clear" w:pos="794"/>
        <w:tab w:val="clear" w:pos="5953"/>
        <w:tab w:val="clear" w:pos="7483"/>
        <w:tab w:val="clear" w:pos="8589"/>
      </w:tabs>
      <w:ind w:hanging="0" w:start="567" w:end="283"/>
      <w:jc w:val="end"/>
    </w:pPr>
    <w:rPr/>
  </w:style>
  <w:style w:type="paragraph" w:styleId="DK">
    <w:name w:val="DK"/>
    <w:basedOn w:val="25-Text"/>
    <w:next w:val="25-Text"/>
    <w:qFormat/>
    <w:pPr>
      <w:tabs>
        <w:tab w:val="clear" w:pos="340"/>
        <w:tab w:val="clear" w:pos="794"/>
        <w:tab w:val="clear" w:pos="5953"/>
        <w:tab w:val="clear" w:pos="7483"/>
        <w:tab w:val="clear" w:pos="8589"/>
      </w:tabs>
      <w:ind w:hanging="0" w:start="283" w:end="283"/>
      <w:jc w:val="end"/>
    </w:pPr>
    <w:rPr/>
  </w:style>
  <w:style w:type="paragraph" w:styleId="LikvidHead">
    <w:name w:val="LikvidHead"/>
    <w:basedOn w:val="Tablica"/>
    <w:next w:val="Tablica"/>
    <w:qFormat/>
    <w:pPr>
      <w:keepNext w:val="false"/>
      <w:pBdr>
        <w:bottom w:val="single" w:sz="2" w:space="0" w:color="000000"/>
      </w:pBdr>
      <w:tabs>
        <w:tab w:val="clear" w:pos="720"/>
        <w:tab w:val="center" w:pos="198" w:leader="none"/>
        <w:tab w:val="center" w:pos="1814" w:leader="none"/>
        <w:tab w:val="center" w:pos="3883" w:leader="none"/>
        <w:tab w:val="center" w:pos="5329" w:leader="none"/>
        <w:tab w:val="center" w:pos="6831" w:leader="none"/>
        <w:tab w:val="center" w:pos="10743" w:leader="none"/>
      </w:tabs>
      <w:spacing w:before="57" w:after="0"/>
      <w:ind w:hanging="0" w:start="0" w:end="57"/>
    </w:pPr>
    <w:rPr>
      <w:sz w:val="17"/>
    </w:rPr>
  </w:style>
  <w:style w:type="paragraph" w:styleId="LikvidBody">
    <w:name w:val="LikvidBody"/>
    <w:basedOn w:val="StySty"/>
    <w:next w:val="StySty"/>
    <w:qFormat/>
    <w:pPr>
      <w:tabs>
        <w:tab w:val="clear" w:pos="3481"/>
        <w:tab w:val="clear" w:pos="4450"/>
        <w:tab w:val="clear" w:pos="4535"/>
        <w:tab w:val="clear" w:pos="7143"/>
        <w:tab w:val="center" w:pos="3855" w:leader="none"/>
        <w:tab w:val="center" w:pos="5329" w:leader="none"/>
        <w:tab w:val="right" w:pos="7115" w:leader="none"/>
      </w:tabs>
    </w:pPr>
    <w:rPr/>
  </w:style>
  <w:style w:type="paragraph" w:styleId="Style46">
    <w:name w:val="??"/>
    <w:basedOn w:val="25-Text"/>
    <w:next w:val="25-Text"/>
    <w:qFormat/>
    <w:pPr>
      <w:pBdr>
        <w:bottom w:val="nil"/>
      </w:pBdr>
      <w:tabs>
        <w:tab w:val="clear" w:pos="794"/>
        <w:tab w:val="clear" w:pos="5953"/>
        <w:tab w:val="clear" w:pos="7483"/>
        <w:tab w:val="clear" w:pos="8589"/>
        <w:tab w:val="right" w:pos="340" w:leader="none"/>
        <w:tab w:val="left" w:pos="454" w:leader="none"/>
        <w:tab w:val="center" w:pos="7370" w:leader="none"/>
        <w:tab w:val="center" w:pos="10261" w:leader="none"/>
        <w:tab w:val="center" w:pos="13039" w:leader="none"/>
      </w:tabs>
    </w:pPr>
    <w:rPr/>
  </w:style>
  <w:style w:type="paragraph" w:styleId="Z30">
    <w:name w:val="Z+30%"/>
    <w:basedOn w:val="Tab006301kol"/>
    <w:next w:val="Tab00630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Z">
    <w:name w:val="Z"/>
    <w:basedOn w:val="Tab0061kol"/>
    <w:next w:val="Tab0061kol"/>
    <w:qFormat/>
    <w:pPr>
      <w:tabs>
        <w:tab w:val="clear" w:pos="1814"/>
        <w:tab w:val="clear" w:pos="2693"/>
        <w:tab w:val="clear" w:pos="3543"/>
        <w:tab w:val="clear" w:pos="4479"/>
        <w:tab w:val="clear" w:pos="5386"/>
        <w:tab w:val="clear" w:pos="6520"/>
        <w:tab w:val="clear" w:pos="7370"/>
        <w:tab w:val="center" w:pos="1783" w:leader="none"/>
        <w:tab w:val="center" w:pos="2891" w:leader="none"/>
        <w:tab w:val="center" w:pos="3997" w:leader="none"/>
        <w:tab w:val="center" w:pos="5131" w:leader="none"/>
        <w:tab w:val="center" w:pos="6321" w:leader="none"/>
        <w:tab w:val="decimal" w:pos="7342" w:leader="none"/>
        <w:tab w:val="center" w:pos="8334" w:leader="none"/>
      </w:tabs>
    </w:pPr>
    <w:rPr/>
  </w:style>
  <w:style w:type="paragraph" w:styleId="Inioaeno">
    <w:name w:val="Ini. oaeno"/>
    <w:qFormat/>
    <w:pPr>
      <w:widowControl/>
      <w:overflowPunct w:val="false"/>
      <w:autoSpaceDE w:val="false"/>
      <w:bidi w:val="0"/>
      <w:ind w:firstLine="567" w:start="0" w:end="0"/>
      <w:jc w:val="both"/>
      <w:textAlignment w:val="baseline"/>
    </w:pPr>
    <w:rPr>
      <w:rFonts w:ascii="Pragmatica" w:hAnsi="Pragmatica" w:eastAsia="Times New Roman" w:cs="Pragmatica"/>
      <w:color w:val="000000"/>
      <w:sz w:val="20"/>
      <w:szCs w:val="20"/>
      <w:lang w:val="en-US" w:bidi="ar-SA" w:eastAsia="zh-CN"/>
    </w:rPr>
  </w:style>
  <w:style w:type="paragraph" w:styleId="Style47">
    <w:name w:val="Обычный"/>
    <w:qFormat/>
    <w:pPr>
      <w:widowControl/>
      <w:overflowPunct w:val="false"/>
      <w:autoSpaceDE w:val="false"/>
      <w:bidi w:val="0"/>
      <w:textAlignment w:val="baseline"/>
    </w:pPr>
    <w:rPr>
      <w:rFonts w:ascii="Times New Roman" w:hAnsi="Times New Roman" w:eastAsia="Times New Roman" w:cs="Times New Roman"/>
      <w:color w:val="auto"/>
      <w:sz w:val="20"/>
      <w:szCs w:val="20"/>
      <w:lang w:bidi="ar-SA" w:val="ru-RU" w:eastAsia="zh-CN"/>
    </w:rPr>
  </w:style>
  <w:style w:type="paragraph" w:styleId="113">
    <w:name w:val="11"/>
    <w:qFormat/>
    <w:pPr>
      <w:widowControl/>
      <w:pBdr>
        <w:bottom w:val="single" w:sz="2" w:space="0" w:color="000000"/>
      </w:pBdr>
      <w:tabs>
        <w:tab w:val="clear" w:pos="720"/>
        <w:tab w:val="left" w:pos="6123" w:leader="none"/>
      </w:tabs>
      <w:overflowPunct w:val="false"/>
      <w:autoSpaceDE w:val="false"/>
      <w:bidi w:val="0"/>
      <w:ind w:hanging="0" w:start="567" w:end="0"/>
      <w:textAlignment w:val="baseline"/>
    </w:pPr>
    <w:rPr>
      <w:rFonts w:ascii="PragmaticaC" w:hAnsi="PragmaticaC" w:eastAsia="Times New Roman" w:cs="PragmaticaC"/>
      <w:color w:val="000000"/>
      <w:sz w:val="19"/>
      <w:szCs w:val="20"/>
      <w:lang w:val="en-US" w:bidi="ar-SA" w:eastAsia="zh-CN"/>
    </w:rPr>
  </w:style>
  <w:style w:type="paragraph" w:styleId="MZagolovok-LineAbove">
    <w:name w:val="MZagolovok-LineAbove"/>
    <w:basedOn w:val="MZagolvok-Center"/>
    <w:next w:val="MZagolvok-Center"/>
    <w:qFormat/>
    <w:pPr>
      <w:pBdr>
        <w:top w:val="single" w:sz="6" w:space="0" w:color="000000"/>
      </w:pBdr>
    </w:pPr>
    <w:rPr>
      <w:color w:val="00FFFF"/>
    </w:rPr>
  </w:style>
  <w:style w:type="paragraph" w:styleId="121">
    <w:name w:val="12"/>
    <w:basedOn w:val="StyleStyle"/>
    <w:next w:val="StyleStyle"/>
    <w:qFormat/>
    <w:pPr>
      <w:keepLines w:val="false"/>
      <w:tabs>
        <w:tab w:val="clear" w:pos="340"/>
        <w:tab w:val="clear" w:pos="4365"/>
        <w:tab w:val="clear" w:pos="4620"/>
        <w:tab w:val="clear" w:pos="7172"/>
        <w:tab w:val="clear" w:pos="7625"/>
        <w:tab w:val="right" w:pos="283" w:leader="none"/>
        <w:tab w:val="right" w:pos="4507" w:leader="none"/>
        <w:tab w:val="left" w:pos="4706" w:leader="none"/>
        <w:tab w:val="center" w:pos="7710" w:leader="none"/>
        <w:tab w:val="left" w:pos="8164" w:leader="none"/>
      </w:tabs>
    </w:pPr>
    <w:rPr>
      <w:color w:val="000000"/>
    </w:rPr>
  </w:style>
  <w:style w:type="paragraph" w:styleId="GU-Small">
    <w:name w:val="GU-Small"/>
    <w:basedOn w:val="MainText-BezOtstupa1"/>
    <w:next w:val="MainText-BezOtstupa1"/>
    <w:qFormat/>
    <w:pPr>
      <w:ind w:hanging="0" w:start="6520" w:end="0"/>
      <w:jc w:val="start"/>
    </w:pPr>
    <w:rPr/>
  </w:style>
  <w:style w:type="paragraph" w:styleId="GU-Big">
    <w:name w:val="GU-Big"/>
    <w:basedOn w:val="MainText-BezOtstupa1"/>
    <w:next w:val="MainText-BezOtstupa1"/>
    <w:qFormat/>
    <w:pPr>
      <w:ind w:hanging="0" w:start="6123" w:end="0"/>
      <w:jc w:val="start"/>
    </w:pPr>
    <w:rPr/>
  </w:style>
  <w:style w:type="paragraph" w:styleId="TwoLinesLeft">
    <w:name w:val="!!TwoLinesLeft"/>
    <w:basedOn w:val="Data"/>
    <w:next w:val="Data"/>
    <w:qFormat/>
    <w:pPr>
      <w:pBdr>
        <w:bottom w:val="single" w:sz="2" w:space="0" w:color="000000"/>
      </w:pBdr>
      <w:spacing w:before="85" w:after="0"/>
    </w:pPr>
    <w:rPr/>
  </w:style>
  <w:style w:type="paragraph" w:styleId="Forma">
    <w:name w:val="!!Forma"/>
    <w:basedOn w:val="Prilozhenie"/>
    <w:next w:val="Prilozhenie"/>
    <w:qFormat/>
    <w:pPr>
      <w:spacing w:before="0" w:after="0"/>
      <w:ind w:hanging="0" w:start="12387" w:end="0"/>
      <w:jc w:val="start"/>
    </w:pPr>
    <w:rPr/>
  </w:style>
  <w:style w:type="paragraph" w:styleId="1928">
    <w:name w:val="1928"/>
    <w:basedOn w:val="MainText-BezOtstupa1"/>
    <w:next w:val="MainText-BezOtstupa1"/>
    <w:qFormat/>
    <w:pPr>
      <w:tabs>
        <w:tab w:val="clear" w:pos="720"/>
        <w:tab w:val="center" w:pos="3855" w:leader="none"/>
        <w:tab w:val="center" w:pos="6236" w:leader="none"/>
        <w:tab w:val="left" w:pos="7948" w:leader="none"/>
      </w:tabs>
    </w:pPr>
    <w:rPr/>
  </w:style>
  <w:style w:type="paragraph" w:styleId="MGlavaCenter">
    <w:name w:val="MGlavaCenter"/>
    <w:qFormat/>
    <w:pPr>
      <w:keepNext w:val="true"/>
      <w:widowControl/>
      <w:overflowPunct w:val="false"/>
      <w:autoSpaceDE w:val="false"/>
      <w:bidi w:val="0"/>
      <w:spacing w:before="113" w:after="113"/>
      <w:jc w:val="center"/>
      <w:textAlignment w:val="baseline"/>
    </w:pPr>
    <w:rPr>
      <w:rFonts w:ascii="PragmaticaC" w:hAnsi="PragmaticaC" w:eastAsia="Times New Roman" w:cs="PragmaticaC"/>
      <w:b/>
      <w:color w:val="000000"/>
      <w:sz w:val="19"/>
      <w:szCs w:val="20"/>
      <w:lang w:val="en-US" w:bidi="ar-SA" w:eastAsia="zh-CN"/>
    </w:rPr>
  </w:style>
  <w:style w:type="paragraph" w:styleId="dkp2">
    <w:name w:val="dkp2"/>
    <w:basedOn w:val="25-Text"/>
    <w:next w:val="25-Text"/>
    <w:qFormat/>
    <w:pPr>
      <w:keepNext w:val="false"/>
      <w:keepLines w:val="false"/>
      <w:tabs>
        <w:tab w:val="clear" w:pos="340"/>
        <w:tab w:val="clear" w:pos="794"/>
        <w:tab w:val="clear" w:pos="5953"/>
        <w:tab w:val="clear" w:pos="7483"/>
        <w:tab w:val="clear" w:pos="8589"/>
      </w:tabs>
      <w:ind w:hanging="0" w:start="283" w:end="283"/>
      <w:jc w:val="end"/>
    </w:pPr>
    <w:rPr/>
  </w:style>
  <w:style w:type="paragraph" w:styleId="MzagolovkText">
    <w:name w:val="MzagolovkText"/>
    <w:basedOn w:val="MZagolovok"/>
    <w:next w:val="MZagolovok"/>
    <w:qFormat/>
    <w:pPr>
      <w:spacing w:before="113" w:after="113"/>
    </w:pPr>
    <w:rPr>
      <w:b w:val="false"/>
      <w:color w:val="000000"/>
    </w:rPr>
  </w:style>
  <w:style w:type="paragraph" w:styleId="BulletsNumbers">
    <w:name w:val="BulletsNumbers"/>
    <w:basedOn w:val="BulletsMain"/>
    <w:next w:val="BulletsMain"/>
    <w:qFormat/>
    <w:pPr>
      <w:tabs>
        <w:tab w:val="clear" w:pos="567"/>
        <w:tab w:val="left" w:pos="283" w:leader="none"/>
      </w:tabs>
      <w:ind w:hanging="283" w:start="283" w:end="0"/>
    </w:pPr>
    <w:rPr/>
  </w:style>
  <w:style w:type="paragraph" w:styleId="00000">
    <w:name w:val="00000"/>
    <w:basedOn w:val="MainText"/>
    <w:next w:val="MainText"/>
    <w:qFormat/>
    <w:pPr>
      <w:tabs>
        <w:tab w:val="clear" w:pos="720"/>
        <w:tab w:val="right" w:pos="567" w:leader="none"/>
        <w:tab w:val="left" w:pos="1247" w:leader="none"/>
        <w:tab w:val="center" w:pos="7087" w:leader="none"/>
      </w:tabs>
      <w:spacing w:before="17" w:after="0"/>
      <w:ind w:hanging="0" w:start="0" w:end="0"/>
      <w:jc w:val="start"/>
    </w:pPr>
    <w:rPr/>
  </w:style>
  <w:style w:type="paragraph" w:styleId="UTparts">
    <w:name w:val="U_Tparts"/>
    <w:basedOn w:val="MainText"/>
    <w:next w:val="MainText"/>
    <w:qFormat/>
    <w:pPr>
      <w:pBdr>
        <w:top w:val="single" w:sz="2" w:space="0" w:color="000000"/>
      </w:pBdr>
      <w:tabs>
        <w:tab w:val="clear" w:pos="720"/>
        <w:tab w:val="center" w:pos="425" w:leader="none"/>
        <w:tab w:val="center" w:pos="4394" w:leader="none"/>
        <w:tab w:val="center" w:pos="8362" w:leader="none"/>
      </w:tabs>
      <w:spacing w:before="113" w:after="57"/>
      <w:ind w:hanging="0" w:start="0" w:end="0"/>
      <w:jc w:val="start"/>
    </w:pPr>
    <w:rPr>
      <w:b/>
    </w:rPr>
  </w:style>
  <w:style w:type="paragraph" w:styleId="Utext">
    <w:name w:val="U_text"/>
    <w:basedOn w:val="MainText"/>
    <w:next w:val="MainText"/>
    <w:qFormat/>
    <w:pPr>
      <w:ind w:firstLine="283" w:start="964" w:end="964"/>
      <w:jc w:val="start"/>
    </w:pPr>
    <w:rPr/>
  </w:style>
  <w:style w:type="paragraph" w:styleId="Unumbers">
    <w:name w:val="U_numbers"/>
    <w:basedOn w:val="MainText"/>
    <w:next w:val="MainText"/>
    <w:qFormat/>
    <w:pPr>
      <w:tabs>
        <w:tab w:val="clear" w:pos="720"/>
        <w:tab w:val="right" w:pos="1247" w:leader="none"/>
        <w:tab w:val="left" w:pos="1304" w:leader="none"/>
      </w:tabs>
      <w:ind w:hanging="1304" w:start="1304" w:end="964"/>
      <w:jc w:val="start"/>
    </w:pPr>
    <w:rPr/>
  </w:style>
  <w:style w:type="paragraph" w:styleId="Inter2">
    <w:name w:val="Inter2"/>
    <w:basedOn w:val="17"/>
    <w:next w:val="17"/>
    <w:qFormat/>
    <w:pPr>
      <w:keepNext w:val="false"/>
      <w:keepLines w:val="false"/>
      <w:tabs>
        <w:tab w:val="clear" w:pos="8277"/>
        <w:tab w:val="decimal" w:pos="8504" w:leader="none"/>
      </w:tabs>
    </w:pPr>
    <w:rPr/>
  </w:style>
  <w:style w:type="paragraph" w:styleId="Inter3">
    <w:name w:val="Inter3"/>
    <w:basedOn w:val="17"/>
    <w:next w:val="17"/>
    <w:qFormat/>
    <w:pPr>
      <w:keepNext w:val="false"/>
      <w:keepLines w:val="false"/>
      <w:tabs>
        <w:tab w:val="clear" w:pos="8277"/>
        <w:tab w:val="decimal" w:pos="8504" w:leader="none"/>
      </w:tabs>
    </w:pPr>
    <w:rPr/>
  </w:style>
  <w:style w:type="paragraph" w:styleId="30-1">
    <w:name w:val="?30-1"/>
    <w:basedOn w:val="12"/>
    <w:qFormat/>
    <w:pPr>
      <w:keepNext w:val="false"/>
      <w:keepLines w:val="false"/>
      <w:pBdr>
        <w:bottom w:val="single" w:sz="2" w:space="0" w:color="000000"/>
      </w:pBdr>
      <w:spacing w:before="0" w:after="43"/>
    </w:pPr>
    <w:rPr/>
  </w:style>
  <w:style w:type="paragraph" w:styleId="MainTextTabCommRight">
    <w:name w:val="MainTextTabCommRight"/>
    <w:basedOn w:val="MainText"/>
    <w:next w:val="MainText"/>
    <w:qFormat/>
    <w:pPr>
      <w:tabs>
        <w:tab w:val="clear" w:pos="720"/>
        <w:tab w:val="right" w:pos="4224" w:leader="dot"/>
      </w:tabs>
    </w:pPr>
    <w:rPr/>
  </w:style>
  <w:style w:type="paragraph" w:styleId="Caaieiaie2">
    <w:name w:val="Caaieiaie 2"/>
    <w:basedOn w:val="Normal"/>
    <w:next w:val="Normal"/>
    <w:qFormat/>
    <w:pPr>
      <w:keepNext w:val="true"/>
      <w:spacing w:lineRule="atLeast" w:line="360" w:before="240" w:after="60"/>
      <w:ind w:firstLine="720" w:start="0" w:end="0"/>
      <w:jc w:val="both"/>
    </w:pPr>
    <w:rPr>
      <w:rFonts w:ascii="TimesET" w:hAnsi="TimesET" w:cs="TimesET"/>
      <w:b/>
      <w:color w:val="00FFFF"/>
      <w:sz w:val="24"/>
      <w:lang w:val="en-US"/>
    </w:rPr>
  </w:style>
  <w:style w:type="paragraph" w:styleId="SnoskaWithLineAbove">
    <w:name w:val="SnoskaWithLineAbove"/>
    <w:basedOn w:val="Snoska"/>
    <w:next w:val="Snoska"/>
    <w:qFormat/>
    <w:pPr>
      <w:pBdr>
        <w:top w:val="single" w:sz="2" w:space="0" w:color="000000"/>
      </w:pBdr>
    </w:pPr>
    <w:rPr/>
  </w:style>
  <w:style w:type="paragraph" w:styleId="Caaieiaie3">
    <w:name w:val="Caaieiaie 3"/>
    <w:basedOn w:val="Normal"/>
    <w:next w:val="Normal"/>
    <w:qFormat/>
    <w:pPr>
      <w:keepNext w:val="true"/>
      <w:spacing w:before="113" w:after="0"/>
      <w:jc w:val="center"/>
    </w:pPr>
    <w:rPr>
      <w:rFonts w:ascii="Times New Roman" w:hAnsi="Times New Roman" w:cs="Times New Roman"/>
      <w:b/>
      <w:color w:val="000000"/>
      <w:sz w:val="32"/>
      <w:lang w:val="en-US"/>
    </w:rPr>
  </w:style>
  <w:style w:type="paragraph" w:styleId="BulletsNumbers2">
    <w:name w:val="BulletsNumbers2"/>
    <w:basedOn w:val="BulletsMain"/>
    <w:next w:val="BulletsMain"/>
    <w:qFormat/>
    <w:pPr>
      <w:tabs>
        <w:tab w:val="clear" w:pos="567"/>
        <w:tab w:val="left" w:pos="737" w:leader="none"/>
      </w:tabs>
      <w:ind w:hanging="454" w:start="737" w:end="0"/>
    </w:pPr>
    <w:rPr/>
  </w:style>
  <w:style w:type="paragraph" w:styleId="Iauiue">
    <w:name w:val="Iau?iue"/>
    <w:qFormat/>
    <w:pPr>
      <w:keepLines/>
      <w:widowControl/>
      <w:overflowPunct w:val="false"/>
      <w:autoSpaceDE w:val="false"/>
      <w:bidi w:val="0"/>
      <w:spacing w:before="113" w:after="0"/>
      <w:jc w:val="end"/>
      <w:textAlignment w:val="baseline"/>
    </w:pPr>
    <w:rPr>
      <w:rFonts w:ascii="PragmaticaC" w:hAnsi="PragmaticaC" w:eastAsia="Times New Roman" w:cs="PragmaticaC"/>
      <w:color w:val="000000"/>
      <w:sz w:val="20"/>
      <w:szCs w:val="20"/>
      <w:lang w:val="en-US" w:bidi="ar-SA" w:eastAsia="zh-CN"/>
    </w:rPr>
  </w:style>
  <w:style w:type="paragraph" w:styleId="PublishedDocs">
    <w:name w:val="PublishedDocs"/>
    <w:basedOn w:val="26-text"/>
    <w:next w:val="26-text"/>
    <w:qFormat/>
    <w:pPr>
      <w:keepNext w:val="false"/>
      <w:keepLines w:val="false"/>
      <w:tabs>
        <w:tab w:val="clear" w:pos="224"/>
        <w:tab w:val="clear" w:pos="397"/>
        <w:tab w:val="clear" w:pos="7824"/>
        <w:tab w:val="center" w:pos="527" w:leader="none"/>
        <w:tab w:val="right" w:pos="1729" w:leader="none"/>
        <w:tab w:val="left" w:pos="1871" w:leader="none"/>
        <w:tab w:val="center" w:pos="8759" w:leader="none"/>
        <w:tab w:val="right" w:pos="9893" w:leader="none"/>
      </w:tabs>
      <w:ind w:hanging="1871" w:start="1871" w:end="0"/>
    </w:pPr>
    <w:rPr/>
  </w:style>
  <w:style w:type="paragraph" w:styleId="PublishedSpravStat">
    <w:name w:val="PublishedSprav&amp;Stat"/>
    <w:basedOn w:val="1234567"/>
    <w:next w:val="1234567"/>
    <w:qFormat/>
    <w:pPr>
      <w:keepNext w:val="false"/>
      <w:keepLines w:val="false"/>
      <w:tabs>
        <w:tab w:val="center" w:pos="7512" w:leader="none"/>
      </w:tabs>
    </w:pPr>
    <w:rPr/>
  </w:style>
  <w:style w:type="paragraph" w:styleId="SpisokAM">
    <w:name w:val="SpisokAM"/>
    <w:basedOn w:val="1234567"/>
    <w:next w:val="1234567"/>
    <w:qFormat/>
    <w:pPr>
      <w:keepNext w:val="false"/>
      <w:keepLines w:val="false"/>
      <w:tabs>
        <w:tab w:val="center" w:pos="7512" w:leader="none"/>
      </w:tabs>
    </w:pPr>
    <w:rPr/>
  </w:style>
  <w:style w:type="paragraph" w:styleId="MainText-PrPr">
    <w:name w:val="MainText - PrPr"/>
    <w:basedOn w:val="MainText-BezOtstupa1"/>
    <w:next w:val="MainText-BezOtstupa1"/>
    <w:qFormat/>
    <w:pPr>
      <w:tabs>
        <w:tab w:val="clear" w:pos="720"/>
        <w:tab w:val="left" w:pos="4252" w:leader="none"/>
      </w:tabs>
      <w:jc w:val="start"/>
    </w:pPr>
    <w:rPr/>
  </w:style>
  <w:style w:type="paragraph" w:styleId="Dots">
    <w:name w:val="Dots"/>
    <w:basedOn w:val="MainText-BezOtstupa1"/>
    <w:next w:val="MainText-BezOtstupa1"/>
    <w:qFormat/>
    <w:pPr>
      <w:tabs>
        <w:tab w:val="clear" w:pos="720"/>
        <w:tab w:val="right" w:pos="8090" w:leader="dot"/>
      </w:tabs>
      <w:jc w:val="end"/>
    </w:pPr>
    <w:rPr/>
  </w:style>
  <w:style w:type="paragraph" w:styleId="Dots1">
    <w:name w:val="Dots1"/>
    <w:basedOn w:val="Dots"/>
    <w:next w:val="Dots"/>
    <w:qFormat/>
    <w:pPr>
      <w:tabs>
        <w:tab w:val="clear" w:pos="8090"/>
        <w:tab w:val="right" w:pos="4224" w:leader="dot"/>
      </w:tabs>
      <w:jc w:val="start"/>
    </w:pPr>
    <w:rPr/>
  </w:style>
  <w:style w:type="paragraph" w:styleId="ListJustified">
    <w:name w:val="ListJustified"/>
    <w:basedOn w:val="List"/>
    <w:next w:val="List"/>
    <w:qFormat/>
    <w:pPr>
      <w:tabs>
        <w:tab w:val="clear" w:pos="340"/>
        <w:tab w:val="clear" w:pos="567"/>
        <w:tab w:val="right" w:pos="283" w:leader="none"/>
        <w:tab w:val="left" w:pos="397" w:leader="none"/>
      </w:tabs>
      <w:ind w:hanging="397" w:start="397" w:end="0"/>
      <w:jc w:val="both"/>
    </w:pPr>
    <w:rPr/>
  </w:style>
  <w:style w:type="paragraph" w:styleId="dkp">
    <w:name w:val="dkp"/>
    <w:basedOn w:val="25-Text"/>
    <w:next w:val="25-Text"/>
    <w:qFormat/>
    <w:pPr>
      <w:keepNext w:val="false"/>
      <w:keepLines w:val="false"/>
      <w:tabs>
        <w:tab w:val="clear" w:pos="340"/>
        <w:tab w:val="clear" w:pos="794"/>
        <w:tab w:val="clear" w:pos="5953"/>
        <w:tab w:val="clear" w:pos="7483"/>
        <w:tab w:val="clear" w:pos="8589"/>
      </w:tabs>
      <w:ind w:hanging="0" w:start="283" w:end="283"/>
      <w:jc w:val="end"/>
    </w:pPr>
    <w:rPr/>
  </w:style>
  <w:style w:type="paragraph" w:styleId="CalakHead">
    <w:name w:val="CalakHead"/>
    <w:basedOn w:val="MainText"/>
    <w:next w:val="MainText"/>
    <w:qFormat/>
    <w:pPr>
      <w:tabs>
        <w:tab w:val="clear" w:pos="720"/>
        <w:tab w:val="right" w:pos="737" w:leader="none"/>
        <w:tab w:val="left" w:pos="2098" w:leader="none"/>
        <w:tab w:val="center" w:pos="7081" w:leader="none"/>
      </w:tabs>
      <w:spacing w:before="0" w:after="113"/>
      <w:ind w:hanging="0" w:start="0" w:end="0"/>
      <w:jc w:val="start"/>
    </w:pPr>
    <w:rPr/>
  </w:style>
  <w:style w:type="paragraph" w:styleId="Calak">
    <w:name w:val="Calak"/>
    <w:basedOn w:val="MainText"/>
    <w:next w:val="MainText"/>
    <w:qFormat/>
    <w:pPr>
      <w:tabs>
        <w:tab w:val="clear" w:pos="720"/>
        <w:tab w:val="right" w:pos="624" w:leader="none"/>
        <w:tab w:val="left" w:pos="1077" w:leader="none"/>
        <w:tab w:val="center" w:pos="7081" w:leader="none"/>
      </w:tabs>
      <w:ind w:hanging="0" w:start="0" w:end="0"/>
      <w:jc w:val="start"/>
    </w:pPr>
    <w:rPr/>
  </w:style>
  <w:style w:type="paragraph" w:styleId="2222222WWWWWWW">
    <w:name w:val="2222222WWWWWWW"/>
    <w:basedOn w:val="26-text"/>
    <w:next w:val="26-text"/>
    <w:qFormat/>
    <w:pPr>
      <w:keepNext w:val="false"/>
      <w:keepLines w:val="false"/>
      <w:tabs>
        <w:tab w:val="clear" w:pos="7824"/>
        <w:tab w:val="right" w:pos="3685" w:leader="none"/>
        <w:tab w:val="left" w:pos="4813" w:leader="none"/>
      </w:tabs>
    </w:pPr>
    <w:rPr/>
  </w:style>
  <w:style w:type="paragraph" w:styleId="SnoskaLineTab">
    <w:name w:val="SnoskaLineTab"/>
    <w:basedOn w:val="SnoskaWithLineAbove"/>
    <w:next w:val="SnoskaWithLineAbove"/>
    <w:qFormat/>
    <w:pPr>
      <w:tabs>
        <w:tab w:val="clear" w:pos="567"/>
        <w:tab w:val="right" w:pos="8787" w:leader="none"/>
      </w:tabs>
    </w:pPr>
    <w:rPr/>
  </w:style>
  <w:style w:type="paragraph" w:styleId="DO">
    <w:name w:val="DO"/>
    <w:basedOn w:val="DepozitnieOperacii"/>
    <w:next w:val="DepozitnieOperacii"/>
    <w:qFormat/>
    <w:pPr>
      <w:keepNext w:val="false"/>
      <w:keepLines w:val="false"/>
      <w:tabs>
        <w:tab w:val="clear" w:pos="1417"/>
        <w:tab w:val="clear" w:pos="7427"/>
        <w:tab w:val="left" w:pos="1247" w:leader="none"/>
        <w:tab w:val="decimal" w:pos="5726" w:leader="none"/>
        <w:tab w:val="left" w:pos="7512" w:leader="none"/>
      </w:tabs>
      <w:spacing w:before="57" w:after="0"/>
    </w:pPr>
    <w:rPr/>
  </w:style>
  <w:style w:type="paragraph" w:styleId="ZyxZagolovok">
    <w:name w:val="ZyxZagolovok"/>
    <w:basedOn w:val="Normal"/>
    <w:next w:val="Normal"/>
    <w:qFormat/>
    <w:pPr>
      <w:pBdr>
        <w:bottom w:val="single" w:sz="2" w:space="0" w:color="000000"/>
      </w:pBdr>
      <w:tabs>
        <w:tab w:val="clear" w:pos="720"/>
        <w:tab w:val="center" w:pos="340" w:leader="none"/>
        <w:tab w:val="center" w:pos="4479" w:leader="none"/>
        <w:tab w:val="center" w:pos="9128" w:leader="none"/>
      </w:tabs>
      <w:spacing w:before="0" w:after="57"/>
      <w:ind w:hanging="794" w:start="794" w:end="0"/>
    </w:pPr>
    <w:rPr>
      <w:rFonts w:ascii="PragmaticaC" w:hAnsi="PragmaticaC" w:cs="PragmaticaC"/>
      <w:color w:val="000000"/>
      <w:sz w:val="18"/>
      <w:lang w:val="en-US"/>
    </w:rPr>
  </w:style>
  <w:style w:type="paragraph" w:styleId="ZyxX">
    <w:name w:val="Zyx + X"/>
    <w:basedOn w:val="Normal"/>
    <w:next w:val="Normal"/>
    <w:qFormat/>
    <w:pPr>
      <w:pBdr>
        <w:bottom w:val="single" w:sz="2" w:space="0" w:color="000000"/>
      </w:pBdr>
      <w:tabs>
        <w:tab w:val="clear" w:pos="720"/>
        <w:tab w:val="center" w:pos="340" w:leader="none"/>
        <w:tab w:val="left" w:pos="794" w:leader="none"/>
        <w:tab w:val="center" w:pos="9128" w:leader="none"/>
      </w:tabs>
      <w:spacing w:before="0" w:after="57"/>
      <w:ind w:hanging="794" w:start="794" w:end="0"/>
    </w:pPr>
    <w:rPr>
      <w:rFonts w:ascii="PragmaticaC" w:hAnsi="PragmaticaC" w:cs="PragmaticaC"/>
      <w:color w:val="000000"/>
      <w:sz w:val="18"/>
      <w:lang w:val="en-US"/>
    </w:rPr>
  </w:style>
  <w:style w:type="paragraph" w:styleId="Zyx">
    <w:name w:val="Zyx"/>
    <w:qFormat/>
    <w:pPr>
      <w:widowControl/>
      <w:pBdr>
        <w:bottom w:val="single" w:sz="2" w:space="0" w:color="000000"/>
      </w:pBdr>
      <w:tabs>
        <w:tab w:val="clear" w:pos="720"/>
        <w:tab w:val="center" w:pos="340" w:leader="none"/>
        <w:tab w:val="left" w:pos="794" w:leader="none"/>
        <w:tab w:val="center" w:pos="9128" w:leader="none"/>
      </w:tabs>
      <w:overflowPunct w:val="false"/>
      <w:autoSpaceDE w:val="false"/>
      <w:bidi w:val="0"/>
      <w:spacing w:before="0" w:after="57"/>
      <w:ind w:hanging="794" w:start="794" w:end="1814"/>
      <w:textAlignment w:val="baseline"/>
    </w:pPr>
    <w:rPr>
      <w:rFonts w:ascii="PragmaticaC" w:hAnsi="PragmaticaC" w:eastAsia="Times New Roman" w:cs="PragmaticaC"/>
      <w:color w:val="000000"/>
      <w:sz w:val="18"/>
      <w:szCs w:val="20"/>
      <w:lang w:val="en-US" w:bidi="ar-SA" w:eastAsia="zh-CN"/>
    </w:rPr>
  </w:style>
  <w:style w:type="paragraph" w:styleId="ZyxCenterRazdel">
    <w:name w:val="ZyxCenterRazdel"/>
    <w:basedOn w:val="Zyx"/>
    <w:next w:val="Zyx"/>
    <w:qFormat/>
    <w:pPr>
      <w:tabs>
        <w:tab w:val="clear" w:pos="794"/>
        <w:tab w:val="center" w:pos="4479" w:leader="none"/>
      </w:tabs>
    </w:pPr>
    <w:rPr/>
  </w:style>
  <w:style w:type="paragraph" w:styleId="ZyxWithoutLine">
    <w:name w:val="ZyxWithoutLine"/>
    <w:basedOn w:val="Zyx"/>
    <w:next w:val="Zyx"/>
    <w:qFormat/>
    <w:pPr>
      <w:pBdr>
        <w:bottom w:val="nil"/>
      </w:pBdr>
      <w:spacing w:before="0" w:after="0"/>
    </w:pPr>
    <w:rPr/>
  </w:style>
  <w:style w:type="paragraph" w:styleId="TelePodpisAlone">
    <w:name w:val="TelePodpisAlone"/>
    <w:basedOn w:val="TelePodpis"/>
    <w:next w:val="TelePodpis"/>
    <w:qFormat/>
    <w:pPr>
      <w:tabs>
        <w:tab w:val="clear" w:pos="8787"/>
        <w:tab w:val="right" w:pos="8220" w:leader="none"/>
      </w:tabs>
      <w:spacing w:before="170" w:after="0"/>
    </w:pPr>
    <w:rPr/>
  </w:style>
  <w:style w:type="paragraph" w:styleId="InoInformationMain">
    <w:name w:val="InoInformationMain"/>
    <w:qFormat/>
    <w:pPr>
      <w:widowControl/>
      <w:pBdr>
        <w:bottom w:val="single" w:sz="2" w:space="0" w:color="000000"/>
      </w:pBdr>
      <w:tabs>
        <w:tab w:val="clear" w:pos="720"/>
        <w:tab w:val="right" w:pos="369" w:leader="none"/>
        <w:tab w:val="left" w:pos="680" w:leader="none"/>
        <w:tab w:val="center" w:pos="6435" w:leader="none"/>
        <w:tab w:val="center" w:pos="7313" w:leader="none"/>
        <w:tab w:val="right" w:pos="8674" w:leader="none"/>
      </w:tabs>
      <w:overflowPunct w:val="false"/>
      <w:autoSpaceDE w:val="false"/>
      <w:bidi w:val="0"/>
      <w:spacing w:before="57" w:after="0"/>
      <w:textAlignment w:val="baseline"/>
    </w:pPr>
    <w:rPr>
      <w:rFonts w:ascii="PragmaticaCondC" w:hAnsi="PragmaticaCondC" w:eastAsia="Times New Roman" w:cs="PragmaticaCondC"/>
      <w:color w:val="000000"/>
      <w:sz w:val="18"/>
      <w:szCs w:val="20"/>
      <w:lang w:val="en-US" w:bidi="ar-SA" w:eastAsia="zh-CN"/>
    </w:rPr>
  </w:style>
  <w:style w:type="paragraph" w:styleId="InoInformationHead">
    <w:name w:val="InoInformationHead"/>
    <w:basedOn w:val="InoInformationMain"/>
    <w:qFormat/>
    <w:pPr>
      <w:tabs>
        <w:tab w:val="clear" w:pos="369"/>
        <w:tab w:val="clear" w:pos="680"/>
        <w:tab w:val="clear" w:pos="8674"/>
        <w:tab w:val="center" w:pos="283" w:leader="none"/>
        <w:tab w:val="center" w:pos="3231" w:leader="none"/>
        <w:tab w:val="center" w:pos="8220" w:leader="none"/>
      </w:tabs>
    </w:pPr>
    <w:rPr>
      <w:color w:val="000000"/>
    </w:rPr>
  </w:style>
  <w:style w:type="paragraph" w:styleId="Svedenia">
    <w:name w:val="Svedenia"/>
    <w:qFormat/>
    <w:pPr>
      <w:widowControl/>
      <w:pBdr>
        <w:bottom w:val="single" w:sz="2" w:space="0" w:color="000000"/>
      </w:pBdr>
      <w:tabs>
        <w:tab w:val="clear" w:pos="720"/>
        <w:tab w:val="right" w:pos="224" w:leader="none"/>
        <w:tab w:val="left" w:pos="397" w:leader="none"/>
        <w:tab w:val="right" w:pos="3685" w:leader="none"/>
        <w:tab w:val="left" w:pos="4813" w:leader="none"/>
      </w:tabs>
      <w:overflowPunct w:val="false"/>
      <w:autoSpaceDE w:val="false"/>
      <w:bidi w:val="0"/>
      <w:spacing w:before="0" w:after="57"/>
      <w:ind w:hanging="397" w:start="397" w:end="0"/>
      <w:textAlignment w:val="baseline"/>
    </w:pPr>
    <w:rPr>
      <w:rFonts w:ascii="PragmaticaC" w:hAnsi="PragmaticaC" w:eastAsia="Times New Roman" w:cs="PragmaticaC"/>
      <w:color w:val="000000"/>
      <w:sz w:val="18"/>
      <w:szCs w:val="20"/>
      <w:lang w:val="en-US" w:bidi="ar-SA" w:eastAsia="zh-CN"/>
    </w:rPr>
  </w:style>
  <w:style w:type="paragraph" w:styleId="Style48">
    <w:name w:val="?????"/>
    <w:basedOn w:val="Normal"/>
    <w:qFormat/>
    <w:pPr>
      <w:widowControl w:val="false"/>
    </w:pPr>
    <w:rPr>
      <w:rFonts w:ascii="Courier New" w:hAnsi="Courier New" w:cs="Courier New"/>
      <w:sz w:val="20"/>
    </w:rPr>
  </w:style>
  <w:style w:type="paragraph" w:styleId="BulletsInBullets">
    <w:name w:val="BulletsInBullets"/>
    <w:basedOn w:val="BulletsNumbers"/>
    <w:next w:val="BulletsNumbers"/>
    <w:qFormat/>
    <w:pPr>
      <w:tabs>
        <w:tab w:val="clear" w:pos="283"/>
        <w:tab w:val="left" w:pos="850" w:leader="none"/>
      </w:tabs>
      <w:ind w:hanging="283" w:start="850" w:end="0"/>
    </w:pPr>
    <w:rPr/>
  </w:style>
  <w:style w:type="paragraph" w:styleId="GlavnyiBoldCyan">
    <w:name w:val="GlavnyiBoldCyan"/>
    <w:basedOn w:val="Glavnyi"/>
    <w:next w:val="Glavnyi"/>
    <w:qFormat/>
    <w:pPr>
      <w:spacing w:before="170" w:after="113"/>
      <w:jc w:val="center"/>
    </w:pPr>
    <w:rPr>
      <w:b/>
      <w:color w:val="00FFFF"/>
    </w:rPr>
  </w:style>
  <w:style w:type="paragraph" w:styleId="BulletsNumbers3">
    <w:name w:val="BulletsNumbers3"/>
    <w:basedOn w:val="BulletsNumbers2"/>
    <w:next w:val="BulletsNumbers2"/>
    <w:qFormat/>
    <w:pPr>
      <w:tabs>
        <w:tab w:val="clear" w:pos="737"/>
        <w:tab w:val="left" w:pos="567" w:leader="none"/>
      </w:tabs>
      <w:ind w:hanging="567" w:start="567" w:end="0"/>
    </w:pPr>
    <w:rPr/>
  </w:style>
  <w:style w:type="paragraph" w:styleId="MainText80bohooff">
    <w:name w:val="MainText80bohooff"/>
    <w:basedOn w:val="MainText-BezOtstupa1"/>
    <w:next w:val="MainText-BezOtstupa1"/>
    <w:qFormat/>
    <w:pPr>
      <w:ind w:hanging="0" w:start="28" w:end="28"/>
      <w:jc w:val="start"/>
    </w:pPr>
    <w:rPr/>
  </w:style>
  <w:style w:type="paragraph" w:styleId="MainText80">
    <w:name w:val="MainText80"/>
    <w:basedOn w:val="MainText"/>
    <w:next w:val="MainText"/>
    <w:qFormat/>
    <w:pPr>
      <w:ind w:firstLine="255" w:start="28" w:end="28"/>
    </w:pPr>
    <w:rPr/>
  </w:style>
  <w:style w:type="paragraph" w:styleId="Bullets80">
    <w:name w:val="Bullets80"/>
    <w:basedOn w:val="BulletsMain"/>
    <w:next w:val="BulletsMain"/>
    <w:qFormat/>
    <w:pPr>
      <w:ind w:hanging="283" w:start="567" w:end="28"/>
    </w:pPr>
    <w:rPr/>
  </w:style>
  <w:style w:type="paragraph" w:styleId="ListPlusReg">
    <w:name w:val="ListPlusReg"/>
    <w:basedOn w:val="List"/>
    <w:next w:val="List"/>
    <w:qFormat/>
    <w:pPr>
      <w:tabs>
        <w:tab w:val="clear" w:pos="340"/>
        <w:tab w:val="clear" w:pos="567"/>
        <w:tab w:val="right" w:pos="397" w:leader="none"/>
        <w:tab w:val="left" w:pos="624" w:leader="none"/>
        <w:tab w:val="center" w:pos="8447" w:leader="none"/>
      </w:tabs>
      <w:ind w:hanging="624" w:start="624" w:end="0"/>
    </w:pPr>
    <w:rPr/>
  </w:style>
  <w:style w:type="paragraph" w:styleId="MainTextBezOtstupa">
    <w:name w:val="MainTextBezOtstupa"/>
    <w:basedOn w:val="MainText"/>
    <w:qFormat/>
    <w:pPr>
      <w:ind w:hanging="0" w:start="0" w:end="0"/>
    </w:pPr>
    <w:rPr/>
  </w:style>
  <w:style w:type="paragraph" w:styleId="Zxzxzxzx">
    <w:name w:val="Zxzxzxzx"/>
    <w:basedOn w:val="2noline"/>
    <w:next w:val="2noline"/>
    <w:qFormat/>
    <w:pPr>
      <w:keepNext w:val="false"/>
      <w:keepLines w:val="false"/>
      <w:spacing w:before="0" w:after="28"/>
    </w:pPr>
    <w:rPr/>
  </w:style>
  <w:style w:type="paragraph" w:styleId="Zyzyzyzy">
    <w:name w:val="Zyzyzyzy"/>
    <w:basedOn w:val="2noline"/>
    <w:next w:val="2noline"/>
    <w:qFormat/>
    <w:pPr>
      <w:keepNext w:val="false"/>
      <w:keepLines w:val="false"/>
      <w:spacing w:before="0" w:after="28"/>
    </w:pPr>
    <w:rPr/>
  </w:style>
  <w:style w:type="paragraph" w:styleId="BulletsTwoTen">
    <w:name w:val="BulletsTwoTen"/>
    <w:basedOn w:val="BulletsMain"/>
    <w:next w:val="BulletsMain"/>
    <w:qFormat/>
    <w:pPr>
      <w:tabs>
        <w:tab w:val="right" w:pos="454" w:leader="none"/>
      </w:tabs>
      <w:ind w:hanging="397" w:start="567" w:end="0"/>
    </w:pPr>
    <w:rPr/>
  </w:style>
  <w:style w:type="paragraph" w:styleId="143-ITOGO">
    <w:name w:val="143-ITOGO"/>
    <w:basedOn w:val="Normal"/>
    <w:next w:val="Normal"/>
    <w:qFormat/>
    <w:pPr>
      <w:keepNext w:val="true"/>
      <w:keepLines/>
      <w:pBdr>
        <w:top w:val="single" w:sz="2" w:space="0" w:color="000000"/>
      </w:pBdr>
      <w:tabs>
        <w:tab w:val="clear" w:pos="720"/>
        <w:tab w:val="center" w:pos="425" w:leader="none"/>
        <w:tab w:val="left" w:pos="935" w:leader="none"/>
      </w:tabs>
      <w:spacing w:before="28" w:after="0"/>
      <w:ind w:hanging="935" w:start="935" w:end="3458"/>
    </w:pPr>
    <w:rPr>
      <w:rFonts w:ascii="PragmaticaCondC" w:hAnsi="PragmaticaCondC" w:cs="PragmaticaCondC"/>
      <w:sz w:val="16"/>
      <w:lang w:val="en-US"/>
    </w:rPr>
  </w:style>
  <w:style w:type="paragraph" w:styleId="143-1">
    <w:name w:val="143-1"/>
    <w:basedOn w:val="Normal"/>
    <w:next w:val="Normal"/>
    <w:qFormat/>
    <w:pPr>
      <w:keepNext w:val="true"/>
      <w:keepLines/>
      <w:tabs>
        <w:tab w:val="clear" w:pos="720"/>
        <w:tab w:val="center" w:pos="425" w:leader="none"/>
        <w:tab w:val="left" w:pos="935" w:leader="none"/>
        <w:tab w:val="center" w:pos="6860" w:leader="none"/>
        <w:tab w:val="center" w:pos="7427" w:leader="none"/>
        <w:tab w:val="center" w:pos="8561" w:leader="none"/>
        <w:tab w:val="center" w:pos="9694" w:leader="none"/>
      </w:tabs>
      <w:spacing w:before="28" w:after="0"/>
      <w:ind w:hanging="935" w:start="935" w:end="0"/>
    </w:pPr>
    <w:rPr>
      <w:rFonts w:ascii="PragmaticaCondC" w:hAnsi="PragmaticaCondC" w:cs="PragmaticaCondC"/>
      <w:sz w:val="16"/>
      <w:lang w:val="en-US"/>
    </w:rPr>
  </w:style>
  <w:style w:type="paragraph" w:styleId="143-2">
    <w:name w:val="143-2"/>
    <w:basedOn w:val="Normal"/>
    <w:next w:val="Normal"/>
    <w:qFormat/>
    <w:pPr>
      <w:keepNext w:val="true"/>
      <w:keepLines/>
      <w:tabs>
        <w:tab w:val="clear" w:pos="720"/>
        <w:tab w:val="center" w:pos="425" w:leader="none"/>
        <w:tab w:val="left" w:pos="935" w:leader="none"/>
      </w:tabs>
      <w:spacing w:before="28" w:after="0"/>
      <w:ind w:hanging="935" w:start="935" w:end="3458"/>
    </w:pPr>
    <w:rPr>
      <w:rFonts w:ascii="PragmaticaCondC" w:hAnsi="PragmaticaCondC" w:cs="PragmaticaCondC"/>
      <w:b/>
      <w:sz w:val="16"/>
      <w:lang w:val="en-US"/>
    </w:rPr>
  </w:style>
  <w:style w:type="paragraph" w:styleId="143-2Line">
    <w:name w:val="143-2+Line"/>
    <w:basedOn w:val="Normal"/>
    <w:next w:val="Normal"/>
    <w:qFormat/>
    <w:pPr>
      <w:keepNext w:val="true"/>
      <w:keepLines/>
      <w:pBdr>
        <w:top w:val="single" w:sz="2" w:space="0" w:color="000000"/>
      </w:pBdr>
      <w:tabs>
        <w:tab w:val="clear" w:pos="720"/>
        <w:tab w:val="center" w:pos="425" w:leader="none"/>
        <w:tab w:val="left" w:pos="935" w:leader="none"/>
      </w:tabs>
      <w:spacing w:before="28" w:after="0"/>
      <w:ind w:hanging="935" w:start="935" w:end="3458"/>
    </w:pPr>
    <w:rPr>
      <w:rFonts w:ascii="PragmaticaCondC" w:hAnsi="PragmaticaCondC" w:cs="PragmaticaCondC"/>
      <w:b/>
      <w:sz w:val="16"/>
      <w:lang w:val="en-US"/>
    </w:rPr>
  </w:style>
  <w:style w:type="paragraph" w:styleId="1007yBullets">
    <w:name w:val="1007yBullets"/>
    <w:basedOn w:val="MainText-BezOtstupa1"/>
    <w:next w:val="Normal"/>
    <w:qFormat/>
    <w:pPr>
      <w:tabs>
        <w:tab w:val="clear" w:pos="720"/>
        <w:tab w:val="left" w:pos="227" w:leader="none"/>
        <w:tab w:val="left" w:pos="1191" w:leader="none"/>
        <w:tab w:val="left" w:pos="5017" w:leader="none"/>
        <w:tab w:val="left" w:pos="5244" w:leader="none"/>
      </w:tabs>
      <w:jc w:val="start"/>
    </w:pPr>
    <w:rPr/>
  </w:style>
  <w:style w:type="paragraph" w:styleId="1007x">
    <w:name w:val="1007x"/>
    <w:basedOn w:val="1007yBullets"/>
    <w:next w:val="Normal"/>
    <w:qFormat/>
    <w:pPr>
      <w:tabs>
        <w:tab w:val="clear" w:pos="227"/>
        <w:tab w:val="clear" w:pos="1191"/>
        <w:tab w:val="clear" w:pos="5017"/>
        <w:tab w:val="clear" w:pos="5244"/>
        <w:tab w:val="left" w:pos="964" w:leader="none"/>
        <w:tab w:val="left" w:pos="5698" w:leader="none"/>
        <w:tab w:val="left" w:pos="5953" w:leader="none"/>
      </w:tabs>
    </w:pPr>
    <w:rPr/>
  </w:style>
  <w:style w:type="paragraph" w:styleId="MainTextVopros">
    <w:name w:val="MainTextVopros"/>
    <w:basedOn w:val="MainText"/>
    <w:next w:val="MainText"/>
    <w:qFormat/>
    <w:pPr>
      <w:spacing w:before="227" w:after="0"/>
    </w:pPr>
    <w:rPr>
      <w:b/>
    </w:rPr>
  </w:style>
  <w:style w:type="paragraph" w:styleId="y1027t1">
    <w:name w:val="y1027t1"/>
    <w:qFormat/>
    <w:pPr>
      <w:widowControl/>
      <w:tabs>
        <w:tab w:val="clear" w:pos="720"/>
        <w:tab w:val="center" w:pos="312" w:leader="none"/>
        <w:tab w:val="center" w:pos="1134" w:leader="none"/>
        <w:tab w:val="left" w:pos="1757" w:leader="none"/>
      </w:tabs>
      <w:overflowPunct w:val="false"/>
      <w:autoSpaceDE w:val="false"/>
      <w:bidi w:val="0"/>
      <w:ind w:hanging="1757" w:start="1928" w:end="3515"/>
      <w:textAlignment w:val="baseline"/>
    </w:pPr>
    <w:rPr>
      <w:rFonts w:ascii="PragmaticaCondC" w:hAnsi="PragmaticaCondC" w:eastAsia="Times New Roman" w:cs="PragmaticaCondC"/>
      <w:color w:val="000000"/>
      <w:sz w:val="18"/>
      <w:szCs w:val="20"/>
      <w:lang w:val="en-US" w:bidi="ar-SA" w:eastAsia="zh-CN"/>
    </w:rPr>
  </w:style>
  <w:style w:type="paragraph" w:styleId="dfgh">
    <w:name w:val="dfgh"/>
    <w:basedOn w:val="BulletsTwoTen"/>
    <w:next w:val="BulletsTwoTen"/>
    <w:qFormat/>
    <w:pPr>
      <w:tabs>
        <w:tab w:val="clear" w:pos="454"/>
        <w:tab w:val="clear" w:pos="567"/>
        <w:tab w:val="right" w:pos="283" w:leader="none"/>
        <w:tab w:val="left" w:pos="397" w:leader="none"/>
      </w:tabs>
      <w:ind w:hanging="283" w:start="283" w:end="0"/>
    </w:pPr>
    <w:rPr/>
  </w:style>
  <w:style w:type="paragraph" w:styleId="MainText-DtKt">
    <w:name w:val="MainText - DtKt"/>
    <w:basedOn w:val="MainText-BezOtstupa1"/>
    <w:next w:val="MainText-BezOtstupa1"/>
    <w:qFormat/>
    <w:pPr>
      <w:tabs>
        <w:tab w:val="clear" w:pos="720"/>
        <w:tab w:val="left" w:pos="369" w:leader="none"/>
        <w:tab w:val="left" w:pos="624" w:leader="none"/>
      </w:tabs>
      <w:ind w:hanging="624" w:start="624" w:end="0"/>
    </w:pPr>
    <w:rPr/>
  </w:style>
  <w:style w:type="paragraph" w:styleId="dsdsdsdsdsd">
    <w:name w:val="dsdsdsdsdsd"/>
    <w:basedOn w:val="MainText-BezOtstupa1"/>
    <w:next w:val="MainText-BezOtstupa1"/>
    <w:qFormat/>
    <w:pPr>
      <w:tabs>
        <w:tab w:val="clear" w:pos="720"/>
        <w:tab w:val="left" w:pos="283" w:leader="none"/>
        <w:tab w:val="center" w:pos="8220" w:leader="none"/>
      </w:tabs>
    </w:pPr>
    <w:rPr/>
  </w:style>
  <w:style w:type="paragraph" w:styleId="Prilozh9">
    <w:name w:val="Prilozh9"/>
    <w:basedOn w:val="MainText-BezOtstupa1"/>
    <w:next w:val="MainText-BezOtstupa1"/>
    <w:qFormat/>
    <w:pPr>
      <w:keepLines/>
      <w:tabs>
        <w:tab w:val="clear" w:pos="720"/>
        <w:tab w:val="left" w:pos="1587" w:leader="none"/>
      </w:tabs>
      <w:spacing w:before="28" w:after="0"/>
      <w:ind w:hanging="1020" w:start="1587" w:end="0"/>
    </w:pPr>
    <w:rPr/>
  </w:style>
  <w:style w:type="paragraph" w:styleId="Table012">
    <w:name w:val="Table01_2"/>
    <w:qFormat/>
    <w:pPr>
      <w:keepLines/>
      <w:widowControl/>
      <w:tabs>
        <w:tab w:val="clear" w:pos="720"/>
        <w:tab w:val="left" w:pos="1304" w:leader="none"/>
        <w:tab w:val="center" w:pos="7370" w:leader="none"/>
        <w:tab w:val="left" w:pos="7710" w:leader="none"/>
      </w:tabs>
      <w:overflowPunct w:val="false"/>
      <w:autoSpaceDE w:val="false"/>
      <w:bidi w:val="0"/>
      <w:spacing w:lineRule="atLeast" w:line="194" w:before="43" w:after="0"/>
      <w:ind w:hanging="624" w:start="1304" w:end="0"/>
      <w:textAlignment w:val="baseline"/>
    </w:pPr>
    <w:rPr>
      <w:rFonts w:ascii="PragmaticaCondC" w:hAnsi="PragmaticaCondC" w:eastAsia="Times New Roman" w:cs="PragmaticaCondC"/>
      <w:color w:val="000000"/>
      <w:sz w:val="18"/>
      <w:szCs w:val="20"/>
      <w:lang w:val="en-US" w:bidi="ar-SA" w:eastAsia="zh-CN"/>
    </w:rPr>
  </w:style>
  <w:style w:type="paragraph" w:styleId="Table011">
    <w:name w:val="Table01_1"/>
    <w:basedOn w:val="Table012"/>
    <w:next w:val="Table012"/>
    <w:qFormat/>
    <w:pPr>
      <w:keepNext w:val="true"/>
      <w:tabs>
        <w:tab w:val="clear" w:pos="7370"/>
        <w:tab w:val="clear" w:pos="7710"/>
      </w:tabs>
      <w:ind w:hanging="1162" w:start="1304" w:end="1757"/>
    </w:pPr>
    <w:rPr>
      <w:b/>
      <w:color w:val="000000"/>
    </w:rPr>
  </w:style>
  <w:style w:type="paragraph" w:styleId="Pril14-1">
    <w:name w:val="Pril14-1"/>
    <w:basedOn w:val="Table011"/>
    <w:next w:val="Table011"/>
    <w:qFormat/>
    <w:pPr>
      <w:tabs>
        <w:tab w:val="clear" w:pos="1304"/>
        <w:tab w:val="center" w:pos="992" w:leader="none"/>
        <w:tab w:val="left" w:pos="1474" w:leader="none"/>
        <w:tab w:val="center" w:pos="6293" w:leader="none"/>
        <w:tab w:val="center" w:pos="6860" w:leader="none"/>
        <w:tab w:val="center" w:pos="7427" w:leader="none"/>
        <w:tab w:val="center" w:pos="7994" w:leader="none"/>
        <w:tab w:val="center" w:pos="8561" w:leader="none"/>
        <w:tab w:val="center" w:pos="9128" w:leader="none"/>
        <w:tab w:val="center" w:pos="9666" w:leader="none"/>
      </w:tabs>
      <w:spacing w:lineRule="auto" w:line="240" w:before="28" w:after="0"/>
      <w:ind w:hanging="1474" w:start="1474" w:end="0"/>
    </w:pPr>
    <w:rPr>
      <w:b w:val="false"/>
      <w:sz w:val="16"/>
    </w:rPr>
  </w:style>
  <w:style w:type="paragraph" w:styleId="Pril14-2">
    <w:name w:val="Pril14-2"/>
    <w:basedOn w:val="Pril14-1"/>
    <w:next w:val="Pril14-1"/>
    <w:qFormat/>
    <w:pPr>
      <w:tabs>
        <w:tab w:val="clear" w:pos="6293"/>
        <w:tab w:val="clear" w:pos="6860"/>
        <w:tab w:val="clear" w:pos="7427"/>
        <w:tab w:val="clear" w:pos="7994"/>
        <w:tab w:val="clear" w:pos="8561"/>
        <w:tab w:val="clear" w:pos="9128"/>
        <w:tab w:val="clear" w:pos="9666"/>
      </w:tabs>
      <w:ind w:hanging="1332" w:start="1474" w:end="4025"/>
    </w:pPr>
    <w:rPr>
      <w:b/>
    </w:rPr>
  </w:style>
  <w:style w:type="paragraph" w:styleId="Pril14-2Line">
    <w:name w:val="Pril14-2+Line"/>
    <w:basedOn w:val="Pril14-2"/>
    <w:next w:val="Pril14-2"/>
    <w:qFormat/>
    <w:pPr>
      <w:pBdr>
        <w:top w:val="single" w:sz="2" w:space="0" w:color="000000"/>
      </w:pBdr>
    </w:pPr>
    <w:rPr/>
  </w:style>
  <w:style w:type="paragraph" w:styleId="Pril14-ITOGO">
    <w:name w:val="Pril14-ITOGO"/>
    <w:basedOn w:val="Pril14-1"/>
    <w:next w:val="Pril14-1"/>
    <w:qFormat/>
    <w:pPr>
      <w:pBdr>
        <w:top w:val="single" w:sz="2" w:space="0" w:color="000000"/>
      </w:pBdr>
    </w:pPr>
    <w:rPr/>
  </w:style>
  <w:style w:type="paragraph" w:styleId="TableLast">
    <w:name w:val="TableLast"/>
    <w:basedOn w:val="Table012"/>
    <w:next w:val="Table012"/>
    <w:qFormat/>
    <w:pPr>
      <w:tabs>
        <w:tab w:val="clear" w:pos="1304"/>
        <w:tab w:val="clear" w:pos="7370"/>
        <w:tab w:val="clear" w:pos="7710"/>
        <w:tab w:val="center" w:pos="935" w:leader="none"/>
        <w:tab w:val="center" w:pos="2381" w:leader="none"/>
        <w:tab w:val="center" w:pos="3543" w:leader="none"/>
        <w:tab w:val="center" w:pos="6491" w:leader="none"/>
      </w:tabs>
      <w:ind w:hanging="0" w:start="0" w:end="0"/>
    </w:pPr>
    <w:rPr>
      <w:color w:val="000000"/>
    </w:rPr>
  </w:style>
  <w:style w:type="paragraph" w:styleId="Pril8-1">
    <w:name w:val="Pril8-1"/>
    <w:basedOn w:val="TableLast"/>
    <w:qFormat/>
    <w:pPr>
      <w:tabs>
        <w:tab w:val="clear" w:pos="935"/>
        <w:tab w:val="clear" w:pos="2381"/>
        <w:tab w:val="clear" w:pos="3543"/>
        <w:tab w:val="clear" w:pos="6491"/>
        <w:tab w:val="right" w:pos="397" w:leader="none"/>
        <w:tab w:val="left" w:pos="624" w:leader="none"/>
        <w:tab w:val="center" w:pos="6945" w:leader="none"/>
      </w:tabs>
      <w:ind w:hanging="624" w:start="624" w:end="0"/>
    </w:pPr>
    <w:rPr/>
  </w:style>
  <w:style w:type="paragraph" w:styleId="Prilozh8-1">
    <w:name w:val="Prilozh8-1"/>
    <w:basedOn w:val="Pril8-1"/>
    <w:next w:val="Pril8-1"/>
    <w:qFormat/>
    <w:pPr>
      <w:tabs>
        <w:tab w:val="clear" w:pos="6945"/>
        <w:tab w:val="center" w:pos="6378" w:leader="none"/>
      </w:tabs>
    </w:pPr>
    <w:rPr/>
  </w:style>
  <w:style w:type="paragraph" w:styleId="Prilozh8-ITOGO">
    <w:name w:val="Prilozh8-ITOGO"/>
    <w:basedOn w:val="Prilozh8-1"/>
    <w:next w:val="Prilozh8-1"/>
    <w:qFormat/>
    <w:pPr>
      <w:pBdr>
        <w:top w:val="single" w:sz="2" w:space="0" w:color="000000"/>
      </w:pBdr>
    </w:pPr>
    <w:rPr/>
  </w:style>
  <w:style w:type="paragraph" w:styleId="ITOGO">
    <w:name w:val="ITOGO"/>
    <w:basedOn w:val="Prilozh8-ITOGO"/>
    <w:next w:val="Prilozh8-ITOGO"/>
    <w:qFormat/>
    <w:pPr>
      <w:pBdr>
        <w:top w:val="single" w:sz="2" w:space="0" w:color="000000"/>
        <w:bottom w:val="single" w:sz="2" w:space="0" w:color="000000"/>
      </w:pBdr>
    </w:pPr>
    <w:rPr/>
  </w:style>
  <w:style w:type="paragraph" w:styleId="Punkt10">
    <w:name w:val="Punkt10"/>
    <w:basedOn w:val="TableLast"/>
    <w:next w:val="TableLast"/>
    <w:qFormat/>
    <w:pPr>
      <w:tabs>
        <w:tab w:val="clear" w:pos="935"/>
        <w:tab w:val="clear" w:pos="2381"/>
        <w:tab w:val="clear" w:pos="3543"/>
        <w:tab w:val="clear" w:pos="6491"/>
        <w:tab w:val="right" w:pos="454" w:leader="none"/>
        <w:tab w:val="right" w:pos="1191" w:leader="none"/>
        <w:tab w:val="left" w:pos="1644" w:leader="none"/>
        <w:tab w:val="center" w:pos="8504" w:leader="none"/>
      </w:tabs>
      <w:ind w:hanging="1644" w:start="1644" w:end="0"/>
    </w:pPr>
    <w:rPr/>
  </w:style>
  <w:style w:type="paragraph" w:styleId="Mt10542">
    <w:name w:val="Mt1054_2"/>
    <w:basedOn w:val="Table012"/>
    <w:next w:val="Table012"/>
    <w:qFormat/>
    <w:pPr>
      <w:tabs>
        <w:tab w:val="clear" w:pos="7710"/>
        <w:tab w:val="center" w:pos="8220" w:leader="none"/>
      </w:tabs>
    </w:pPr>
    <w:rPr>
      <w:color w:val="000000"/>
    </w:rPr>
  </w:style>
  <w:style w:type="paragraph" w:styleId="op161-2noline">
    <w:name w:val="op161-2noline"/>
    <w:basedOn w:val="MainText-BezOtstupa1"/>
    <w:next w:val="MainText-BezOtstupa1"/>
    <w:qFormat/>
    <w:pPr>
      <w:tabs>
        <w:tab w:val="clear" w:pos="720"/>
        <w:tab w:val="left" w:pos="1191" w:leader="none"/>
        <w:tab w:val="center" w:pos="3231" w:leader="none"/>
        <w:tab w:val="left" w:pos="4082" w:leader="none"/>
        <w:tab w:val="left" w:pos="4280" w:leader="none"/>
      </w:tabs>
      <w:spacing w:lineRule="atLeast" w:line="220" w:before="28" w:after="0"/>
      <w:ind w:hanging="4167" w:start="4280" w:end="113"/>
    </w:pPr>
    <w:rPr>
      <w:color w:val="000000"/>
    </w:rPr>
  </w:style>
  <w:style w:type="paragraph" w:styleId="op161-1line">
    <w:name w:val="op161-1line"/>
    <w:basedOn w:val="MainText-BezOtstupa1"/>
    <w:next w:val="MainText-BezOtstupa1"/>
    <w:qFormat/>
    <w:pPr>
      <w:pBdr>
        <w:top w:val="single" w:sz="2" w:space="0" w:color="000000"/>
      </w:pBdr>
      <w:tabs>
        <w:tab w:val="clear" w:pos="720"/>
        <w:tab w:val="left" w:pos="1191" w:leader="none"/>
        <w:tab w:val="center" w:pos="3231" w:leader="none"/>
        <w:tab w:val="left" w:pos="4082" w:leader="none"/>
      </w:tabs>
      <w:spacing w:lineRule="atLeast" w:line="220" w:before="28" w:after="0"/>
      <w:ind w:hanging="3969" w:start="4082" w:end="113"/>
    </w:pPr>
    <w:rPr/>
  </w:style>
  <w:style w:type="paragraph" w:styleId="op161-2line">
    <w:name w:val="op161-2line"/>
    <w:basedOn w:val="MainText-BezOtstupa1"/>
    <w:next w:val="MainText-BezOtstupa1"/>
    <w:qFormat/>
    <w:pPr>
      <w:pBdr>
        <w:top w:val="single" w:sz="2" w:space="0" w:color="000000"/>
      </w:pBdr>
      <w:tabs>
        <w:tab w:val="clear" w:pos="720"/>
        <w:tab w:val="left" w:pos="1191" w:leader="none"/>
        <w:tab w:val="center" w:pos="3231" w:leader="none"/>
        <w:tab w:val="left" w:pos="4082" w:leader="none"/>
        <w:tab w:val="left" w:pos="4280" w:leader="none"/>
      </w:tabs>
      <w:spacing w:lineRule="atLeast" w:line="220" w:before="28" w:after="0"/>
      <w:ind w:hanging="4167" w:start="4280" w:end="113"/>
    </w:pPr>
    <w:rPr>
      <w:color w:val="000000"/>
    </w:rPr>
  </w:style>
  <w:style w:type="paragraph" w:styleId="op161-1noline">
    <w:name w:val="op161-1noline"/>
    <w:basedOn w:val="MainText-BezOtstupa1"/>
    <w:next w:val="MainText-BezOtstupa1"/>
    <w:qFormat/>
    <w:pPr>
      <w:tabs>
        <w:tab w:val="clear" w:pos="720"/>
        <w:tab w:val="left" w:pos="1191" w:leader="none"/>
        <w:tab w:val="center" w:pos="3231" w:leader="none"/>
        <w:tab w:val="left" w:pos="4082" w:leader="none"/>
      </w:tabs>
      <w:spacing w:lineRule="atLeast" w:line="220" w:before="28" w:after="0"/>
      <w:ind w:hanging="3969" w:start="4082" w:end="113"/>
    </w:pPr>
    <w:rPr>
      <w:color w:val="000000"/>
    </w:rPr>
  </w:style>
  <w:style w:type="paragraph" w:styleId="TabValutiMonth">
    <w:name w:val="TabValutiMonth"/>
    <w:basedOn w:val="TabValuti"/>
    <w:next w:val="Normal"/>
    <w:qFormat/>
    <w:pPr>
      <w:keepNext w:val="false"/>
      <w:keepLines w:val="false"/>
      <w:tabs>
        <w:tab w:val="clear" w:pos="3685"/>
        <w:tab w:val="clear" w:pos="4592"/>
        <w:tab w:val="clear" w:pos="8220"/>
        <w:tab w:val="decimal" w:pos="3628" w:leader="none"/>
        <w:tab w:val="left" w:pos="4479" w:leader="none"/>
        <w:tab w:val="decimal" w:pos="8164" w:leader="none"/>
      </w:tabs>
      <w:ind w:hanging="0" w:start="283" w:end="57"/>
    </w:pPr>
    <w:rPr>
      <w:color w:val="000000"/>
    </w:rPr>
  </w:style>
  <w:style w:type="paragraph" w:styleId="Bullets3Digits">
    <w:name w:val="Bullets3Digits"/>
    <w:qFormat/>
    <w:pPr>
      <w:widowControl/>
      <w:tabs>
        <w:tab w:val="clear" w:pos="720"/>
        <w:tab w:val="right" w:pos="454" w:leader="none"/>
        <w:tab w:val="left" w:pos="567" w:leader="none"/>
      </w:tabs>
      <w:overflowPunct w:val="false"/>
      <w:autoSpaceDE w:val="false"/>
      <w:bidi w:val="0"/>
      <w:ind w:hanging="510" w:start="567" w:end="0"/>
      <w:jc w:val="both"/>
      <w:textAlignment w:val="baseline"/>
    </w:pPr>
    <w:rPr>
      <w:rFonts w:ascii="PragmaticaC" w:hAnsi="PragmaticaC" w:eastAsia="Times New Roman" w:cs="PragmaticaC"/>
      <w:color w:val="000000"/>
      <w:sz w:val="19"/>
      <w:szCs w:val="20"/>
      <w:lang w:val="en-US" w:bidi="ar-SA" w:eastAsia="zh-CN"/>
    </w:rPr>
  </w:style>
  <w:style w:type="paragraph" w:styleId="Bullets2Digits">
    <w:name w:val="Bullets2Digits"/>
    <w:qFormat/>
    <w:pPr>
      <w:widowControl/>
      <w:tabs>
        <w:tab w:val="clear" w:pos="720"/>
        <w:tab w:val="right" w:pos="454" w:leader="none"/>
        <w:tab w:val="left" w:pos="567" w:leader="none"/>
      </w:tabs>
      <w:overflowPunct w:val="false"/>
      <w:autoSpaceDE w:val="false"/>
      <w:bidi w:val="0"/>
      <w:ind w:hanging="397" w:start="567" w:end="0"/>
      <w:jc w:val="both"/>
      <w:textAlignment w:val="baseline"/>
    </w:pPr>
    <w:rPr>
      <w:rFonts w:ascii="PragmaticaC" w:hAnsi="PragmaticaC" w:eastAsia="Times New Roman" w:cs="PragmaticaC"/>
      <w:color w:val="000000"/>
      <w:sz w:val="19"/>
      <w:szCs w:val="20"/>
      <w:lang w:val="en-US" w:bidi="ar-SA" w:eastAsia="zh-CN"/>
    </w:rPr>
  </w:style>
  <w:style w:type="paragraph" w:styleId="MainTextTabLine1">
    <w:name w:val="MainText + TabLine1"/>
    <w:basedOn w:val="MainText"/>
    <w:next w:val="MainText"/>
    <w:qFormat/>
    <w:pPr>
      <w:tabs>
        <w:tab w:val="clear" w:pos="720"/>
        <w:tab w:val="right" w:pos="3966" w:leader="none"/>
        <w:tab w:val="right" w:pos="4224" w:leader="none"/>
      </w:tabs>
    </w:pPr>
    <w:rPr>
      <w:color w:val="000000"/>
    </w:rPr>
  </w:style>
  <w:style w:type="paragraph" w:styleId="Mzagolovok-Tabs2">
    <w:name w:val="Mzagolovok - Tabs2"/>
    <w:basedOn w:val="MZagolvok-Center"/>
    <w:next w:val="MZagolvok-Center"/>
    <w:qFormat/>
    <w:pPr>
      <w:tabs>
        <w:tab w:val="clear" w:pos="720"/>
        <w:tab w:val="center" w:pos="2494" w:leader="none"/>
        <w:tab w:val="center" w:pos="7483" w:leader="none"/>
      </w:tabs>
      <w:jc w:val="start"/>
    </w:pPr>
    <w:rPr>
      <w:color w:val="00FFFF"/>
    </w:rPr>
  </w:style>
  <w:style w:type="paragraph" w:styleId="PublishedPravNoRule">
    <w:name w:val="PublishedPravNoRule"/>
    <w:basedOn w:val="PublishedSpravStat"/>
    <w:next w:val="PublishedSpravStat"/>
    <w:qFormat/>
    <w:pPr>
      <w:pBdr>
        <w:bottom w:val="nil"/>
      </w:pBdr>
      <w:tabs>
        <w:tab w:val="clear" w:pos="7512"/>
        <w:tab w:val="clear" w:pos="8674"/>
        <w:tab w:val="center" w:pos="7398" w:leader="none"/>
        <w:tab w:val="right" w:pos="8731" w:leader="none"/>
      </w:tabs>
      <w:spacing w:before="0" w:after="0"/>
    </w:pPr>
    <w:rPr>
      <w:color w:val="000000"/>
    </w:rPr>
  </w:style>
  <w:style w:type="paragraph" w:styleId="MainTextLine2Columns">
    <w:name w:val="MainText + Line 2 Columns"/>
    <w:basedOn w:val="MainTextLine"/>
    <w:next w:val="MainTextLine"/>
    <w:qFormat/>
    <w:pPr>
      <w:tabs>
        <w:tab w:val="right" w:pos="4450" w:leader="underscore"/>
        <w:tab w:val="left" w:pos="4535" w:leader="none"/>
      </w:tabs>
    </w:pPr>
    <w:rPr>
      <w:color w:val="000000"/>
    </w:rPr>
  </w:style>
  <w:style w:type="paragraph" w:styleId="Bn10in2inDtKt">
    <w:name w:val="Bn10in2inDtKt"/>
    <w:basedOn w:val="BulletsMain"/>
    <w:next w:val="BulletsMain"/>
    <w:qFormat/>
    <w:pPr>
      <w:ind w:hanging="454" w:start="1446" w:end="0"/>
    </w:pPr>
    <w:rPr>
      <w:color w:val="000000"/>
    </w:rPr>
  </w:style>
  <w:style w:type="paragraph" w:styleId="BulletsNumbers3inDtKt">
    <w:name w:val="BulletsNumbers3inDtKt"/>
    <w:basedOn w:val="BulletsMain"/>
    <w:next w:val="BulletsMain"/>
    <w:qFormat/>
    <w:pPr>
      <w:tabs>
        <w:tab w:val="clear" w:pos="567"/>
        <w:tab w:val="left" w:pos="1843" w:leader="none"/>
      </w:tabs>
      <w:ind w:hanging="454" w:start="1843" w:end="0"/>
    </w:pPr>
    <w:rPr>
      <w:color w:val="000000"/>
    </w:rPr>
  </w:style>
  <w:style w:type="paragraph" w:styleId="Bn10in3inDtKt">
    <w:name w:val="Bn10in3inDtKt"/>
    <w:basedOn w:val="BulletsNumbers3inDtKt"/>
    <w:next w:val="BulletsNumbers3inDtKt"/>
    <w:qFormat/>
    <w:pPr>
      <w:tabs>
        <w:tab w:val="clear" w:pos="1843"/>
        <w:tab w:val="left" w:pos="2239" w:leader="none"/>
      </w:tabs>
      <w:ind w:hanging="454" w:start="2239" w:end="0"/>
    </w:pPr>
    <w:rPr/>
  </w:style>
  <w:style w:type="paragraph" w:styleId="BulletsNumbers3in3">
    <w:name w:val="BulletsNumbers3in3"/>
    <w:basedOn w:val="BulletsNumbers3"/>
    <w:next w:val="BulletsNumbers3"/>
    <w:qFormat/>
    <w:pPr>
      <w:tabs>
        <w:tab w:val="clear" w:pos="567"/>
        <w:tab w:val="left" w:pos="1389" w:leader="none"/>
      </w:tabs>
      <w:ind w:hanging="652" w:start="1389" w:end="0"/>
    </w:pPr>
    <w:rPr>
      <w:color w:val="000000"/>
    </w:rPr>
  </w:style>
  <w:style w:type="paragraph" w:styleId="Bn10in3">
    <w:name w:val="Bn10in3"/>
    <w:basedOn w:val="BulletsNumbers3in3"/>
    <w:next w:val="BulletsNumbers3in3"/>
    <w:qFormat/>
    <w:pPr>
      <w:tabs>
        <w:tab w:val="clear" w:pos="1389"/>
        <w:tab w:val="left" w:pos="1814" w:leader="none"/>
      </w:tabs>
      <w:ind w:hanging="822" w:start="1814" w:end="0"/>
    </w:pPr>
    <w:rPr/>
  </w:style>
  <w:style w:type="paragraph" w:styleId="Bn10in2">
    <w:name w:val="Bn10in2"/>
    <w:basedOn w:val="BulletsNumbers2"/>
    <w:next w:val="BulletsNumbers2"/>
    <w:qFormat/>
    <w:pPr>
      <w:tabs>
        <w:tab w:val="clear" w:pos="737"/>
        <w:tab w:val="left" w:pos="992" w:leader="none"/>
      </w:tabs>
      <w:ind w:hanging="595" w:start="992" w:end="0"/>
    </w:pPr>
    <w:rPr>
      <w:color w:val="000000"/>
    </w:rPr>
  </w:style>
  <w:style w:type="paragraph" w:styleId="Bn10">
    <w:name w:val="Bn10"/>
    <w:basedOn w:val="BulletsNumbers"/>
    <w:next w:val="BulletsNumbers"/>
    <w:qFormat/>
    <w:pPr>
      <w:tabs>
        <w:tab w:val="clear" w:pos="283"/>
        <w:tab w:val="left" w:pos="397" w:leader="none"/>
      </w:tabs>
      <w:ind w:hanging="397" w:start="397" w:end="0"/>
    </w:pPr>
    <w:rPr>
      <w:color w:val="000000"/>
    </w:rPr>
  </w:style>
  <w:style w:type="paragraph" w:styleId="BulletsNumbers2inDtKt">
    <w:name w:val="BulletsNumbers2inDtKt"/>
    <w:basedOn w:val="BulletsNumbers3in3"/>
    <w:next w:val="BulletsNumbers3in3"/>
    <w:qFormat/>
    <w:pPr>
      <w:tabs>
        <w:tab w:val="clear" w:pos="1389"/>
        <w:tab w:val="left" w:pos="1191" w:leader="none"/>
      </w:tabs>
      <w:ind w:hanging="454" w:start="1191" w:end="0"/>
    </w:pPr>
    <w:rPr/>
  </w:style>
  <w:style w:type="paragraph" w:styleId="MainText-BulletsMain">
    <w:name w:val="MainText - BulletsMain"/>
    <w:basedOn w:val="MainText"/>
    <w:next w:val="MainText"/>
    <w:qFormat/>
    <w:pPr>
      <w:tabs>
        <w:tab w:val="clear" w:pos="720"/>
        <w:tab w:val="left" w:pos="567" w:leader="none"/>
      </w:tabs>
      <w:ind w:hanging="283" w:start="567" w:end="0"/>
    </w:pPr>
    <w:rPr/>
  </w:style>
  <w:style w:type="paragraph" w:styleId="TOC1">
    <w:name w:val="toc 1"/>
    <w:basedOn w:val="Normal"/>
    <w:next w:val="Normal"/>
    <w:pPr>
      <w:tabs>
        <w:tab w:val="clear" w:pos="720"/>
        <w:tab w:val="right" w:pos="6804" w:leader="none"/>
      </w:tabs>
    </w:pPr>
    <w:rPr>
      <w:b/>
      <w:caps/>
      <w:sz w:val="20"/>
      <w:u w:val="single"/>
    </w:rPr>
  </w:style>
  <w:style w:type="paragraph" w:styleId="CustomBullets2">
    <w:name w:val="CustomBullets2"/>
    <w:basedOn w:val="MainTextBezOtstupa"/>
    <w:next w:val="MainTextBezOtstupa"/>
    <w:qFormat/>
    <w:pPr>
      <w:tabs>
        <w:tab w:val="clear" w:pos="720"/>
        <w:tab w:val="left" w:pos="595" w:leader="none"/>
      </w:tabs>
      <w:ind w:hanging="595" w:start="595" w:end="0"/>
      <w:jc w:val="start"/>
    </w:pPr>
    <w:rPr>
      <w:b/>
      <w:color w:val="000000"/>
    </w:rPr>
  </w:style>
  <w:style w:type="paragraph" w:styleId="101102">
    <w:name w:val="101_102"/>
    <w:basedOn w:val="MainText-BezOtstupa1"/>
    <w:next w:val="MainText-BezOtstupa1"/>
    <w:qFormat/>
    <w:pPr>
      <w:pBdr>
        <w:bottom w:val="single" w:sz="2" w:space="0" w:color="000000"/>
      </w:pBdr>
      <w:tabs>
        <w:tab w:val="clear" w:pos="720"/>
        <w:tab w:val="right" w:pos="397" w:leader="none"/>
        <w:tab w:val="center" w:pos="907" w:leader="none"/>
        <w:tab w:val="left" w:pos="1446" w:leader="none"/>
        <w:tab w:val="center" w:pos="5641" w:leader="none"/>
        <w:tab w:val="center" w:pos="7030" w:leader="none"/>
        <w:tab w:val="center" w:pos="8277" w:leader="none"/>
      </w:tabs>
      <w:spacing w:before="0" w:after="43"/>
      <w:jc w:val="start"/>
    </w:pPr>
    <w:rPr>
      <w:rFonts w:ascii="PragmaticaCondC" w:hAnsi="PragmaticaCondC" w:cs="PragmaticaCondC"/>
      <w:color w:val="000000"/>
    </w:rPr>
  </w:style>
  <w:style w:type="paragraph" w:styleId="BiogDate">
    <w:name w:val="BiogDate"/>
    <w:basedOn w:val="MainText"/>
    <w:next w:val="MainText"/>
    <w:qFormat/>
    <w:pPr>
      <w:tabs>
        <w:tab w:val="clear" w:pos="720"/>
        <w:tab w:val="right" w:pos="1361" w:leader="none"/>
        <w:tab w:val="center" w:pos="1531" w:leader="none"/>
        <w:tab w:val="left" w:pos="1701" w:leader="none"/>
      </w:tabs>
      <w:ind w:hanging="1701" w:start="1701" w:end="0"/>
    </w:pPr>
    <w:rPr>
      <w:color w:val="000000"/>
    </w:rPr>
  </w:style>
  <w:style w:type="paragraph" w:styleId="MainText-Flash">
    <w:name w:val="MainText - Flash"/>
    <w:basedOn w:val="MainText-BezOtstupa1"/>
    <w:next w:val="MainText-BezOtstupa1"/>
    <w:qFormat/>
    <w:pPr>
      <w:spacing w:lineRule="atLeast" w:line="228"/>
      <w:jc w:val="start"/>
    </w:pPr>
    <w:rPr>
      <w:rFonts w:ascii="PragmaticaCondC" w:hAnsi="PragmaticaCondC" w:cs="PragmaticaCondC"/>
      <w:b/>
      <w:i/>
      <w:color w:val="00FFFF"/>
      <w:sz w:val="20"/>
    </w:rPr>
  </w:style>
  <w:style w:type="paragraph" w:styleId="MainTextLine155">
    <w:name w:val="MainText+Line155"/>
    <w:basedOn w:val="MainTextBezOtstupa"/>
    <w:next w:val="MainTextBezOtstupa"/>
    <w:qFormat/>
    <w:pPr>
      <w:tabs>
        <w:tab w:val="clear" w:pos="720"/>
        <w:tab w:val="right" w:pos="8787" w:leader="underscore"/>
      </w:tabs>
    </w:pPr>
    <w:rPr/>
  </w:style>
  <w:style w:type="paragraph" w:styleId="MZagolovokCenter">
    <w:name w:val="MZagolovokCenter"/>
    <w:basedOn w:val="MZagolovok"/>
    <w:qFormat/>
    <w:pPr>
      <w:spacing w:before="170" w:after="113"/>
      <w:jc w:val="center"/>
    </w:pPr>
    <w:rPr>
      <w:color w:val="00FFFF"/>
    </w:rPr>
  </w:style>
  <w:style w:type="paragraph" w:styleId="MainText-BezOtstupa4">
    <w:name w:val="MainText - BezOtstupa + 4"/>
    <w:basedOn w:val="MainText-BezOtstupa1"/>
    <w:next w:val="MainText-BezOtstupa1"/>
    <w:qFormat/>
    <w:pPr>
      <w:spacing w:before="227" w:after="0"/>
    </w:pPr>
    <w:rPr/>
  </w:style>
  <w:style w:type="paragraph" w:styleId="MainText-Rashifrovka">
    <w:name w:val="MainText - Rashifrovka"/>
    <w:basedOn w:val="MainText-BezOtstupa1"/>
    <w:next w:val="MainText-BezOtstupa1"/>
    <w:qFormat/>
    <w:pPr>
      <w:spacing w:before="0" w:after="57"/>
      <w:jc w:val="center"/>
    </w:pPr>
    <w:rPr>
      <w:sz w:val="16"/>
    </w:rPr>
  </w:style>
  <w:style w:type="paragraph" w:styleId="Bullets8">
    <w:name w:val="Bullets8"/>
    <w:basedOn w:val="MainTextBezOtstupa"/>
    <w:next w:val="MainTextBezOtstupa"/>
    <w:qFormat/>
    <w:pPr>
      <w:tabs>
        <w:tab w:val="clear" w:pos="720"/>
        <w:tab w:val="left" w:pos="170" w:leader="none"/>
      </w:tabs>
      <w:ind w:hanging="170" w:start="170" w:end="0"/>
    </w:pPr>
    <w:rPr>
      <w:color w:val="000000"/>
      <w:sz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2004-05-07T13:25:00Z</dcterms:created>
  <dc:creator>Konstantin</dc:creator>
  <dc:description/>
  <cp:keywords/>
  <dc:language>ru-RU</dc:language>
  <cp:lastModifiedBy>PiterGavrinev</cp:lastModifiedBy>
  <cp:lastPrinted>2003-09-29T17:35:00Z</cp:lastPrinted>
  <dcterms:modified xsi:type="dcterms:W3CDTF">2004-05-07T13:25:00Z</dcterms:modified>
  <cp:revision>2</cp:revision>
  <dc:subject/>
  <dc:title>254-П</dc:title>
</cp:coreProperties>
</file>