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меры-поддержки-финансового-сектора"/>
    <w:p>
      <w:pPr>
        <w:pStyle w:val="Heading1"/>
      </w:pPr>
      <w:r>
        <w:t xml:space="preserve">Меры поддержки финансового сектора</w:t>
      </w:r>
    </w:p>
    <w:p>
      <w:pPr>
        <w:pStyle w:val="FirstParagraph"/>
      </w:pPr>
      <w:r>
        <w:t xml:space="preserve">Меры поддержки финансового сектора</w:t>
      </w:r>
    </w:p>
    <w:p>
      <w:pPr>
        <w:pStyle w:val="BodyText"/>
      </w:pPr>
      <w:r>
        <w:t xml:space="preserve">Термины и сокращения</w:t>
      </w:r>
    </w:p>
    <w:p>
      <w:pPr>
        <w:pStyle w:val="BodyText"/>
      </w:pPr>
      <w:r>
        <w:t xml:space="preserve">Применение информационного письма Банка России от 30.12.2022 № ИН-03-23/158 «О требованиях к раскрытию отчетности и информации в 2023 году»</w:t>
      </w:r>
    </w:p>
    <w:p>
      <w:pPr>
        <w:pStyle w:val="BodyText"/>
      </w:pPr>
      <w:r>
        <w:t xml:space="preserve">На основании информационного письма Банка России от 30.12.2022 № ИН-03-23/158 в форме публикуемой отчетности кредитных организаций 0409807 «Отчет о финансовых результатах кредитной организации (публикуемая форма)» (далее — форма 0409807) статья 2 «Прочий совокупный доход (убыток)» раздела 2 «Прочий совокупный доход» не заполняется. При этом в приложении 2 к решению Совета директоров Банка России от 29.12.2022 «О требованиях к раскрытию кредитными организациями (головными кредитными организациями банковских групп) отчетности и информации в 2023 году» (далее — Решение 1) данная статья в форме 0409807 среди прочих строк, по которым информация не раскрывается, не указана.</w:t>
      </w:r>
    </w:p>
    <w:p>
      <w:pPr>
        <w:pStyle w:val="BodyText"/>
      </w:pPr>
      <w:r>
        <w:t xml:space="preserve">Необходимо ли раскрывать данные по статье 2 «Прочий совокупный доход (убыток)» раздела 2 отчетности по форме 0409807?</w:t>
      </w:r>
    </w:p>
    <w:p>
      <w:pPr>
        <w:pStyle w:val="BodyText"/>
      </w:pPr>
      <w:r>
        <w:t xml:space="preserve">Обновлено: 03.03.2023</w:t>
      </w:r>
    </w:p>
    <w:p>
      <w:pPr>
        <w:pStyle w:val="BodyText"/>
      </w:pPr>
      <w:r>
        <w:t xml:space="preserve">Требование о незаполнении граф 4 и 5 статьи 2 раздела 2 формы 0409807 предусмотрено действующей редакцией формы, установленной Указанием Банка России от 08.10.2018 № 4927-У «О перечне, формах и порядке составления и представления форм отчетности кредитных организаций в Центральный банк Российской Федерации».</w:t>
      </w:r>
    </w:p>
    <w:p>
      <w:pPr>
        <w:pStyle w:val="BodyText"/>
      </w:pPr>
      <w:r>
        <w:t xml:space="preserve">В пункте 1.2.1 Решения 1 указано, что пояснительная информация к годовой (промежуточной) бухгалтерской (финансовой) отчетности (далее — БФО) за 2022 год и заканчивая отчетностью на 1 октября 2023 года не раскрывается.</w:t>
      </w:r>
    </w:p>
    <w:p>
      <w:pPr>
        <w:pStyle w:val="BodyText"/>
      </w:pPr>
      <w:r>
        <w:t xml:space="preserve">Правильно ли Банк понимает, что аудиторское заключение по годовой (промежуточной — в случае проведения аудита) БФО не подлежит раскрытию, при этом составление и подписание сокращенного аудиторского заключения применительно к раскрываемой в ограниченном формате отчетности не требуется?</w:t>
      </w:r>
    </w:p>
    <w:p>
      <w:pPr>
        <w:pStyle w:val="BodyText"/>
      </w:pPr>
      <w:r>
        <w:t xml:space="preserve">Обновлено: 03.03.2023</w:t>
      </w:r>
    </w:p>
    <w:p>
      <w:pPr>
        <w:pStyle w:val="BodyText"/>
      </w:pPr>
      <w:r>
        <w:t xml:space="preserve">Поскольку в пункте 1.2.1 Решения 1, определяющем перечень информации, не подлежащей раскрытию КО в БФО, аудиторское заключение не поименовано, КО обязаны осуществлять его раскрытие, за исключением сведений, «чувствительных» к санкционным рискам, определенных в Решении 1. При этом, следует учитывать, что аудиторское заключение для отчетности, публикуемой в соответствии с Решением 1, должно быть составлено с учетом требований применимых стандартов аудиторской деятельности.</w:t>
      </w:r>
    </w:p>
    <w:p>
      <w:pPr>
        <w:pStyle w:val="BodyText"/>
      </w:pPr>
      <w:r>
        <w:t xml:space="preserve">В соответствии с пунктом 1 решения Совета директоров Банка России от 29.12.2022 «О перечне информации о деятельности кредитных организаций, которую Банк России не раскрывает на своем официальном сайте» (далее — Решение 2) Банк России, начиная с отчетной даты на 01.06.2023 и заканчивая 01.12.2023, планирует раскрывать на своем сайте отдельные формы отчетности с учетом ограничений, указанных в пункте 2.2 Решения 2.</w:t>
      </w:r>
    </w:p>
    <w:p>
      <w:pPr>
        <w:pStyle w:val="BodyText"/>
      </w:pPr>
      <w:r>
        <w:t xml:space="preserve">Банк просит уточнить, с какой отчетной даты КО вправе начать раскрытие на своем сайте указанных форм отчетности с учетом данных ограничений:</w:t>
      </w:r>
    </w:p>
    <w:p>
      <w:pPr>
        <w:pStyle w:val="BodyText"/>
      </w:pPr>
      <w:r>
        <w:t xml:space="preserve">по аналогии с Банком России с отчета на 01.06.2023;</w:t>
      </w:r>
    </w:p>
    <w:p>
      <w:pPr>
        <w:pStyle w:val="BodyText"/>
      </w:pPr>
      <w:r>
        <w:t xml:space="preserve">с отчетной даты, определенной решением КО.</w:t>
      </w:r>
    </w:p>
    <w:p>
      <w:pPr>
        <w:pStyle w:val="BodyText"/>
      </w:pPr>
      <w:r>
        <w:t xml:space="preserve">Банк также просит уточнить формат раскрываемых форм:</w:t>
      </w:r>
    </w:p>
    <w:p>
      <w:pPr>
        <w:pStyle w:val="BodyText"/>
      </w:pPr>
      <w:r>
        <w:t xml:space="preserve">форма раскрывается в полном объеме, но не раскрываемая информация по строкам обозначается «Х»;</w:t>
      </w:r>
    </w:p>
    <w:p>
      <w:pPr>
        <w:pStyle w:val="BodyText"/>
      </w:pPr>
      <w:r>
        <w:t xml:space="preserve">форма содержит только строки с раскрываемыми данными;</w:t>
      </w:r>
    </w:p>
    <w:p>
      <w:pPr>
        <w:pStyle w:val="BodyText"/>
      </w:pPr>
      <w:r>
        <w:t xml:space="preserve">иной альтернативный формат с доступной к раскрытию информацией.</w:t>
      </w:r>
    </w:p>
    <w:p>
      <w:pPr>
        <w:pStyle w:val="BodyText"/>
      </w:pPr>
      <w:r>
        <w:t xml:space="preserve">Обновлено: 03.03.2023</w:t>
      </w:r>
    </w:p>
    <w:p>
      <w:pPr>
        <w:pStyle w:val="BodyText"/>
      </w:pPr>
      <w:r>
        <w:t xml:space="preserve">Формы отчетности, указанные в пункте 1 Решения 2, составляются и представляются КО (головными КО банковских групп) в Банк России в целях осуществления надзора за их деятельностью (пруденциальная отчетность). Требование к их раскрытию КО перед широким кругом пользователей федеральным законодательством и нормативными актами Банка России не установлено.</w:t>
      </w:r>
    </w:p>
    <w:p>
      <w:pPr>
        <w:pStyle w:val="BodyText"/>
      </w:pPr>
      <w:r>
        <w:t xml:space="preserve">В случае принятия Банком решения о раскрытии форм пруденциальной отчетности на своем сайте, Банк может раскрывать данные формы только в объеме, не превышающем объем их раскрытия, установленный Решением 2. Раскрытие КО форм пруденциальной отчетности, указанных в пункте 1 Решения 2, рекомендуем осуществлять в формате, аналогичном формату раскрытия Банком России такой отчетности на своем сайте. При принятии такого решения Банку следует направить в Банк России (структурное подразделение, осуществляющее надзор за его деятельностью) уведомление в произвольной форме о раскрытии соответствующей пруденциальной отчетности на своем сайте.</w:t>
      </w:r>
    </w:p>
    <w:p>
      <w:pPr>
        <w:pStyle w:val="BodyText"/>
      </w:pPr>
      <w:r>
        <w:t xml:space="preserve">Также обращаем внимание, что раскрытие указанных форм ранее установленной в Решении 2 отчетной даты (01.06.2023) и сроков раскрытия 1 на сайте Банка России, установленных пунктом 3 Указания Банка России № 5386-У «О составе и порядке раскрытия Банком России информации, содержащейся в отчетности кредитных организаций (банковских групп)», не допускается.</w:t>
      </w:r>
    </w:p>
    <w:p>
      <w:pPr>
        <w:pStyle w:val="BodyText"/>
      </w:pPr>
      <w:r>
        <w:t xml:space="preserve">1 Для отчетности КО — не ранее 18-го рабочего дня после отчетной даты, для отчетности банковских групп — не ранее 18-го рабочего дня второго месяца квартала, следующего за отчётным.</w:t>
      </w:r>
    </w:p>
    <w:p>
      <w:pPr>
        <w:pStyle w:val="BodyText"/>
      </w:pPr>
      <w:r>
        <w:t xml:space="preserve">Правильно ли Банк понимает, что отчетность по формам 0409808 «Отчет об уровне достаточности капитала для покрытия рисков (публикуемая форма)» и 0409813 «Сведения об обязательных нормативах, нормативе финансового рычага и нормативе краткосрочной ликвидности (публикуемая форма)», составленные головной КО в целом по банковской группе, не подлежат раскрытию в 2023 году в полном объеме как часть Отчета о рисках Группы?</w:t>
      </w:r>
    </w:p>
    <w:p>
      <w:pPr>
        <w:pStyle w:val="BodyText"/>
      </w:pPr>
      <w:r>
        <w:t xml:space="preserve">Обновлено: 03.03.2023</w:t>
      </w:r>
    </w:p>
    <w:p>
      <w:pPr>
        <w:pStyle w:val="BodyText"/>
      </w:pPr>
      <w:r>
        <w:t xml:space="preserve">Позиция Банка верна.</w:t>
      </w:r>
    </w:p>
    <w:p>
      <w:pPr>
        <w:pStyle w:val="BodyText"/>
      </w:pPr>
      <w:r>
        <w:t xml:space="preserve">В соответствии с Приложением 1 к Решению 1 КО не раскрывают в том числе в финансовой отчетности (консолидированной финансовой отчетности) сведения:</w:t>
      </w:r>
    </w:p>
    <w:p>
      <w:pPr>
        <w:pStyle w:val="BodyText"/>
      </w:pPr>
      <w:r>
        <w:t xml:space="preserve">о собственных акциях (долях), выкупленных у акционеров (участников);</w:t>
      </w:r>
    </w:p>
    <w:p>
      <w:pPr>
        <w:pStyle w:val="BodyText"/>
      </w:pPr>
      <w:r>
        <w:t xml:space="preserve">о контрагентах КО и об отраслевой и географической структуре операций (сделок) с ними.</w:t>
      </w:r>
    </w:p>
    <w:p>
      <w:pPr>
        <w:pStyle w:val="BodyText"/>
      </w:pPr>
      <w:r>
        <w:t xml:space="preserve">Банк просит уточнить, с чем связаны ограничения на раскрытие данной информации?</w:t>
      </w:r>
    </w:p>
    <w:p>
      <w:pPr>
        <w:pStyle w:val="BodyText"/>
      </w:pPr>
      <w:r>
        <w:t xml:space="preserve">Обновлено: 03.03.2023</w:t>
      </w:r>
    </w:p>
    <w:p>
      <w:pPr>
        <w:pStyle w:val="BodyText"/>
      </w:pPr>
      <w:r>
        <w:t xml:space="preserve">Ограничения на раскрытие КО (головными КО банковских групп) отчетности и информации, установленные Решением 1, введены в целях снижения риска вторичных санкций в отношении КО, их клиентов и (или) связанных с ними лиц. Перечень информации, «чувствительной» к санкционному риску, разрабатывался Банком России с участием банковского сообщества и учитывает основные потребности всех участников финансового рынка.</w:t>
      </w:r>
    </w:p>
    <w:p>
      <w:pPr>
        <w:pStyle w:val="BodyText"/>
      </w:pPr>
      <w:r>
        <w:t xml:space="preserve">Каков формат раскрытия МСФО-отчетности в 2023 году в соответствии с Решением 1?</w:t>
      </w:r>
    </w:p>
    <w:p>
      <w:pPr>
        <w:pStyle w:val="BodyText"/>
      </w:pPr>
      <w:r>
        <w:t xml:space="preserve">Обновлено: 03.03.2023</w:t>
      </w:r>
    </w:p>
    <w:p>
      <w:pPr>
        <w:pStyle w:val="BodyText"/>
      </w:pPr>
      <w:r>
        <w:t xml:space="preserve">Решением 1 определен только перечень «чувствительной» информации в МСФО-отчетности (финансовой отчетности, консолидированной финансовой отчетности), не подлежащей раскрытию, при этом формат ее раскрытия Решением 1 не установлен. Банк вправе самостоятельно определить формат раскрытия МСФО-отчетности.</w:t>
      </w:r>
    </w:p>
    <w:p>
      <w:pPr>
        <w:pStyle w:val="BodyText"/>
      </w:pPr>
      <w:r>
        <w:t xml:space="preserve">В Приложении 2 к Решению 1 определены сведения, которые КО не раскрывают в годовой (промежуточной) БФО.</w:t>
      </w:r>
    </w:p>
    <w:p>
      <w:pPr>
        <w:pStyle w:val="BodyText"/>
      </w:pPr>
      <w:r>
        <w:t xml:space="preserve">Может ли КО реализовать указанные требования путем включения сведений, не подлежащих раскрытию, в состав агрегированных показателей (по соответствующим графам) годовой (промежуточной) БФО, раскрытие которых допускается?</w:t>
      </w:r>
    </w:p>
    <w:p>
      <w:pPr>
        <w:pStyle w:val="BodyText"/>
      </w:pPr>
      <w:r>
        <w:t xml:space="preserve">Обновлено: 03.03.2023</w:t>
      </w:r>
    </w:p>
    <w:p>
      <w:pPr>
        <w:pStyle w:val="BodyText"/>
      </w:pPr>
      <w:r>
        <w:t xml:space="preserve">В соответствии с последним абзацем Приложения 2 к Решению 1 показатели строк форм отчетности, не подлежащие раскрытию в годовой (промежуточной) БФО, не подлежат исключению из расчета результирующих строк соответствующих форм публикуемой отчетности. Таким образом, нераскрываемые статьи отчетности агрегируются в результирующих строках (например, «Всего активов», «Всего обязательств», «Всего источников собственных средств»).</w:t>
      </w:r>
    </w:p>
    <w:p>
      <w:pPr>
        <w:pStyle w:val="BodyText"/>
      </w:pPr>
      <w:r>
        <w:t xml:space="preserve">Применение информационного письма Банка России от 21.06.2022 № ИН-03-23/87 «О подходах к оценке кредитного риска и расчету нормативов ликвидности в условиях действия мер ограничительного характера»</w:t>
      </w:r>
    </w:p>
    <w:p>
      <w:pPr>
        <w:pStyle w:val="BodyText"/>
      </w:pPr>
      <w:r>
        <w:t xml:space="preserve">В настоящее время Банк рассчитывает и отражает в отчетности значение Н6 из расчета заблокированных/замороженных остатков денежных средств на корреспондентском счете № 30110 Банка в НКО АО НРД.</w:t>
      </w:r>
    </w:p>
    <w:p>
      <w:pPr>
        <w:pStyle w:val="BodyText"/>
      </w:pPr>
      <w:r>
        <w:t xml:space="preserve">С учетом издания информационного письма Банка России от 21.06.2022 № ИН-03-23/87 просим подтвердить, что блокировка денежных средств, которая произошла в связи с недружественными действиями иностранных государств и международных организаций в отношении России, является основанием для расчета норматива максимального размера риска на одного заемщика или группу связанных заемщиков (Н6) средства в отношении размещенных на корреспондентских счетах и заблокированных вследствие действия мер ограничительного характера, при отсутствии определенных договорами минимальных размеров денежных средств, требуемых к обязательному поддержанию (хранению) на указанных корреспондентских счетах.</w:t>
      </w:r>
    </w:p>
    <w:p>
      <w:pPr>
        <w:pStyle w:val="BodyText"/>
      </w:pPr>
      <w:r>
        <w:t xml:space="preserve">Обновлено: 13.10.2022</w:t>
      </w:r>
    </w:p>
    <w:p>
      <w:pPr>
        <w:pStyle w:val="BodyText"/>
      </w:pPr>
      <w:r>
        <w:t xml:space="preserve">В рассматриваемой ситуации допустимо не включать остатки денежных средств на корреспондентских счетах в НКО АО НРД в расчет норматива Н6 по следующим основаниям.</w:t>
      </w:r>
    </w:p>
    <w:p>
      <w:pPr>
        <w:pStyle w:val="BodyText"/>
      </w:pPr>
      <w:r>
        <w:t xml:space="preserve">Согласно действующим положениям Инструкции Банка России № 199-И в расчет норматива Н6 включаются остатки денежных средств на корреспондентских счетах, в том числе заблокированных в связи с недружественными действиями иностранных государств, в части определенных договорами минимальных размеров денежных средств, требуемых к обязательному поддержанию, а также при отсутствии в договоре между кредитными организациями такого условия в случае если имеются основания полагать, что подобные обязательства существуют.</w:t>
      </w:r>
    </w:p>
    <w:p>
      <w:pPr>
        <w:pStyle w:val="BodyText"/>
      </w:pPr>
      <w:r>
        <w:t xml:space="preserve">Кроме того, Банк не может минимизировать риски, связанные с блокировкой средств на корреспондентских счетах, явившейся результатом односторонних действий контрагентов, следствием чего является отсутствие у кредитной организации возможности управления лимитом вложений.</w:t>
      </w:r>
    </w:p>
    <w:p>
      <w:pPr>
        <w:pStyle w:val="BodyText"/>
      </w:pPr>
      <w:r>
        <w:t xml:space="preserve">Таким образом, в случае если в соответствии с первоначальными договорами вышеуказанные условия не предусмотрены и при этом имеется факт блокировки средств по независящим от Банка причинам, обозначенные в обращении остатки на корреспондентских счетах в НКО АО НРД не подлежат включению в расчет норматива Н6.</w:t>
      </w:r>
    </w:p>
    <w:p>
      <w:pPr>
        <w:pStyle w:val="BodyText"/>
      </w:pPr>
      <w:r>
        <w:t xml:space="preserve">Применение информационных писем Банка России от 19.05.2022 № ИН-03-23/68, от 30.09.2022 № ИН-03-23/119 «О неприменении мер к кредитным организациям в связи с ограничением раскрытия информации», от 13.02.2023 № ИН-03-23/12 «О неприменении мер к кредитным организациям в связи с ограничением раскрытия информации»</w:t>
      </w:r>
    </w:p>
    <w:p>
      <w:pPr>
        <w:pStyle w:val="BodyText"/>
      </w:pPr>
      <w:r>
        <w:t xml:space="preserve">Каков порядок оценки кредитного риска с 01.07.2023 в отношении требований к юрлицам — эмитентам 1 , которые не осуществляют раскрытие отчетности, с учетом того, что Постановление № 351 2 утратило силу 30.06.2023?</w:t>
      </w:r>
    </w:p>
    <w:p>
      <w:pPr>
        <w:pStyle w:val="BodyText"/>
      </w:pPr>
      <w:r>
        <w:t xml:space="preserve">Верно ли КО понимает, что юрлица-эмитенты обязаны раскрывать свою отчетность, начиная с отчетности за второй квартал 2023 года, и в соответствии с п. 3.12 Положения № 590-П и п. 1.5 Положения № 611-П в случае отсутствия актуальной отчетности по эмитенту в течение периода более одного квартала возникнет обязанность по формированию резерва на возможные потери в размере не менее 20 %?</w:t>
      </w:r>
    </w:p>
    <w:p>
      <w:pPr>
        <w:pStyle w:val="BodyText"/>
      </w:pPr>
      <w:r>
        <w:t xml:space="preserve">Обновлено: 08.08.2023</w:t>
      </w:r>
    </w:p>
    <w:p>
      <w:pPr>
        <w:pStyle w:val="BodyText"/>
      </w:pPr>
      <w:r>
        <w:t xml:space="preserve">Да, верно.</w:t>
      </w:r>
    </w:p>
    <w:p>
      <w:pPr>
        <w:pStyle w:val="BodyText"/>
      </w:pPr>
      <w:r>
        <w:t xml:space="preserve">В настоящее время Постановление № 351, п. 1 Постановления № 400 и приложение к нему утратили свою силу и вопросы, связанные с ограничением раскрываемой (предоставляемой) юрлицом-эмитентом ценных бумаг информации на рынке ценных бумаг, регулирует Постановление № 1102, которое устанавливает случаи, при которых юрлицо-эмитент вправе вводить соответствующие ограничения, и определяет для каждого из этих случаев перечень «чувствительной» информации, исходя из степени риска наступления негативных последствий, в частности, введения (возможности введения) мер ограничительного характера в случае ее раскрытия неограниченному кругу лиц.</w:t>
      </w:r>
    </w:p>
    <w:p>
      <w:pPr>
        <w:pStyle w:val="BodyText"/>
      </w:pPr>
      <w:r>
        <w:t xml:space="preserve">Отчетность (консолидированная финансовая отчетность (финансовая отчетность), бухгалтерская (финансовая) отчетность) не включена в данный перечень.</w:t>
      </w:r>
    </w:p>
    <w:p>
      <w:pPr>
        <w:pStyle w:val="BodyText"/>
      </w:pPr>
      <w:r>
        <w:t xml:space="preserve">Следовательно, с 01.07.2023 следующей подлежащей раскрытию отчетностью юрлиц-эмитентов является промежуточная отчетность 3 за 6 месяцев 2023 года, которая в соответствии с п.п. 53.3, 55.4 Положения № 714-П должна быть раскрыта в срок не позднее 29.08.2023.</w:t>
      </w:r>
    </w:p>
    <w:p>
      <w:pPr>
        <w:pStyle w:val="BodyText"/>
      </w:pPr>
      <w:r>
        <w:t xml:space="preserve">В связи с прекращением срока действия послаблений, предоставленных информационным письмом № ИН-03-23/12, и в соответствии с п. 3.12 Положения № 590-П и п. 1.5 Положения № 611-П необходимость учета факта отсутствия актуальной отчетности более одного квартала у КО наступит при классификации вложений в ценные бумаги на 01.11.2023 (один квартал истекает 30.09.2023, первая отчетная дата у КО сроком более одного квартала с даты актуализации отчетности наступает 01.11.2023).</w:t>
      </w:r>
    </w:p>
    <w:p>
      <w:pPr>
        <w:pStyle w:val="BodyText"/>
      </w:pPr>
      <w:r>
        <w:t xml:space="preserve">1 Не являющимся кредитными организациями. 2 Постановление № 351 позволяло эмитентам раскрывать отчетность в ограниченных составе и (или) объеме либо отказаться от раскрытия и (или) предоставления указанной информации в случае, если раскрытие и (или) предоставление соответствующей информации приведет (может привести) к введению мер ограничительного характера в отношении эмитента и (или) иных лиц, в том числе к введению новых мер ограничительного характера в отношении лица, о котором эмитентом раскрывается и (или) предоставляется информация. 3 Промежуточная бухгалтерская (финансовая) отчетность.</w:t>
      </w:r>
    </w:p>
    <w:p>
      <w:pPr>
        <w:pStyle w:val="BodyText"/>
      </w:pPr>
      <w:r>
        <w:t xml:space="preserve">Верно ли КО понимает, что до начала раскрытия отчетности КО в полном объеме (по решению Совета директоров Банка России от 29.12.2022, начиная с отчетности по состоянию на 01.06.2023, раскрытие осуществляется в агрегированном виде) при анализе кредитного риска по требованиям к другим КО-контрагентам может быть использована отчетность КО-контрагента, составленная не ранее чем за 30.11.2021, с учетом актуальной информации о финансовом положении контрагента при ее наличии?</w:t>
      </w:r>
    </w:p>
    <w:p>
      <w:pPr>
        <w:pStyle w:val="BodyText"/>
      </w:pPr>
      <w:r>
        <w:t xml:space="preserve">Обновлено: 08.08.2023</w:t>
      </w:r>
    </w:p>
    <w:p>
      <w:pPr>
        <w:pStyle w:val="BodyText"/>
      </w:pPr>
      <w:r>
        <w:t xml:space="preserve">Нет, неверно.</w:t>
      </w:r>
    </w:p>
    <w:p>
      <w:pPr>
        <w:pStyle w:val="BodyText"/>
      </w:pPr>
      <w:r>
        <w:t xml:space="preserve">В настоящее время в соответствии с решением Совета директоров Банка России от 29.12.2022 (1) КО, начиная с отчетности за 2023 год, возобновили раскрытие на своих сайтах бухгалтерской (финансовой) отчетности в сокращенном формате (за исключением «чувствительной» информации). Также КО вправе раскрывать в сокращенном формате финансовую отчетность (консолидированную финансовую отчетность), составленную в соответствии с МСФО.</w:t>
      </w:r>
    </w:p>
    <w:p>
      <w:pPr>
        <w:pStyle w:val="BodyText"/>
      </w:pPr>
      <w:r>
        <w:t xml:space="preserve">Кроме того, в соответствии с решением Совета директоров Банка России от 29.12.2022 (2) Банк России на своем официальном сайте возобновил раскрытие форм пруденциальной отчетности КО, начиная с отчетности по состоянию на 01.06.2023, в агрегированном формате, а также публикуемой отчетности в объеме, раскрытом на сайтах КО.</w:t>
      </w:r>
    </w:p>
    <w:p>
      <w:pPr>
        <w:pStyle w:val="BodyText"/>
      </w:pPr>
      <w:r>
        <w:t xml:space="preserve">Отчетность КО, раскрываемая на сайтах КО и на сайте Банка России (в том числе агрегированная информация по балансовым счетам в форме отчетности 0409101, сведения о собственных средствах (капитале) в форме отчетности 0409123, об обязательных нормативах в форме отчетности 0409135), достаточно информативна для вынесения профессионального суждения о финансовом положении КО-контрагента и может быть использована в данных целях. При этом имеющаяся в распоряжении КО отчетность за 30.11.2021 и более ранняя также должна использоваться, поскольку в соответствии с приложением 2 к Положению № 590-П базовым периодом анализа является три последних завершенных финансовых года.</w:t>
      </w:r>
    </w:p>
    <w:p>
      <w:pPr>
        <w:pStyle w:val="BodyText"/>
      </w:pPr>
      <w:r>
        <w:t xml:space="preserve">Если, по мнению КО, раскрываемой информации недостаточно для оценки кредитного риска в отношении КО-контрагента, КО следует предпринять все необходимые действия для получения полной и актуальной информации о нем, в том числе в двустороннем порядке определить особый порядок представления финансовой отчетности и иной информации КО-контрагентом при гарантии сохранения конфиденциальности информации.</w:t>
      </w:r>
    </w:p>
    <w:p>
      <w:pPr>
        <w:pStyle w:val="BodyText"/>
      </w:pPr>
      <w:r>
        <w:t xml:space="preserve">Может ли КО применять подходы, изложенные в информационном письме Банка России от 19.05.2022 № ИН-03-23/68, для оценки кредитного риска в рамках Положения Банка России от 28.06.2017 № 590-П, если юридическое лицо — эмитент ценных бумаг имеет ссудную задолженность в КО или является потенциальным заемщиком КО.</w:t>
      </w:r>
    </w:p>
    <w:p>
      <w:pPr>
        <w:pStyle w:val="BodyText"/>
      </w:pPr>
      <w:r>
        <w:t xml:space="preserve">Обновлено: 13.10.2022</w:t>
      </w:r>
    </w:p>
    <w:p>
      <w:pPr>
        <w:pStyle w:val="BodyText"/>
      </w:pPr>
      <w:r>
        <w:t xml:space="preserve">Нет, не следует.</w:t>
      </w:r>
    </w:p>
    <w:p>
      <w:pPr>
        <w:pStyle w:val="BodyText"/>
      </w:pPr>
      <w:r>
        <w:t xml:space="preserve">Информационное письмо Банка России от 19.05.2022 № ИН-03-23/68 рекомендует кредитным организациям учитывать наличие актуальной информации о финансовом положении заемщиков и не приостанавливает действия требований Положения Банка России от 28.06.2017 № 590-П о необходимости использования актуальной информации для оценки финансового положения заемщиков.</w:t>
      </w:r>
    </w:p>
    <w:p>
      <w:pPr>
        <w:pStyle w:val="BodyText"/>
      </w:pPr>
      <w:r>
        <w:t xml:space="preserve">Кредитным организациям, как заинтересованным лицам в оценке кредитного риска, учитывая особенности раскрытия и предоставления информации в 2022 году эмитентами ценных бумаг и кредитными организациями-контрагентами, следует принимать особые меры и действия для получения актуальной информации об их финансовом положении. Это крайне важно в случаях, когда особенности раскрытия информации возникают у заемщика банка. Кредитным организациям на правах кредитора следует в двустороннем порядке определить особый порядок представления финансовой отчетности и иной информации заемщиком при гарантии сохранения конфиденциальности информации.</w:t>
      </w:r>
    </w:p>
    <w:p>
      <w:pPr>
        <w:pStyle w:val="BodyText"/>
      </w:pPr>
      <w:r>
        <w:t xml:space="preserve">В рамках применения п. 3.1.5 Положения Банка России от 28.06.2017 № 590-П рекомендуем фиксировать и помещать в досье заемщика информацию и документальное подтверждение о мерах, принимаемых кредитной организацией для получения актуальной информации о финансовом положении заемщика-эмитента, и полученных результатах.</w:t>
      </w:r>
    </w:p>
    <w:p>
      <w:pPr>
        <w:pStyle w:val="BodyText"/>
      </w:pPr>
      <w:r>
        <w:t xml:space="preserve">В соответствии с п. 3.3.2 Инструкции Банка России от 29.11.2019 № 199-И для целей определения класса банка-контрагента используются данные отчетности по состоянию на последнюю отчетную дату, предшествующую дате расчета нормативов, и на протяжении последних 180 календарных дней до указанной даты.</w:t>
      </w:r>
    </w:p>
    <w:p>
      <w:pPr>
        <w:pStyle w:val="BodyText"/>
      </w:pPr>
      <w:r>
        <w:t xml:space="preserve">В данной связи просим пояснить какой подход при определении класса банка-контрагента использовать: 1. Анализировать данные за отчетный период с 01.07.2021 по 01.12.2021 2. Анализировать данные за отчетный период с 01.12.2021 по 01.02.2022, принимая во внимание, что необходимо использовать отчетность не ранее чем за 30.11.2021.</w:t>
      </w:r>
    </w:p>
    <w:p>
      <w:pPr>
        <w:pStyle w:val="BodyText"/>
      </w:pPr>
      <w:r>
        <w:t xml:space="preserve">Обновлено: 13.10.2022</w:t>
      </w:r>
    </w:p>
    <w:p>
      <w:pPr>
        <w:pStyle w:val="BodyText"/>
      </w:pPr>
      <w:r>
        <w:t xml:space="preserve">В случае наличия у Банка актуальной отчетности банка-контрагента, в том числе, в рамках двусторонних соглашений, Банку необходимо использовать данные за отчетный период после 01.12.2021.</w:t>
      </w:r>
    </w:p>
    <w:p>
      <w:pPr>
        <w:pStyle w:val="BodyText"/>
      </w:pPr>
      <w:r>
        <w:t xml:space="preserve">В случае отсутствия у Банка более поздней отчетности в целях определения класса банка-контрагента (пункт 3.3.2 Инструкции Банка России от 29.11.2019 № 199-И) в соответствии с Информационным письмом Банка России от 19.05.2022 № ИН-03-23/68 допускается использовать данные за отчетный период с 01.07.2021 по 01.12.2021.</w:t>
      </w:r>
    </w:p>
    <w:p>
      <w:pPr>
        <w:pStyle w:val="BodyText"/>
      </w:pPr>
      <w:r>
        <w:t xml:space="preserve">При этом КО-кредиторам рекомендуется учитывать наличие актуальной информации о финансовом положении контрагента, в том числе об отсутствии в отношении контрагента факта осуществления мер по предупреждению несостоятельности (банкротства), информации о неплатежеспособности контрагента, информации о признании выпуска (дополнительного выпуска) эмиссионных ценных бумаг контрагента недействительным, а также информации о наличии у КО-контрагента лицензии Банка России на осуществление банковских операций.</w:t>
      </w:r>
    </w:p>
    <w:p>
      <w:pPr>
        <w:pStyle w:val="BodyText"/>
      </w:pPr>
      <w:r>
        <w:t xml:space="preserve">Применение информационного письма Банка России от 25.02.2022 ИН-018-53/16 «Об особенностях исполнения требований нормативных актов Банка России»</w:t>
      </w:r>
    </w:p>
    <w:p>
      <w:pPr>
        <w:pStyle w:val="BodyText"/>
      </w:pPr>
      <w:r>
        <w:t xml:space="preserve">Применение информационного письма Банка России от 28.02.2022 № ИН-01-23/17 «Об особенностях расчета обязательных нормативов и капитала»</w:t>
      </w:r>
    </w:p>
    <w:p>
      <w:pPr>
        <w:pStyle w:val="BodyText"/>
      </w:pPr>
      <w:r>
        <w:t xml:space="preserve">Возможно ли применение курса для расчета обязательных нормативов на 18.02.2022 на периодической основе (на отдельные отчетные даты)?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Решение о применении подходов информационного письма принимается кредитной организацией (КО) самостоятельно. В случае, если у КО отсутствует необходимость в применении курса, установленного на 18.02.2022, при расчете собственных средств (капитала) и обязательных нормативов, КО вправе прекратить применение подхода, предусмотренного информационным письмом. Вместе с тем обращаем внимание, что КО не следует принимать повторные решения о применении и последующим неприменении подхода, предусмотренного информационным письмом, в целях сохранения последовательности расчета показателей деятельности КО, в том числе обязательных нормативов.</w:t>
      </w:r>
    </w:p>
    <w:p>
      <w:pPr>
        <w:pStyle w:val="BodyText"/>
      </w:pPr>
      <w:r>
        <w:t xml:space="preserve">Может ли информационное письмо применяться для расчета отдельных обязательных нормативов?</w:t>
      </w:r>
    </w:p>
    <w:p>
      <w:pPr>
        <w:pStyle w:val="BodyText"/>
      </w:pPr>
      <w:r>
        <w:t xml:space="preserve">Допускается ли фиксация курса в отношении отдельных составляющих одного обязательного норматива (например, для норматива Н6 КРЗ определяется с учетом фиксации курса и одновременно используется значение капитала без учета фиксации курса)?</w:t>
      </w:r>
    </w:p>
    <w:p>
      <w:pPr>
        <w:pStyle w:val="BodyText"/>
      </w:pPr>
      <w:r>
        <w:t xml:space="preserve">Резервы на возможные потери по активам в иностранной валюте пересчитываются с учетом фиксации курса, т.е. изменение резервов из-за изменения валютного курса не учитывается?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КО может выборочно применять подход, предусмотренный информационным письмом — к отдельным обязательным нормативам.</w:t>
      </w:r>
    </w:p>
    <w:p>
      <w:pPr>
        <w:pStyle w:val="BodyText"/>
      </w:pPr>
      <w:r>
        <w:t xml:space="preserve">При этом пересчету подлежат все показатели (компоненты), включаемые в расчет обязательного норматива, в том числе величина собственных средств (капитала), величина резервов на возможные потери.</w:t>
      </w:r>
    </w:p>
    <w:p>
      <w:pPr>
        <w:pStyle w:val="BodyText"/>
      </w:pPr>
      <w:r>
        <w:t xml:space="preserve">Дополнительно отмечаем, что если КО применяет информационное письмо в отношении нормативов достаточности капитала, то пересчету подлежат все нормативы достаточности.</w:t>
      </w:r>
    </w:p>
    <w:p>
      <w:pPr>
        <w:pStyle w:val="BodyText"/>
      </w:pPr>
      <w:r>
        <w:t xml:space="preserve">Каков порядок учета реализованных доходов / расходов, связанных с изменением официальных курсов иностранных валют, в составе капитала в случае применения послаблений, предусмотренных информационным письмом?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Цель информационного письма — нивелирование влияния валютной переоценки на обязательные нормативы (по всем компонентам их расчета, включая капитал, величину резервов на возможные потери) в условиях существенной волатильности валютных курсов за счет фиксации данной переоценки по имеющимся у КО активам (требованиям), обязательствам, иным позициям до момента их выбытия.</w:t>
      </w:r>
    </w:p>
    <w:p>
      <w:pPr>
        <w:pStyle w:val="BodyText"/>
      </w:pPr>
      <w:r>
        <w:t xml:space="preserve">Применительно к расчету величины собственных средств (капитала) это означает, что доходы и расходы, связанные с изменением курсов иностранных валют, не признаются до момента выбытия соответствующих активов (требований) и обязательств. Таким образом, в момент выбытия активов (требований), включая вложения в иностранную валюту, и обязательств в расчете величины собственных средств (капитала) отражаются:</w:t>
      </w:r>
    </w:p>
    <w:p>
      <w:pPr>
        <w:pStyle w:val="BodyText"/>
      </w:pPr>
      <w:r>
        <w:t xml:space="preserve">накопленные нереализованные доходы и расходы от валютной переоценки (по актуальным официальным курсам);</w:t>
      </w:r>
    </w:p>
    <w:p>
      <w:pPr>
        <w:pStyle w:val="BodyText"/>
      </w:pPr>
      <w:r>
        <w:t xml:space="preserve">реализованные доходы и расходы при приобретении (не учитываемые в капитале ранее) и последующем выбытии иностранной валюты (исходя из актуальных официальных курсов на дату покупки и продажи соответственно).</w:t>
      </w:r>
    </w:p>
    <w:p>
      <w:pPr>
        <w:pStyle w:val="BodyText"/>
      </w:pPr>
      <w:r>
        <w:t xml:space="preserve">Возможно ли применять послабление в части фиксации валютного курса, установленного на 18.02.2022, к отдельно взятому активу, например, только по ценным бумагам или только по кредитам?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Фиксирование курса выборочно в отношении отдельных активов в рамках расчета одного обязательного норматива не допускается.</w:t>
      </w:r>
    </w:p>
    <w:p>
      <w:pPr>
        <w:pStyle w:val="BodyText"/>
      </w:pPr>
      <w:r>
        <w:t xml:space="preserve">Может ли послабление применяться только к части из указанных в информационном письме шести валют?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Подтверждаем возможность применения фиксации валютных курсов, установленных на 18.02.2022, только к части из указанных в информационном письме шести валют.</w:t>
      </w:r>
    </w:p>
    <w:p>
      <w:pPr>
        <w:pStyle w:val="BodyText"/>
      </w:pPr>
      <w:r>
        <w:t xml:space="preserve">Правильно ли КО понимает, что на текущий момент необходимо рассчитывать два вида капитала — для заполнения отчетности по форме 0409123 (послабление в части курса валют действует) и отчетности по форме 0409634 (ОВП, послабление не действует)?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Подтверждаем, что в случае принятия решения о фиксации курсов иностранных валют в соответствии с информационным письмом КО необходимо рассчитывать два вида капитала.</w:t>
      </w:r>
    </w:p>
    <w:p>
      <w:pPr>
        <w:pStyle w:val="BodyText"/>
      </w:pPr>
      <w:r>
        <w:t xml:space="preserve">Дополнительно обращаем внимание, что при принятии КО решения о применении при расчете обязательных нормативов информационного письма в отчетности по форме 0409123 подлежит отражению величина собственных средств (капитала), использованная при расчете нормативов достаточности собственных средств (капитала) КО. Одновременно в пояснениях к отчетности по форме 0409123 следует указать следующую информацию:</w:t>
      </w:r>
    </w:p>
    <w:p>
      <w:pPr>
        <w:pStyle w:val="BodyText"/>
      </w:pPr>
      <w:r>
        <w:t xml:space="preserve">перечень обязательных нормативов, в отношении которых КО было применено информационное письмо;</w:t>
      </w:r>
    </w:p>
    <w:p>
      <w:pPr>
        <w:pStyle w:val="BodyText"/>
      </w:pPr>
      <w:r>
        <w:t xml:space="preserve">размер собственных средств (капитала), рассчитанный с учетом фиксации валютных курсов, в случае если в отчетности по форме 0409123 отражен размер капитала, определенный без фиксации валютных курсов, либо</w:t>
      </w:r>
    </w:p>
    <w:p>
      <w:pPr>
        <w:pStyle w:val="BodyText"/>
      </w:pPr>
      <w:r>
        <w:t xml:space="preserve">размер собственных средств (капитала), рассчитанный без учета фиксации валютных курсов, в случае применения информационного письма к нормативам достаточности собственных средств (капитала).</w:t>
      </w:r>
    </w:p>
    <w:p>
      <w:pPr>
        <w:pStyle w:val="BodyText"/>
      </w:pPr>
      <w:r>
        <w:t xml:space="preserve">Возможно ли распространить рекомендации информационного письма на определение справедливой стоимости производных финансовых инструментов (далее — ПФИ) и применять официальный курс, установленный на 18.02.2022, в целях определения величины собственных средств (капитала) для расчета обязательных нормативов?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Полагаем, что для определения справедливой стоимости ПФИ, учитываемых в расчете обязательных нормативов и капитала, КО может руководствоваться Указанием Банка России № 6087-У , предоставляющим возможность по 31.12.2022 в целях бухгалтерского учета:</w:t>
      </w:r>
    </w:p>
    <w:p>
      <w:pPr>
        <w:pStyle w:val="BodyText"/>
      </w:pPr>
      <w:r>
        <w:t xml:space="preserve">зафиксировать справедливую стоимость ПФИ, признанных в бухгалтерском учете до 18.02.2022, на 18.02.2022;</w:t>
      </w:r>
    </w:p>
    <w:p>
      <w:pPr>
        <w:pStyle w:val="BodyText"/>
      </w:pPr>
      <w:r>
        <w:t xml:space="preserve">зафиксировать справедливую стоимость ПФИ, возникших после 18.02.2022, по стоимости на дату их первоначального признания.</w:t>
      </w:r>
    </w:p>
    <w:p>
      <w:pPr>
        <w:pStyle w:val="BodyText"/>
      </w:pPr>
      <w:r>
        <w:t xml:space="preserve">Просим подтвердить возможность применять меры в части фиксации курсов иностранных валют независимо от иных мер поддержки, принятых Банком России.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Подтверждаем, что информационное письмо может применяться независимо от иных мер поддержки, принятых Банком России.</w:t>
      </w:r>
    </w:p>
    <w:p>
      <w:pPr>
        <w:pStyle w:val="BodyText"/>
      </w:pPr>
      <w:r>
        <w:t xml:space="preserve">Предполагается ли внесение изменений в программный комплекс для расчета обязательных нормативов?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В правилах контроля расшифровок отдельных балансовых счетов для расчета обязательных нормативов временно снят логический контроль.</w:t>
      </w:r>
    </w:p>
    <w:p>
      <w:pPr>
        <w:pStyle w:val="BodyText"/>
      </w:pPr>
      <w:r>
        <w:t xml:space="preserve">Просим высказать мнение о возможности использования величины курсов иностранных валют на 18.02.2022 в целях расчета нормативов Н6/Н25 в отношении отдельных заемщиков.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Подтверждаем, что применение положений информационного письма в отношении отдельного заемщика (связанного с банком лица) при расчете нормативов концентрации риска (в рассматриваемом случае Н6/Н25) допускается.</w:t>
      </w:r>
    </w:p>
    <w:p>
      <w:pPr>
        <w:pStyle w:val="BodyText"/>
      </w:pPr>
      <w:r>
        <w:t xml:space="preserve">Применение информационного письма Банка России от 05.03.2022 № ИН-08-23/25 «О раскрытии информации»</w:t>
      </w:r>
    </w:p>
    <w:p>
      <w:pPr>
        <w:pStyle w:val="BodyText"/>
      </w:pPr>
      <w:r>
        <w:t xml:space="preserve">Каков порядок предоставления отчетности Банка третьим лицам с учетом действующих ограничений?</w:t>
      </w:r>
    </w:p>
    <w:p>
      <w:pPr>
        <w:pStyle w:val="BodyText"/>
      </w:pPr>
      <w:r>
        <w:t xml:space="preserve">Обновлено: 30.05.2022</w:t>
      </w:r>
    </w:p>
    <w:p>
      <w:pPr>
        <w:pStyle w:val="BodyText"/>
      </w:pPr>
      <w:r>
        <w:t xml:space="preserve">По вопросу предоставления отчетности и информации третьим лицам рекомендуем руководствоваться информационным письмом Банка России от 20.05.2022 № ИН-03-23/69.</w:t>
      </w:r>
    </w:p>
    <w:p>
      <w:pPr>
        <w:pStyle w:val="BodyText"/>
      </w:pPr>
      <w:r>
        <w:t xml:space="preserve">Можно ли раскрывать на сайте Банка информацию об участии в Системе страхования вкладов и о процентных ставках по договорам банковского вклада с физическими лицами в порядке применения письма Банка России от 05.03.2022 № ИН-08-23/25 «Информационное письмо о раскрытии информации»?</w:t>
      </w:r>
    </w:p>
    <w:p>
      <w:pPr>
        <w:pStyle w:val="BodyText"/>
      </w:pPr>
      <w:r>
        <w:t xml:space="preserve">Обновлено: 21.04.2022</w:t>
      </w:r>
    </w:p>
    <w:p>
      <w:pPr>
        <w:pStyle w:val="BodyText"/>
      </w:pPr>
      <w:r>
        <w:t xml:space="preserve">Информация об участии в Системе страхования вкладов и о процентных ставках по договорам банковского вклада с физическими лицами подлежит раскрытию на сайте Банка.</w:t>
      </w:r>
    </w:p>
    <w:p>
      <w:pPr>
        <w:pStyle w:val="BodyText"/>
      </w:pPr>
      <w:r>
        <w:t xml:space="preserve">Применение информационного письма Банка России от 10.03.2022 № ИН-01-23/32 «Об особенностях применения нормативных актов Банка России»</w:t>
      </w:r>
    </w:p>
    <w:p>
      <w:pPr>
        <w:pStyle w:val="BodyText"/>
      </w:pPr>
      <w:r>
        <w:t xml:space="preserve">Планируется ли распространить действие информационного письма № ИН-01-23/32 на все российские предприятия, в том числе на те, в отношении которых не введены меры ограничительного характера, поскольку многие заемщики испытывают финансовые затруднения в связи с принятыми зеркальными мерами российских органов власти для защиты различных отраслей от влияния мер иностранных государств?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этого не требуется.</w:t>
      </w:r>
    </w:p>
    <w:p>
      <w:pPr>
        <w:pStyle w:val="BodyText"/>
      </w:pPr>
      <w:r>
        <w:t xml:space="preserve">КО 1 предоставлена возможность в целях формирования резервов на возможные потери не ухудшать оценку финансового положения и (или) качества обслуживания долга и (или) категории качества обеспечения и (или) категории качества ссуд, прочих активов и условных обязательств кредитного характера в соответствии с информационным письмом от 27.12.2021 № ИН-03-23/103 (в случае если оценка ухудшилась в результате действия мер ограничительного характера непосредственно в отношении заемщиков (контрагентов) КО), а также в соответствии с информационным письмом № ИН-01-23/32 (в случае если оценка ухудшилась после 18.02.2022 в результате действия мер ограничительного характера).</w:t>
      </w:r>
    </w:p>
    <w:p>
      <w:pPr>
        <w:pStyle w:val="BodyText"/>
      </w:pPr>
      <w:r>
        <w:t xml:space="preserve">Возможность применения предусмотренных информационным письмом № ИН-01-23/32 подходов не ставится в зависимость от каких-либо характеристик заемщика (отрасли, региона, размера бизнеса и др.). При наличии достаточных обоснований взаимосвязи ухудшения качества ссудной задолженности с действием мер ограничительного характера, в том числе косвенных, кредитная организация вправе применить подходы в целях формирования резервов на возможные потери, изложенные в данном информационном письме.</w:t>
      </w:r>
    </w:p>
    <w:p>
      <w:pPr>
        <w:pStyle w:val="BodyText"/>
      </w:pPr>
      <w:r>
        <w:t xml:space="preserve">1 Кредитные организации.</w:t>
      </w:r>
    </w:p>
    <w:p>
      <w:pPr>
        <w:pStyle w:val="BodyText"/>
      </w:pPr>
      <w:r>
        <w:t xml:space="preserve">Можно ли исключить из информационного письма № ИН-01-23/32 требование о включении в досье документального подтверждения взаимосвязи ухудшения оценки кредитного риска с мерами ограничительного характера (абзац 5 п. 1)?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это требование необходимо сохранить в целях надзорной оценки.</w:t>
      </w:r>
    </w:p>
    <w:p>
      <w:pPr>
        <w:pStyle w:val="BodyText"/>
      </w:pPr>
      <w:r>
        <w:t xml:space="preserve">1 Положение Банка России от 28.06.2017 № 590-П «О порядке формирования кредитными организациями резервов на возможные потери по ссудам, ссудной и приравненной к ней задолженности».</w:t>
      </w:r>
    </w:p>
    <w:p>
      <w:pPr>
        <w:pStyle w:val="BodyText"/>
      </w:pPr>
      <w:r>
        <w:t xml:space="preserve">1 Федеральный закон от 03.04.2020 № 106-ФЗ «О внесении изменений в Федеральный закон „О Центральном банке Российской Федерации (Банке России)“ и отдельные законодательные акты Российской Федерации в части особенностей изменения условий кредитного договора, договора займа».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Да, КО вправе воспользоваться подходами информационного письма № ИН-01-23/32 в отношении ссуд, предоставленных до 18.02.2022 и реструктурированных в соответствии со ст. 6 Федерального закона № 106-ФЗ или в рамках собственных программ реструктуризации (при условии, что заемщик испытывает сложности по исполнению обязательств в связи с введением мер ограничительного характера или их последствиями).</w:t>
      </w:r>
    </w:p>
    <w:p>
      <w:pPr>
        <w:pStyle w:val="BodyText"/>
      </w:pPr>
      <w:r>
        <w:t xml:space="preserve">Вправе ли КО руководствоваться информационным письмом № ИН-01-23/32 в целях классификации ссуд, реструктурированных на основании требований субъектов МСП 1 в рамках ст. 7 Федерального закона № 106-ФЗ и на условиях собственных программ реструктуризации (в том числе для рефинансирования по Временному механизму предоставления ликвидности)?</w:t>
      </w:r>
    </w:p>
    <w:p>
      <w:pPr>
        <w:pStyle w:val="BodyText"/>
      </w:pPr>
      <w:r>
        <w:t xml:space="preserve">1 Субъекты малого и среднего предпринимательства.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Да, КО вправе воспользоваться подходами информационного письма № ИН-01-23/32 в отношении ссуд, предоставленных до 18.02.2022 и реструктурированных в соответствии со ст. 7 Федерального закона № 106-ФЗ или в рамках собственных программ реструктуризации (при условии, что заемщик испытывает сложности по исполнению обязательств в связи с введением мер ограничительного характера или их последствиями).</w:t>
      </w:r>
    </w:p>
    <w:p>
      <w:pPr>
        <w:pStyle w:val="BodyText"/>
      </w:pPr>
      <w:r>
        <w:t xml:space="preserve">Вправе ли КО руководствоваться информационным письмом № ИН-01-23/32 в целях классификации ссуд с «плавающими» ставками, реструктурированных на основании требования юридического лица, не относящегося к субъектам МСП, согласно ст. 7.1 Федерального закона № 106-ФЗ?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Да, в отношении ссуд, реструктурированных после 18.02.2022 в связи с тем, что заемщик испытывает сложности по исполнению обязательств по кредитному договору в связи с введением мер ограничительного характера, в том числе с изменением плавающей (переменной) процентной ставки, КО вправе руководствоваться подходами, предусмотренными информационным письмом № ИН-01-23/32, в том числе принимать решение о неухудшении качества обслуживания долга по таким ссудам независимо от оценки финансового положения заемщиков.</w:t>
      </w:r>
    </w:p>
    <w:p>
      <w:pPr>
        <w:pStyle w:val="BodyText"/>
      </w:pPr>
      <w:r>
        <w:t xml:space="preserve">Обращаем внимание, что возможность применения подходов, предусмотренных информационным письмом № ИН-01-23/32, не ставится в зависимость от принадлежности заемщика к субъектам МСП или к какой-либо отрасли.</w:t>
      </w:r>
    </w:p>
    <w:p>
      <w:pPr>
        <w:pStyle w:val="BodyText"/>
      </w:pPr>
      <w:r>
        <w:t xml:space="preserve">Вправе ли КО руководствоваться пп. 3.10.1 Положения № 590-П, в отношении ссуд, реструктурированных в соответствии с Федеральным законом № 106-ФЗ?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в соответствии с пп. 3.10.1 Положения № 590-П КО предоставлена возможность принимать решение о неухудшении качества обслуживания долга независимо от оценки финансового положения заемщиков по ссудам, реструктурированным только на основании актов Правительства Российской Федерации, а также по предоставленным заемщикам — физическим лицам ссудам, реструктурированным в соответствии со статьей 6.1-1 Федерального закона № 353-ФЗ 1 .</w:t>
      </w:r>
    </w:p>
    <w:p>
      <w:pPr>
        <w:pStyle w:val="BodyText"/>
      </w:pPr>
      <w:r>
        <w:t xml:space="preserve">1 Федеральный закон от 21.12.2013 № 353-ФЗ «О потребительском кредите (займе)».</w:t>
      </w:r>
    </w:p>
    <w:p>
      <w:pPr>
        <w:pStyle w:val="BodyText"/>
      </w:pPr>
      <w:r>
        <w:t xml:space="preserve">Можно ли закрепить в информационном письме № ИН-01-23/32 подходы, аналогичные ранее действовавшим согласно информационному письму от 17.04.2020 № ИН-01-41/72, с возможностью фиксации длительности просрочки по портфельным ссудам?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этого не требуется. Возможность применения информационного письма № ИН-01-23/32 не ставится в зависимость от отсутствия просрочки или ее продолжительности.</w:t>
      </w:r>
    </w:p>
    <w:p>
      <w:pPr>
        <w:pStyle w:val="BodyText"/>
      </w:pPr>
      <w:r>
        <w:t xml:space="preserve">Планируется ли распространить подходы информационного письма № ИН-01-23/32:</w:t>
      </w:r>
    </w:p>
    <w:p>
      <w:pPr>
        <w:pStyle w:val="BodyText"/>
      </w:pPr>
      <w:r>
        <w:t xml:space="preserve">— на ссуды, приобретенные по договору цессии после 18.02.2022,</w:t>
      </w:r>
    </w:p>
    <w:p>
      <w:pPr>
        <w:pStyle w:val="BodyText"/>
      </w:pPr>
      <w:r>
        <w:t xml:space="preserve">— на ссуды, возникшие после 18.02.2022 и направленные на погашение обязательств перед банками, возникших до 18.02.2022 (с учетом попадания как части заемщиков, так и кредиторов в санкционные списки, переуступок в рамках синдикатов с иностранными участниками, специфики ряда государственных программ субсидирования, предусматривающих рефинансирование, некоторых отраслей, например, авиакомпаний);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в таком широком контексте не планируется.</w:t>
      </w:r>
    </w:p>
    <w:p>
      <w:pPr>
        <w:pStyle w:val="BodyText"/>
      </w:pPr>
      <w:r>
        <w:t xml:space="preserve">Согласно информационному письму № ИН-01-23/32 меры поддержки распространяются на ссуды, возникшие до 18.02.2022.</w:t>
      </w:r>
    </w:p>
    <w:p>
      <w:pPr>
        <w:pStyle w:val="BodyText"/>
      </w:pPr>
      <w:r>
        <w:t xml:space="preserve">В отношении ссуд, выданных заемщикам, в отношении которых введены меры ограничительного характера после 18.02.2022, рекомендуется применять информационное письмо Банка России от 27.12.2021 № ИН-03-23/103.</w:t>
      </w:r>
    </w:p>
    <w:p>
      <w:pPr>
        <w:pStyle w:val="BodyText"/>
      </w:pPr>
      <w:r>
        <w:t xml:space="preserve">Иные ссуды, выданные (приобретенные) после 18.02.2022, оцениваются в общем порядке, исходя из принимаемого банком-кредитором (новым кредитором) риска по ним с учетом текущей ситуации.</w:t>
      </w:r>
    </w:p>
    <w:p>
      <w:pPr>
        <w:pStyle w:val="BodyText"/>
      </w:pPr>
      <w:r>
        <w:t xml:space="preserve">Согласно п. 3.18 Положения № 590-П следует формировать повышенный резерв по ссуде в случае, если размер уплаченных по ней процентов за последний год составляет менее 2/5 от ключевой ставки (пп. 3.13.3 Положения № 590-П).</w:t>
      </w:r>
    </w:p>
    <w:p>
      <w:pPr>
        <w:pStyle w:val="BodyText"/>
      </w:pPr>
      <w:r>
        <w:t xml:space="preserve">Можно ли:</w:t>
      </w:r>
    </w:p>
    <w:p>
      <w:pPr>
        <w:pStyle w:val="BodyText"/>
      </w:pPr>
      <w:r>
        <w:t xml:space="preserve">— дополнить информационное письмо № ИН-01-23/32 мерами, предусматривающими возможность не увеличивать ставку резервирования;</w:t>
      </w:r>
    </w:p>
    <w:p>
      <w:pPr>
        <w:pStyle w:val="BodyText"/>
      </w:pPr>
      <w:r>
        <w:t xml:space="preserve">— зафиксировать значение ключевой ставки Банка России для целей применения Положения № 590-П на уровне, установленном 11.02.2022 (в размере 9,5%);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этого не требуется.</w:t>
      </w:r>
    </w:p>
    <w:p>
      <w:pPr>
        <w:pStyle w:val="BodyText"/>
      </w:pPr>
      <w:r>
        <w:t xml:space="preserve">В рамках применения требований пп. 3.13.3 Положения № 590-П сравнению подлежит величина процентной ставки по договору с ключевой ставкой Банка России, действовавшей на дату заключения договора.</w:t>
      </w:r>
    </w:p>
    <w:p>
      <w:pPr>
        <w:pStyle w:val="BodyText"/>
      </w:pPr>
      <w:r>
        <w:t xml:space="preserve">Таким образом, повышение ключевой ставки Банка России не приводит к автоматическому ухудшению категории качества ранее выданных ссуд.</w:t>
      </w:r>
    </w:p>
    <w:p>
      <w:pPr>
        <w:pStyle w:val="BodyText"/>
      </w:pPr>
      <w:r>
        <w:t xml:space="preserve">Кроме того, пп. 3.13.3 Положения № 590-П содержит ряд исключений, на которые его требования не распространяются, в том числе:</w:t>
      </w:r>
    </w:p>
    <w:p>
      <w:pPr>
        <w:pStyle w:val="BodyText"/>
      </w:pPr>
      <w:r>
        <w:t xml:space="preserve">— на ссуды, предоставленные юридическим лицам в валюте РФ сроком до 30 календарных дней, при наличии соответствующего решения уполномоченного органа КО и при определенных условиях;</w:t>
      </w:r>
    </w:p>
    <w:p>
      <w:pPr>
        <w:pStyle w:val="BodyText"/>
      </w:pPr>
      <w:r>
        <w:t xml:space="preserve">— на ссуды, по которым третье лицо компенсирует разницу между ставкой процента, предусмотренной договором, и ставкой процента выше уровня, предусмотренного настоящим подпунктом;</w:t>
      </w:r>
    </w:p>
    <w:p>
      <w:pPr>
        <w:pStyle w:val="BodyText"/>
      </w:pPr>
      <w:r>
        <w:t xml:space="preserve">— на ссуды, предоставленные заемщику за счет целевых бюджетных средств или иных целевых источников;</w:t>
      </w:r>
    </w:p>
    <w:p>
      <w:pPr>
        <w:pStyle w:val="BodyText"/>
      </w:pPr>
      <w:r>
        <w:t xml:space="preserve">— на ссуды, предоставленные заемщикам-застройщикам, использующим счета эскроу.</w:t>
      </w:r>
    </w:p>
    <w:p>
      <w:pPr>
        <w:pStyle w:val="BodyText"/>
      </w:pPr>
      <w:r>
        <w:t xml:space="preserve">Обращаем внимание, что данные разъяснения размещены 11.04.2022 на сайте Банка России в целях применения информационного письма № ИН-01-23/32.</w:t>
      </w:r>
    </w:p>
    <w:p>
      <w:pPr>
        <w:pStyle w:val="BodyText"/>
      </w:pPr>
      <w:r>
        <w:t xml:space="preserve">Рассматривается ли возможность увеличения продолжительности количества дней просрочки для целей признания обслуживания долга хорошим или средним (пп. 3.7.1.2 и пп. 3.7.2.3 Положения № 590-П) с 5 до 30 календарных дней и с 30 до 60 календарных дней соответственно, а для компаний, относящихся к авиационной отрасли, с 5 до 60 календарных дней и с 30 до 90 календарных дней соответственно?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изменения не планируются.</w:t>
      </w:r>
    </w:p>
    <w:p>
      <w:pPr>
        <w:pStyle w:val="BodyText"/>
      </w:pPr>
      <w:r>
        <w:t xml:space="preserve">Просроченные платежи, как правило, свидетельствуют о финансовых затруднениях заемщика, что должно быть учтено при оценке кредитного риска.</w:t>
      </w:r>
    </w:p>
    <w:p>
      <w:pPr>
        <w:pStyle w:val="BodyText"/>
      </w:pPr>
      <w:r>
        <w:t xml:space="preserve">Принимая во внимание дальнейшие последствия для оценки и формирования резервов, кредитной истории можно ли разрешить не признавать реструктуризациями:</w:t>
      </w:r>
    </w:p>
    <w:p>
      <w:pPr>
        <w:pStyle w:val="BodyText"/>
      </w:pPr>
      <w:r>
        <w:t xml:space="preserve">— снижение/фиксацию ставок по кредитным договорам с плавающей процентной ставкой независимо от финансового положения заемщика или наличия санкционных ограничений, в т. ч. в рамках Федерального закона № 106-ФЗ;</w:t>
      </w:r>
    </w:p>
    <w:p>
      <w:pPr>
        <w:pStyle w:val="BodyText"/>
      </w:pPr>
      <w:r>
        <w:t xml:space="preserve">— иные изменения порядка расчета процентной ставки по ссуде, в том числе капитализацию процентов по ссудам;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изменения не планируются.</w:t>
      </w:r>
    </w:p>
    <w:p>
      <w:pPr>
        <w:pStyle w:val="BodyText"/>
      </w:pPr>
      <w:r>
        <w:t xml:space="preserve">В соответствии с подходами, содержащимися в Положении № 590-П (с учетом уточнений, внесенных Указанием № 5690-У) 1 реструктуризацией признается изменение условий первоначального договора, предоставляющее право исполнять обязательства по ссуде в более благоприятном режиме, как на основании соглашения КО с заемщиком, так и на основании законодательства Российской Федерации и (или) актов Правительства Российской Федерации.</w:t>
      </w:r>
    </w:p>
    <w:p>
      <w:pPr>
        <w:pStyle w:val="BodyText"/>
      </w:pPr>
      <w:r>
        <w:t xml:space="preserve">При этом КО в соответствии с п. 3.10 Положения № 590-П вправе принять решение (общее решение в отношении совокупности ссуд) о признании качества обслуживания долга хорошим по реструктурированным ссудам, обслуживание долга по которым осуществляется своевременно и в полном объеме, при условии оценки финансового положения заемщика не хуже, чем среднее.</w:t>
      </w:r>
    </w:p>
    <w:p>
      <w:pPr>
        <w:pStyle w:val="BodyText"/>
      </w:pPr>
      <w:r>
        <w:t xml:space="preserve">Дополнительно в рамках пп. 3.10.1 Положения № 590-П предусмотрена возможность принятия решения о неухудшении качества обслуживания долга по ссудам, реструктурированным на основании актов Правительства Российской Федерации, независимо от оценки финансового положения заемщика.</w:t>
      </w:r>
    </w:p>
    <w:p>
      <w:pPr>
        <w:pStyle w:val="BodyText"/>
      </w:pPr>
      <w:r>
        <w:t xml:space="preserve">В текущих условиях можно применять подходы, изложенные в информационном письме № ИН-01-23/32.</w:t>
      </w:r>
    </w:p>
    <w:p>
      <w:pPr>
        <w:pStyle w:val="BodyText"/>
      </w:pPr>
      <w:r>
        <w:t xml:space="preserve">Решение по подходам продления или прекращения регуляторных послаблений будет приниматься Банком России с учетом экономической ситуации.</w:t>
      </w:r>
    </w:p>
    <w:p>
      <w:pPr>
        <w:pStyle w:val="BodyText"/>
      </w:pPr>
      <w:r>
        <w:t xml:space="preserve">В отношении вопроса о негативном влиянии факта реструктуризации на качество кредитной истории заемщика отмечаем следующее.</w:t>
      </w:r>
    </w:p>
    <w:p>
      <w:pPr>
        <w:pStyle w:val="BodyText"/>
      </w:pPr>
      <w:r>
        <w:t xml:space="preserve">Требования к составу кредитной истории установлены Законом о кредитных историях 2 и включают сведения о внесении изменений и дополнений к договору 3 . Такие сведения отражают любое изменение договора, но не включают специальных отметок о реструктуризации по смыслу Положения № 590-П.</w:t>
      </w:r>
    </w:p>
    <w:p>
      <w:pPr>
        <w:pStyle w:val="BodyText"/>
      </w:pPr>
      <w:r>
        <w:t xml:space="preserve">1 Указание Банка России от 11.01.2021 № 5690-У “О внесении изменений в Положение Банка России от 28 июня 2017 года № 590-П «О порядке формирования кредитными организациями резервов на возможные потери по ссудам, ссудной и приравненной к ней задолженности. 2 Федеральный закон от 30.12.2004 № 218-ФЗ «О кредитных историях». 3 Подпункт «г» пункта 2 части 3 статьи 4 Закона о кредитных историях.</w:t>
      </w:r>
    </w:p>
    <w:p>
      <w:pPr>
        <w:pStyle w:val="BodyText"/>
      </w:pPr>
      <w:r>
        <w:t xml:space="preserve">Возможно ли приравнять Временный специализированный механизм предоставления ликвидности, созданный Банком России в целях поддержки кредитования субъектов МСП, к «акту Правительства Российской Федерации» и реализовать в отношении данных ссуд право, предоставленное пп. 3.10.1 Положения № 590-П о принятии уполномоченным органом управления КО Общего решения в отношении совокупности ссуд, независимо от оценки финансового положения?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временные специализированные механизмы предоставления ликвидности, созданные Банком России, не являются актами Правительства Российской Федерации. Таким образом, при реструктуризации в рамках реализации временных специализированных механизмов предоставления Банком России ликвидности нормы пп. 3.10.1 Положения № 590-П не применимы.</w:t>
      </w:r>
    </w:p>
    <w:p>
      <w:pPr>
        <w:pStyle w:val="BodyText"/>
      </w:pPr>
      <w:r>
        <w:t xml:space="preserve">Однако, в качестве временной меры в течение 2022 года КО могут руководствоваться подходами информационного письма № ИН-01-23/32 и не ухудшать оценку качества обслуживания долга по реструктурированным ссудам вне зависимости от оценки финансового положения заемщика.</w:t>
      </w:r>
    </w:p>
    <w:p>
      <w:pPr>
        <w:pStyle w:val="BodyText"/>
      </w:pPr>
      <w:r>
        <w:t xml:space="preserve">В отдельных отраслях финансовое положение юридических лиц объективно плохое, по иным заемщикам и отраслям однозначно признать финансовое положение хорошим или средним на основании требований Положения № 590-П, представляется затруднительным.</w:t>
      </w:r>
    </w:p>
    <w:p>
      <w:pPr>
        <w:pStyle w:val="BodyText"/>
      </w:pPr>
      <w:r>
        <w:t xml:space="preserve">Можно ли исключить требования к оценке финансового положения заемщика не хуже, чем среднее в целях:</w:t>
      </w:r>
    </w:p>
    <w:p>
      <w:pPr>
        <w:pStyle w:val="BodyText"/>
      </w:pPr>
      <w:r>
        <w:t xml:space="preserve">— применения иных существенных факторов (абз. 2 и 3 п. 3.9.3 Положения 590-П);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изменения не планируются.</w:t>
      </w:r>
    </w:p>
    <w:p>
      <w:pPr>
        <w:pStyle w:val="BodyText"/>
      </w:pPr>
      <w:r>
        <w:t xml:space="preserve">Можно ли разрешить при классификации ссуд, представленных авиакомпаниям, при классификации ссуд, предоставленных после 18.02.2022 и направленных на погашение обязательств перед банками, возникших как до 18.02.2022, так и после 18.02.2022 признавать качество обслуживания долга как «хорошее» до даты выплаты процентов и (или) суммы основного долга, определённой договором, на основании которого ссуда предоставлена, без учёта требований по оценке качества обслуживания долга исходя из оценки финансового положения заемщика (п. 3.8 Положения № 590-П )?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не планируется.</w:t>
      </w:r>
    </w:p>
    <w:p>
      <w:pPr>
        <w:pStyle w:val="BodyText"/>
      </w:pPr>
      <w:r>
        <w:t xml:space="preserve">В случае отражения требования к НКО АО НРД и непоступления денежных средств по облигациям в срок, превышающий 30 календарных дней, следует ли классифицировать эту задолженность в V категорию качества с созданием резерва 100%? Следует ли ухудшать оценку кредитного риска по таким требованиям при задержке поступления денежных средств сроком до 30 календарных дней?</w:t>
      </w:r>
    </w:p>
    <w:p>
      <w:pPr>
        <w:pStyle w:val="BodyText"/>
      </w:pPr>
      <w:r>
        <w:t xml:space="preserve">Корректно ли, если кредитная организация несмотря на «блокировку» счетов с денежными средствами, предназначенными для выплаты КО, не расценивает наличие по НКО АО НРД повышенных рисков в целях резервирования?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Согласно информационному письму № ИН-01-23/32 меры поддержки распространяются на ссуды (требования), возникшие до 18.02.2022.</w:t>
      </w:r>
    </w:p>
    <w:p>
      <w:pPr>
        <w:pStyle w:val="BodyText"/>
      </w:pPr>
      <w:r>
        <w:t xml:space="preserve">В соответствии с дополнительно реализуемыми мерами поддержки финансового сектора и кредитования экономики, Банк России 15.04.2022 опубликовал пресс-релиз, согласно п. 3 которого КО будет предоставлена возможность отложить формирование резервов на возможные потери в отношении:</w:t>
      </w:r>
    </w:p>
    <w:p>
      <w:pPr>
        <w:pStyle w:val="BodyText"/>
      </w:pPr>
      <w:r>
        <w:t xml:space="preserve">— требований к НКО НКЦ (АО), НКО АО НРД в условиях приостановки операций иностранными депозитариями, осуществляющими хранение еврооблигаций российских эмитентов, из-за ограничительных мер;</w:t>
      </w:r>
    </w:p>
    <w:p>
      <w:pPr>
        <w:pStyle w:val="BodyText"/>
      </w:pPr>
      <w:r>
        <w:t xml:space="preserve">— активов, заблокированных в связи с недружественными действиями иностранных государств и международных организаций в отношении России.</w:t>
      </w:r>
    </w:p>
    <w:p>
      <w:pPr>
        <w:pStyle w:val="BodyText"/>
      </w:pPr>
      <w:r>
        <w:t xml:space="preserve">Согласно пресс-релизу от 15.04.2022 решение о необходимости досоздания резервов будет приниматься по мере стабилизации ситуации и появления информации о возвратности заблокированных активов.</w:t>
      </w:r>
    </w:p>
    <w:p>
      <w:pPr>
        <w:pStyle w:val="BodyText"/>
      </w:pPr>
      <w:r>
        <w:t xml:space="preserve">Вправе ли кредитная организация не учитывать факт возникновения просроченной задолженности по синдицированным кредитам в целях формирования резервов, учитывая, что заемщики свои обязательства выполнили, а непогашение задолженности вызвано действиями третьих лиц?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В текущих условиях у КО есть возможность применять подходы, изложенные в информационном письме № ИН-01-23/32, которые позволяют не ухудшать оценку качества обслуживания долга, осуществленную на последнюю отчетную дату, предшествующую 18.02.2022, если оценка ухудшилась в результате действия мер ограничительного характера.</w:t>
      </w:r>
    </w:p>
    <w:p>
      <w:pPr>
        <w:pStyle w:val="BodyText"/>
      </w:pPr>
      <w:r>
        <w:t xml:space="preserve">Допускается ли на основании информационного письма № ИН-01-23/32 не оценивать негативное влияние фактора «состояние биржевых и внебиржевых котировок» на оценку размера резерва по вложениям в ценные бумаги в соответствии с требованиями Положения № 611-П?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Да, в данном случае можно руководствоваться подходами, изложенными в информационном письме № ИН-01-23/32.</w:t>
      </w:r>
    </w:p>
    <w:p>
      <w:pPr>
        <w:pStyle w:val="BodyText"/>
      </w:pPr>
      <w:r>
        <w:t xml:space="preserve">Можно ли разрешить не применять иные существенные факторы, предусмотренные Положением № 590-П, связанные с введенными ограничениями и ухудшающие категорию качества по ссудам, при формировании резервов в отношении сделок с ценными бумагами в соответствии с Положением № 611-П?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Применение иных существенных факторов в целях повышения или понижения категории качества элементов расчетной базы резерва, по аналогии с подходами при классификации ссудной задолженности в соответствии с Положением № 590-П, в рамках Положения № 611-П, не предусмотрено.</w:t>
      </w:r>
    </w:p>
    <w:p>
      <w:pPr>
        <w:pStyle w:val="BodyText"/>
      </w:pPr>
      <w:r>
        <w:t xml:space="preserve">По завершении срока действия информационных писем Банка России, позволяющих не ухудшать оценку кредитного риска по ссудам и иным активам, разрешит ли Банк России не учитывать факт реструктуризации при оценке кредитного риска вне зависимости от срока, прошедшего с даты реструктуризации (абз. 2 пп. 3.7.2.2 Положения № 590-П)?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Решение по подходам продления или выхода из регуляторных послаблений будет приниматься Банком России с учетом развития экономической ситуации.</w:t>
      </w:r>
    </w:p>
    <w:p>
      <w:pPr>
        <w:pStyle w:val="BodyText"/>
      </w:pPr>
      <w:r>
        <w:t xml:space="preserve">По завершении срока действия информационных писем Банка России, позволяющих не ухудшать оценку кредитного риска по ссудам и иным активам, разрешит ли Банк России не учитывать наличие просроченных платежей как по кредитам, реструктурированным в соответствии с Федеральным законом № 106-ФЗ, так и по нереструктурированным ссудам?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Решение по подходам продления или выхода из регуляторных послаблений будет приниматься Банком России с учетом развития экономической ситуации.</w:t>
      </w:r>
    </w:p>
    <w:p>
      <w:pPr>
        <w:pStyle w:val="BodyText"/>
      </w:pPr>
      <w:r>
        <w:t xml:space="preserve">Если кредитная организация использует возможность неухудшения категории качества по активу в соответствии с информационным письмом № ИН-01-23/32, не потребуется ли после окончания действия указанного письма досоздать резервы на возможные потери в полном объеме в соответствии с требованиями Положений № 590-П, № 611-П в отношении всех требований к Эмитенту/Контрагенту/Заемщику?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Решение по подходам продления или прекращения регуляторных послаблений будет приниматься Банком России с учетом развития экономической ситуации и будет анонсировано банковскому сообществу заблаговременно.</w:t>
      </w:r>
    </w:p>
    <w:p>
      <w:pPr>
        <w:pStyle w:val="BodyText"/>
      </w:pPr>
      <w:r>
        <w:t xml:space="preserve">Планируется ли предусмотреть, чтобы задержки выплат по синдицированным кредитам и сложно-структурированным сделкам, в т. ч. санкционное блокирование переведенных заемщиком денежных средств, на стороне кредитного агента или в расчетах с банками нерезидентами, платежными агентами, возникающие вследствие введенных мер ограничительного характера, не влияли на классификацию ссуд по истечении срока информационного письма № ИН-01-23/32?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Решение по подходам продления или прекращения регуляторных послаблений будет приниматься Банком России с учетом развития экономической ситуации.</w:t>
      </w:r>
    </w:p>
    <w:p>
      <w:pPr>
        <w:pStyle w:val="BodyText"/>
      </w:pPr>
      <w:r>
        <w:t xml:space="preserve">Банком России разъяснено, что решения, принятые КО в соответствии с п. 1 информационного письма № ИН-01-23/32, подготавливаются КО самостоятельно на основании комплексного анализа финансово-хозяйственной деятельности заемщика, и должны включать документальное обоснование взаимосвязи ухудшения финансового положения заемщика с действием мер ограничительного характера или их последствиями.</w:t>
      </w:r>
    </w:p>
    <w:p>
      <w:pPr>
        <w:pStyle w:val="BodyText"/>
      </w:pPr>
      <w:r>
        <w:t xml:space="preserve">С учетом того, что в соответствии с Положением № 590-П финансовое положение заемщика и качество обслуживания долга являются самостоятельными показателями, учитываемыми при формировании резерва на возможные потери по ссудам, просим разъяснить, обязана ли КО при принятии решения о неухудшении финансового положения заемщика и качества обслуживания долга, включать в профессиональное суждение документальное обоснование взаимосвязи ухудшения финансового положения заемщика и качества обслуживания долга с действием мер ограничительного характера или их последствиями?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Да, документальное обоснование принимаемых решений необходимо включать в профессиональное суждение.</w:t>
      </w:r>
    </w:p>
    <w:p>
      <w:pPr>
        <w:pStyle w:val="BodyText"/>
      </w:pPr>
      <w:r>
        <w:t xml:space="preserve">В соответствии с информационным письмом № ИН-01-23/32 КО предоставлена возможность в целях формирования резервов на возможные потери не ухудшать оценку финансового положения и (или) качества обслуживания долга и (или) категории качества обеспечения и (или) категории качества ссуд, прочих активов и условных обязательств кредитного характера в случае если оценка ухудшилась после 18.02.2022 в результате действия мер ограничительного характера.</w:t>
      </w:r>
    </w:p>
    <w:p>
      <w:pPr>
        <w:pStyle w:val="BodyText"/>
      </w:pPr>
      <w:r>
        <w:t xml:space="preserve">Вправе ли КО проводить реструктуризацию ссуд в соответствии с Федеральным законом № 106-ФЗ без документального подтверждения заемщиком снижения дохода более чем на 30 процентов по сравнению со среднемесячным доходом заемщика за год, предшествующий дате обращения с требованиями о предоставлении льготного периода?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Да, вправе.</w:t>
      </w:r>
    </w:p>
    <w:p>
      <w:pPr>
        <w:pStyle w:val="BodyText"/>
      </w:pPr>
      <w:r>
        <w:t xml:space="preserve">В соответствии с частью 7 статьи 6 Федерального закона № 106-ФЗ заемщик при представлении требования о предоставлении льготного периода вправе приложить документы, подтверждающие снижение его дохода. В свою очередь, в целях рассмотрения требования заемщика кредитор в срок, не превышающий двух рабочих дней, следующих за днем получения данного требования, вправе запросить у заемщика документы, подтверждающие снижение его дохода (часть 8 статьи 6 Федерального закона № 106-ФЗ).</w:t>
      </w:r>
    </w:p>
    <w:p>
      <w:pPr>
        <w:pStyle w:val="BodyText"/>
      </w:pPr>
      <w:r>
        <w:t xml:space="preserve">Поскольку запрос кредитором указанных документов, как и их предоставление заемщиком, является правом, а не обязанностью, полагаем, что льготный период может быть предоставлен заемщику без предъявления подтверждающих снижение дохода документов.</w:t>
      </w:r>
    </w:p>
    <w:p>
      <w:pPr>
        <w:pStyle w:val="BodyText"/>
      </w:pPr>
      <w:r>
        <w:t xml:space="preserve">Вправе ли КО в случае предоставления льготного периода без документального подтверждения заемщиком снижения дохода принять решение о неухудшении качества обслуживания долга по таким ссудам, не выводить их из ПОС 1 и не формировать по таким ссудам резерв в размере 100%?</w:t>
      </w:r>
    </w:p>
    <w:p>
      <w:pPr>
        <w:pStyle w:val="BodyText"/>
      </w:pPr>
      <w:r>
        <w:t xml:space="preserve">1 Портфель однородных ссуд.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Да, при условии наличия иных обоснований решения.</w:t>
      </w:r>
    </w:p>
    <w:p>
      <w:pPr>
        <w:pStyle w:val="BodyText"/>
      </w:pPr>
      <w:r>
        <w:t xml:space="preserve">Ряд КО при кредитовании предоставляет своим клиентам дополнительные услуги в виде пакета сервисных услуг (опций), направленных на финансовую защиту заемщиков. В этой связи у КО возникли следующие вопросы. Вправе ли КО закрепить во внутренних документах в качестве основания отнесения ссуд к реструктурированным ссудам случаи, если по ссуде, ранее включенной в ПОС, была применена одна из следующих опций:</w:t>
      </w:r>
    </w:p>
    <w:p>
      <w:pPr>
        <w:pStyle w:val="BodyText"/>
      </w:pPr>
      <w:r>
        <w:t xml:space="preserve">— перенос даты платежа внутри месяца;</w:t>
      </w:r>
    </w:p>
    <w:p>
      <w:pPr>
        <w:pStyle w:val="BodyText"/>
      </w:pPr>
      <w:r>
        <w:t xml:space="preserve">— временное изменение размера платежа (от 1 до 6 месяцев) с учетом пролонгации графика платежей;</w:t>
      </w:r>
    </w:p>
    <w:p>
      <w:pPr>
        <w:pStyle w:val="BodyText"/>
      </w:pPr>
      <w:r>
        <w:t xml:space="preserve">— пропуск одного платежа по кредиту с учетом пролонгации ссуды (изменения графика платежей),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Да, перечисленные изменения графика платежей по ссуде могут рассматриваться в качестве реструктуризации.</w:t>
      </w:r>
    </w:p>
    <w:p>
      <w:pPr>
        <w:pStyle w:val="BodyText"/>
      </w:pPr>
      <w:r>
        <w:t xml:space="preserve">В соответствии с пп. 3.7.2.2 Положения № 590-П реструктуризацией признается изменение на основании соглашения с заемщиком и (или) на основании законодательства Российской Федерации и (или) актов Правительства Российской Федерации существенных условий первоначального договора в сторону, более благоприятную для исполнения обязательств заемщиком.</w:t>
      </w:r>
    </w:p>
    <w:p>
      <w:pPr>
        <w:pStyle w:val="BodyText"/>
      </w:pPr>
      <w:r>
        <w:t xml:space="preserve">Правомерно ли повторное применение данных опций по одной и той же ссуде?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Да, правомерно.</w:t>
      </w:r>
    </w:p>
    <w:p>
      <w:pPr>
        <w:pStyle w:val="BodyText"/>
      </w:pPr>
      <w:r>
        <w:t xml:space="preserve">Изменение условий кредитных договоров, в том числе, в части изменения графика платежей, относится к гражданско-правовым отношениям между заемщиком и кредитором и не регулируется Положением № 590-П.</w:t>
      </w:r>
    </w:p>
    <w:p>
      <w:pPr>
        <w:pStyle w:val="BodyText"/>
      </w:pPr>
      <w:r>
        <w:t xml:space="preserve">В рамках применения информационного письма № ИН-01-23/32 кредитная организация вправе принимать решение по ссудам, повторно реструктурированным в связи с тем, что заемщик испытывает сложности по исполнению обязательств по причине введения мер ограничительного характера после 18.02.2022, независимо от оценки финансового положения заемщика.</w:t>
      </w:r>
    </w:p>
    <w:p>
      <w:pPr>
        <w:pStyle w:val="BodyText"/>
      </w:pPr>
      <w:r>
        <w:t xml:space="preserve">Возможно ли по таким ссудам не считать применение указанных опций индивидуальными признаками обесценения, если величина ссуды не превышает 0,01 процента от величины собственных средств (капитала) КО (но не более 1 миллиона рублей) и по ней отсутствует просроченная задолженность длительностью свыше 90 календарных дней?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неправомерно.</w:t>
      </w:r>
    </w:p>
    <w:p>
      <w:pPr>
        <w:pStyle w:val="BodyText"/>
      </w:pPr>
      <w:r>
        <w:t xml:space="preserve">Вправе ли КО не исключать такие ссуды из ПОС?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Да, вправе.</w:t>
      </w:r>
    </w:p>
    <w:p>
      <w:pPr>
        <w:pStyle w:val="BodyText"/>
      </w:pPr>
      <w:r>
        <w:t xml:space="preserve">В соответствии с абз. 4 п. 5.1 Положения № 590-П кредитная организация вправе не исключать из ПОС ссуды, по которым выявлены признаки обесценения, в том числе произведена реструктуризация, если размер ссуды не превышает 0,01 процента от величины собственных средств (капитала) КО (но не более 1 миллиона рублей) и по ней отсутствует просроченная задолженность длительностью свыше 90 календарных дней.</w:t>
      </w:r>
    </w:p>
    <w:p>
      <w:pPr>
        <w:pStyle w:val="BodyText"/>
      </w:pPr>
      <w:r>
        <w:t xml:space="preserve">По таким ссудам рекомендуется создание отдельных субпортфелей с повышенным размером резерва.</w:t>
      </w:r>
    </w:p>
    <w:p>
      <w:pPr>
        <w:pStyle w:val="BodyText"/>
      </w:pPr>
      <w:r>
        <w:t xml:space="preserve">Рекомендованная Банком России в период пандемии коронавирусной инфекции (COVID19) (с 01.03.2020 по 30.06.2021) практика по временному послаблению обслуживания долга заемщиков оказала положительное влияние на качество портфелей заемщиков, имевших в истории обслуживания долга по кредитам продолжительный период бездефолтного обслуживания ссуды.</w:t>
      </w:r>
    </w:p>
    <w:p>
      <w:pPr>
        <w:pStyle w:val="BodyText"/>
      </w:pPr>
      <w:r>
        <w:t xml:space="preserve">Клиенты, воспользовавшиеся предложениями КО:</w:t>
      </w:r>
    </w:p>
    <w:p>
      <w:pPr>
        <w:pStyle w:val="BodyText"/>
      </w:pPr>
      <w:r>
        <w:t xml:space="preserve">— реже других заемщиков имели просроченную задолженность;</w:t>
      </w:r>
    </w:p>
    <w:p>
      <w:pPr>
        <w:pStyle w:val="BodyText"/>
      </w:pPr>
      <w:r>
        <w:t xml:space="preserve">— быстрее других заемщиков погашали просроченную задолженность, сохраняя положительную динамику своевременного погашения кредита в последующем.</w:t>
      </w:r>
    </w:p>
    <w:p>
      <w:pPr>
        <w:pStyle w:val="BodyText"/>
      </w:pPr>
      <w:r>
        <w:t xml:space="preserve">Принимая во внимание уже имеющейся опыт положительной практики в период пандемии коронавирусной инфекции (COVID19), КО и в период санкций планируют применять приведенный выше подход предоставления заемщикам льготных опций, что позволит улучшать качество платежной дисциплины заемщиков, предоставляя клиентам с длительным периодом бездефолтного обслуживания ссуды возможность временно изменять режим выплат в связи с непредвиденными жизненными обстоятельствами, например:</w:t>
      </w:r>
    </w:p>
    <w:p>
      <w:pPr>
        <w:pStyle w:val="BodyText"/>
      </w:pPr>
      <w:r>
        <w:t xml:space="preserve">— изменение даты получения заработной платы;</w:t>
      </w:r>
    </w:p>
    <w:p>
      <w:pPr>
        <w:pStyle w:val="BodyText"/>
      </w:pPr>
      <w:r>
        <w:t xml:space="preserve">— повышенные сезонные затраты;</w:t>
      </w:r>
    </w:p>
    <w:p>
      <w:pPr>
        <w:pStyle w:val="BodyText"/>
      </w:pPr>
      <w:r>
        <w:t xml:space="preserve">— сезонность заработка;</w:t>
      </w:r>
    </w:p>
    <w:p>
      <w:pPr>
        <w:pStyle w:val="BodyText"/>
      </w:pPr>
      <w:r>
        <w:t xml:space="preserve">— заболевание коронавирусной инфекцией (COVID19);</w:t>
      </w:r>
    </w:p>
    <w:p>
      <w:pPr>
        <w:pStyle w:val="BodyText"/>
      </w:pPr>
      <w:r>
        <w:t xml:space="preserve">— форс-мажор и т.д.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не вправе. Реструктуризация является признаком обесценения ссуды.</w:t>
      </w:r>
    </w:p>
    <w:p>
      <w:pPr>
        <w:pStyle w:val="BodyText"/>
      </w:pPr>
      <w:r>
        <w:t xml:space="preserve">В то же время КО на основании п. 3.10 Положения № 590-П вправе принять решение (общее решение в отношении совокупности ссуд) о признании качества обслуживания долга хорошим по реструктурированным ссудам, обслуживание долга по которым осуществляется своевременно и в полном объеме, при условии оценки финансового положения заемщика не хуже, чем среднее.</w:t>
      </w:r>
    </w:p>
    <w:p>
      <w:pPr>
        <w:pStyle w:val="BodyText"/>
      </w:pPr>
      <w:r>
        <w:t xml:space="preserve">Дополнительно предусмотрена возможность принятия решения уполномоченным органом управления (органом) КО в соответствии с пп. 3.10.1 Положения № 590-П о неухудшении качества обслуживания долга по ссудам, реструктурированным на основании актов Правительства Российской Федерации, независимо от оценки финансового положения заемщика.</w:t>
      </w:r>
    </w:p>
    <w:p>
      <w:pPr>
        <w:pStyle w:val="BodyText"/>
      </w:pPr>
      <w:r>
        <w:t xml:space="preserve">В настоящее время информационным письмом № ИН-01-23/32 КО предоставлена возможность в отношении ссуд, реструктурированных после 18.02.2022 в связи с тем, что заемщик испытывает сложности по исполнению обязательств по причине введения мер ограничительного характера (как в соответствии со ст. 6 Федерального закона № 106-ФЗ, так и в рамках собственных программ реструктуризации) принимать решение о неухудшении качества обслуживания долга независимо от оценки финансового положения заемщика.</w:t>
      </w:r>
    </w:p>
    <w:p>
      <w:pPr>
        <w:pStyle w:val="BodyText"/>
      </w:pPr>
      <w:r>
        <w:t xml:space="preserve">Вправе ли КО не считать индивидуальным признаком обесценения факт рефинансирования ссуды, если по ней с момента рефинансирования прошло не менее 365 дней без выхода на просрочку, и не применять к такой ссуде требования абзаца третьего п. 5.1 Положения 590-П об оценке на индивидуальной основе?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не вправе. Рефинансирование ранее предоставленной ссуды является признаком обесценения.</w:t>
      </w:r>
    </w:p>
    <w:p>
      <w:pPr>
        <w:pStyle w:val="BodyText"/>
      </w:pPr>
      <w:r>
        <w:t xml:space="preserve">При этом, в соответствии с п. 3.10 Положения № 590-П по ссудам, выданным КО заемщику для погашения долга по ранее предоставленной ссуде, при условии, что финансовое положение заемщика в течение последнего завершенного и текущего года оценивалось не хуже, чем среднее, КО может быть принято решение о признании обслуживания долга хорошим.</w:t>
      </w:r>
    </w:p>
    <w:p>
      <w:pPr>
        <w:pStyle w:val="BodyText"/>
      </w:pPr>
      <w:r>
        <w:t xml:space="preserve">Ссуды, в отношении которых принято решение в соответствии с п. 3.10 Положения № 590-П, могут группироваться в портфели однородных ссуд с повышенным размером резерва, указанным в таблицах п. 5.1 Положения № 590-П, увеличенным на 0,5 процентных пункта, но не более 100 процентов.</w:t>
      </w:r>
    </w:p>
    <w:p>
      <w:pPr>
        <w:pStyle w:val="BodyText"/>
      </w:pPr>
      <w:r>
        <w:t xml:space="preserve">В соответствии с пп. 3.7.1.2 Положения № 590-П обслуживание долга по ссуде может быть признано хорошим, если имеется случай (имеются случаи) просроченных платежей по основному долгу и (или) процентам в течение последних 180 календарных дней.</w:t>
      </w:r>
    </w:p>
    <w:p>
      <w:pPr>
        <w:pStyle w:val="BodyText"/>
      </w:pPr>
      <w:r>
        <w:t xml:space="preserve">Обновлено: 21.06.2022</w:t>
      </w:r>
    </w:p>
    <w:p>
      <w:pPr>
        <w:pStyle w:val="BodyText"/>
      </w:pPr>
      <w:r>
        <w:t xml:space="preserve">Нет, в указанных случаях КО не обязана учитывать просрочку по задолженности заемщика.</w:t>
      </w:r>
    </w:p>
    <w:p>
      <w:pPr>
        <w:pStyle w:val="BodyText"/>
      </w:pPr>
      <w:r>
        <w:t xml:space="preserve">Каков порядок действий КО по подтверждению факта того, что ухудшение финансового положения заемщика обусловлено именно действием санкций? Как должно быть зафиксировано КО, что ухудшение финансового положения произошло в результате действия санкций (в профессиональном суждении/принятом решении)?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Информацию о решениях, принятых уполномоченными органами управления (органами) КО в соответствии с информационным письмом, и обоснование решений необходимо включать в профессиональное суждение и рекомендуется направлять в Банк России (структурное подразделение Банка России) в порядке, установленном п. 3.10 Положения Банка России № 590-П , одновременно с формами отчетности 0409115 и 0409155.</w:t>
      </w:r>
    </w:p>
    <w:p>
      <w:pPr>
        <w:pStyle w:val="BodyText"/>
      </w:pPr>
      <w:r>
        <w:t xml:space="preserve">Возможно ли не ухудшать финансовое положение заемщиков-физических лиц, работающих в компаниях, попавших под санкции, в компаниях, которые приняли решение временно уйти с рынка? Имеется ли возможность неухудшения финансового положения заемщиков-физических лиц, чье финансовое положение ухудшилось, но которые непосредственно не находятся под санкциями, по аналогии с ссудами юридических лиц (без кредитных каникул)?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При наличии достаточных обоснований взаимосвязи ухудшения финансового положения заемщиков с действием мер ограничительного характера, в том числе косвенных (например, повлекшим снижение доходов заемщиков в связи с изменениями в деятельности работодателя-компании, непосредственно в отношении которой введены меры ограничительного характера, или прекращение трудовых отношений заемщиков с компаниями, которые приняли решение уйти с рынка), КО вправе применить подходы в целях формирования резервов на возможные потери, изложенные в информационном письме.</w:t>
      </w:r>
    </w:p>
    <w:p>
      <w:pPr>
        <w:pStyle w:val="BodyText"/>
      </w:pPr>
      <w:r>
        <w:t xml:space="preserve">Возможно ли применение предусмотренных в информационных письмах Банка России от 27.12.2021 № ИН-03-23/103 и от 10.03.2022 № ИН-01-23/32 подходов к оценке рисков в целях формирования резервов на возможные потери на портфельной основе?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В указанных информационных письмах Банка России прямо предусмотрена возможность принятия общего решения в отношении совокупности ссуд и (или) прочих активов и (или) условных обязательств кредитного характера, то есть оцениваемых на портфельной основе.</w:t>
      </w:r>
    </w:p>
    <w:p>
      <w:pPr>
        <w:pStyle w:val="BodyText"/>
      </w:pPr>
      <w:r>
        <w:t xml:space="preserve">Каков порядок действий КО, которые имеют корреспондентские счета в иностранной валюте в российских банках, подвергшихся санкциям, и в их дочерних иностранных банках?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При формировании резервов на возможные потери по остаткам в иностранной валюте на корреспондентских счетах в КО, в отношении которых действуют меры ограничительного характера, КО вправе применять подходы, изложенные в информационном письме Банка России от 27.12.2021 № ИН-03-23/103, позволяющие принимать решение о неухудшении оценки финансового положения и (или) качества обслуживания долга и (или) категории качества обеспечения и (или) категории качества ссуд, прочих активов и условных обязательств кредитного характера.</w:t>
      </w:r>
    </w:p>
    <w:p>
      <w:pPr>
        <w:pStyle w:val="BodyText"/>
      </w:pPr>
      <w:r>
        <w:t xml:space="preserve">Планируется ли повысить лимит по максимальной величине кредита, при которой допускается использование внутренних банковских моделей, с 10 млн рублей, до 50 млн рублей?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Банком России принято решение об увеличении в целях формирования резервов на портфельной основе с 10 до 50 млн рублей предельного размера ссуд субъектам малого и среднего предпринимательства, оценка риска по которым осуществляется на основании внутрибанковских оценок кредитоспособности. Банк России приступил к подготовке соответствующего проекта изменений в Положение Банка России № 590-П .</w:t>
      </w:r>
    </w:p>
    <w:p>
      <w:pPr>
        <w:pStyle w:val="BodyText"/>
      </w:pPr>
      <w:r>
        <w:t xml:space="preserve">Возможно ли не признавать реструктурированными ссуды, в отношении которых КО принимается решение о снижении процентных ставок по кредитам, по которым первоначальными условиями кредитного договора было установлено условие о переменной процентной ставке, привязанной к размеру ключевой ставки Банка России, и в результате повышения ключевой ставки Банка России процентная ставка по таким кредитам автоматически существенно возросла?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Ссуда признается реструктурированной, если изменены существенные условия первоначального договора, на основании которого ссуда предоставлена, при наступлении которых заемщик получает право исполнять обязательства по ссуде в более благоприятном режиме (например, изменение срока погашения ссуды (основного долга и (или) процентов), размера процентной ставки, порядка ее расчета), за исключением случаев, предусмотренных п. 3.7.2.2 Положения Банка России № 590-П .</w:t>
      </w:r>
    </w:p>
    <w:p>
      <w:pPr>
        <w:pStyle w:val="BodyText"/>
      </w:pPr>
      <w:r>
        <w:t xml:space="preserve">В частности, ссуда может не признаваться реструктурированной, если договор, на основании которого ссуда предоставлена, содержит условия и параметры реструктуризации, и в дальнейшем указанные условия наступают, и соблюдаются параметры, а также в случае снижения размера процентной ставки при оценке финансового положения заемщика как хорошее или как среднее при неухудшении оценки финансового положения заемщика.</w:t>
      </w:r>
    </w:p>
    <w:p>
      <w:pPr>
        <w:pStyle w:val="BodyText"/>
      </w:pPr>
      <w:r>
        <w:t xml:space="preserve">Учитывая изложенное, если условиями договора предусмотрена переменная процентная ставка, привязанная к размеру ключевой ставки Банка России, и соблюдаются параметры изменения процентной ставки, например, уровень отклонения от ключевой ставки Банка России, полагаем возможным, руководствуясь нормами п. 3.7.2.2 Положения Банка России № 590-П, не признавать такие ссуды реструктурированными.</w:t>
      </w:r>
    </w:p>
    <w:p>
      <w:pPr>
        <w:pStyle w:val="BodyText"/>
      </w:pPr>
      <w:r>
        <w:t xml:space="preserve">Возможно ли в целях применения п. 3.13.3 Положения Банка России № 590-П использовать величину ключевой ставки Банка России, действовавшей до введения мер ограничительного характера?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В рамках применения требований п. 3.13.3 Положения Банка России № 590-П сравнению подлежит величина процентной ставки по договору с ключевой ставкой Банка России, действовавшей на дату заключения договора.</w:t>
      </w:r>
    </w:p>
    <w:p>
      <w:pPr>
        <w:pStyle w:val="BodyText"/>
      </w:pPr>
      <w:r>
        <w:t xml:space="preserve">Кроме того, п. 3.13.3 Положения Банка России № 590-П содержит ряд исключений, на которые его требования не распространяются, в том числе:</w:t>
      </w:r>
    </w:p>
    <w:p>
      <w:pPr>
        <w:pStyle w:val="BodyText"/>
      </w:pPr>
      <w:r>
        <w:t xml:space="preserve">на ссуды, предоставленные юридическим лицам в валюте РФ сроком до 30 календарных дней, при наличии соответствующего решения уполномоченного органа кредитной организации и при определенных условиях;</w:t>
      </w:r>
    </w:p>
    <w:p>
      <w:pPr>
        <w:pStyle w:val="BodyText"/>
      </w:pPr>
      <w:r>
        <w:t xml:space="preserve">на ссуды, по которым третье лицо компенсирует разницу между ставкой процента, предусмотренной договором, и ставкой процента выше уровня, предусмотренного настоящим подпунктом;</w:t>
      </w:r>
    </w:p>
    <w:p>
      <w:pPr>
        <w:pStyle w:val="BodyText"/>
      </w:pPr>
      <w:r>
        <w:t xml:space="preserve">на ссуды, предоставленные заемщику за счет целевых бюджетных средств или иных целевых источников;</w:t>
      </w:r>
    </w:p>
    <w:p>
      <w:pPr>
        <w:pStyle w:val="BodyText"/>
      </w:pPr>
      <w:r>
        <w:t xml:space="preserve">на ссуды, предоставленные заемщикам-застройщикам, использующим счета эскроу.</w:t>
      </w:r>
    </w:p>
    <w:p>
      <w:pPr>
        <w:pStyle w:val="BodyText"/>
      </w:pPr>
      <w:r>
        <w:t xml:space="preserve">Имеет ли право КО принять общее решение о неухудшении категории качества реструктурированных ссуд заемщиков, осуществляющих деятельность в отраслях, определенных Постановлением Правительства РФ от 10.03.2022 № 337?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В соответствии с информационным письмом КО предоставлена возможность принимать решение о неухудшении оценки финансового положения и (или) качества обслуживания долга и (или) категории качества обеспечения и (или) категории качества ссуд, прочих активов и условных обязательств кредитного характера в случае если оценка ухудшилась после 18.02.2022 в результате действия мер ограничительного характера. Возможность применения предусмотренных информационным письмом подходов не ставится в зависимость от отрасли. При этом обоснование решений определяется КО самостоятельно на основании комплексного анализа финансово-хозяйственной деятельности заемщика, и должно включать документальное подтверждение взаимосвязи ухудшения финансового положения заемщика с действием мер ограничительного характера или их последствий.</w:t>
      </w:r>
    </w:p>
    <w:p>
      <w:pPr>
        <w:pStyle w:val="BodyText"/>
      </w:pPr>
      <w:r>
        <w:t xml:space="preserve">В связи с принятием Банком России решения о временном сокращении объемов раскрытия отчетности, публикуемой КО на официальных сайтах, вправе ли КО в отношении размещенных депозитов в указанных КО принять решение о неухудшении оценки финансового положения контрагентов и качества обслуживания долга?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В рассматриваемом случае предлагаем руководствоваться информационным письмом, в соответствии с которым КО предоставлена возможность принимать решения о неухудшении оценки финансового положения контрагентов и качества обслуживания долга в условиях действия мер ограничительного характера после 18.02.2022.</w:t>
      </w:r>
    </w:p>
    <w:p>
      <w:pPr>
        <w:pStyle w:val="BodyText"/>
      </w:pPr>
      <w:r>
        <w:t xml:space="preserve">Как поступить, если по вновь выдаваемым ссудам в условиях текущей ключевой ставки обострилась проблема сопоставимости в целях применения п. 3.9.2 Положения Банка России № 590-П (иной существенный фактор)?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В целях применения иных существенных факторов в части учета положительной/отрицательной кредитной истории необходимо сопоставление оцениваемых и ранее выданных ссуд с точки зрения возможности/невозможности исполнять обязательства по оцениваемой ссуде исходя из качества исполнения обязательств по иным ссудам с сопоставимой кредитной нагрузкой, которая определяется с учетом сроков, сумм и процентных ставок.</w:t>
      </w:r>
    </w:p>
    <w:p>
      <w:pPr>
        <w:pStyle w:val="BodyText"/>
      </w:pPr>
      <w:r>
        <w:t xml:space="preserve">Возможно ли применение подходов, предусмотренных информационными письмами Банка России от 28.02.2022 № ИН-01-23/17, от 10.03.2022 № ИН-01-23/32, в том числе не признавать «вынужденно реструктурированными» реструктурированные ссуды, фиксировать курсы валют, кредитные рейтинги, в целях составления отчетности по международным стандартом финансовой отчетности (МСФО)?</w:t>
      </w:r>
    </w:p>
    <w:p>
      <w:pPr>
        <w:pStyle w:val="BodyText"/>
      </w:pPr>
      <w:r>
        <w:t xml:space="preserve">Обновлено: 11.04.2022</w:t>
      </w:r>
    </w:p>
    <w:p>
      <w:pPr>
        <w:pStyle w:val="BodyText"/>
      </w:pPr>
      <w:r>
        <w:t xml:space="preserve">Подходы, изложенные в информационных письмах Банка России от 28.02.2022 № ИН-01-23/17, от 10.03.2022 № ИН-01-23/32 предусмотрены только для расчета пруденциальных показателей.</w:t>
      </w:r>
    </w:p>
    <w:p>
      <w:pPr>
        <w:pStyle w:val="BodyText"/>
      </w:pPr>
      <w:r>
        <w:t xml:space="preserve">Применение специальных экономических мер</w:t>
      </w:r>
    </w:p>
    <w:p>
      <w:pPr>
        <w:pStyle w:val="BodyText"/>
      </w:pPr>
      <w:r>
        <w:t xml:space="preserve">Может ли резидент получить от нерезидента наличные денежные средства в качестве аванса по внешнеторговому экспортному контракту?</w:t>
      </w:r>
    </w:p>
    <w:p>
      <w:pPr>
        <w:pStyle w:val="BodyText"/>
      </w:pPr>
      <w:r>
        <w:t xml:space="preserve">Обновлено: 02.03.2023</w:t>
      </w:r>
    </w:p>
    <w:p>
      <w:pPr>
        <w:pStyle w:val="BodyText"/>
      </w:pPr>
      <w:r>
        <w:t xml:space="preserve">Право резидента осуществлять расчеты с нерезидентом в наличной форме по внешнеторговым экспортным контрактам, в том числе получать наличные денежные средства от нерезидента в качестве авансового платежа, установлено Указом Президента Российской Федерации от 08.08.2022 № 529 «О временном порядке исполнения обязательств по договорам банковского счета (вклада), выраженных в иностранной валюте, и обязательств по облигациям, выпущенным иностранными организациями».</w:t>
      </w:r>
    </w:p>
    <w:p>
      <w:pPr>
        <w:pStyle w:val="BodyText"/>
      </w:pPr>
      <w:r>
        <w:t xml:space="preserve">Постановление Правительства Российской Федерации от 26.12.2022 № 2433 «Об утверждении Правил осуществления между резидентами и нерезидентами расчетов наличными денежными средствами» не регулирует вопросы, связанные с получением резидентом от нерезидента наличных денежных средств в качестве авансового платежа в соответствии с условиями внешнеторгового экспортного контракта.</w:t>
      </w:r>
    </w:p>
    <w:p>
      <w:pPr>
        <w:pStyle w:val="BodyText"/>
      </w:pPr>
      <w:r>
        <w:t xml:space="preserve">Можно ли резиденту — участнику внешнеэкономической деятельности (ВЭД) уступить права требования с «дисконтом» нерезиденту по экспортному контракту, заключенному с иным нерезидентом?</w:t>
      </w:r>
    </w:p>
    <w:p>
      <w:pPr>
        <w:pStyle w:val="BodyText"/>
      </w:pPr>
      <w:r>
        <w:t xml:space="preserve">Обновлено: 31.01.2023</w:t>
      </w:r>
    </w:p>
    <w:p>
      <w:pPr>
        <w:pStyle w:val="BodyText"/>
      </w:pPr>
      <w:r>
        <w:t xml:space="preserve">Российские юридические лица и индивидуальные предприниматели — участники ВЭД при осуществлении внешнеторговой деятельности не применяют требование о репатриации валютной выручки (подпункт «б» пункта 4 Указа № 529 1 ). При этом они вправе исполнять обязательства по внешнеторговым договорам (контрактам) любым разрешенным российским законодательством способом. В то же время законодательство не ограничивает российских участников ВЭД в уступке прав требования нерезиденту с «дисконтом», в том числе и размером такого «дисконта».</w:t>
      </w:r>
    </w:p>
    <w:p>
      <w:pPr>
        <w:pStyle w:val="BodyText"/>
      </w:pPr>
      <w:r>
        <w:t xml:space="preserve">Таким образом, в случае осуществления российским юридическим лицом или индивидуальным предпринимателем уступки права требования по экспортному контракту нерезиденту с «дисконтом», исполнение обязательств в рамках такого договора уступки права требования полагаем возможным рассматривать как исполнение обязательств по экспортному контракту.</w:t>
      </w:r>
    </w:p>
    <w:p>
      <w:pPr>
        <w:pStyle w:val="BodyText"/>
      </w:pPr>
      <w:r>
        <w:t xml:space="preserve">1 Указ Президента РФ от 08.08.2022 № 529 «О временном порядке исполнения обязательств по договорам банковского счета (вклада), выраженных в иностранной валюте, и обязательств по облигациям, выпущенным иностранными организациями».</w:t>
      </w:r>
    </w:p>
    <w:p>
      <w:pPr>
        <w:pStyle w:val="BodyText"/>
      </w:pPr>
      <w:r>
        <w:t xml:space="preserve">Обязаны ли резиденты продавать экспортную выручку, зачисленную на их транзитные валютные счета?</w:t>
      </w:r>
    </w:p>
    <w:p>
      <w:pPr>
        <w:pStyle w:val="BodyText"/>
      </w:pPr>
      <w:r>
        <w:t xml:space="preserve">Обновлено: 12.12.2022</w:t>
      </w:r>
    </w:p>
    <w:p>
      <w:pPr>
        <w:pStyle w:val="BodyText"/>
      </w:pPr>
      <w:r>
        <w:t xml:space="preserve">С 10 июня 2022 года обязательная продажа экспортной выручки, в том числе зачисленной на транзитные валютные счета в период с 28 февраля по 9 июня 2022 года и еще не проданной, не осуществляется в связи с решением Правительственной комиссии по контролю за осуществлением иностранных инвестиций в Российской Федерации от 9 июня 2022 года , согласно которому с 10 июня 2022 года обязательная продажа валютной выручки экспортерами осуществляется в размере 0%.</w:t>
      </w:r>
    </w:p>
    <w:p>
      <w:pPr>
        <w:pStyle w:val="BodyText"/>
      </w:pPr>
      <w:r>
        <w:t xml:space="preserve">Разъяснение Банка России по данному вопросу содержится в Официальном разъяснении Банка России от 27.06.2022 № 7-ОР (пункт 1).</w:t>
      </w:r>
    </w:p>
    <w:p>
      <w:pPr>
        <w:pStyle w:val="BodyText"/>
      </w:pPr>
      <w:r>
        <w:t xml:space="preserve">Должны ли кредитные организации осуществлять контроль проводимых клиентами операций и, в случае выявления перечисления клиентом денежных средств в иностранной валюте на его счет, открытый в расположенных за пределами территории Российской Федерации банках и иных организациях финансового рынка, отказать в исполнении поручения клиента?</w:t>
      </w:r>
    </w:p>
    <w:p>
      <w:pPr>
        <w:pStyle w:val="BodyText"/>
      </w:pPr>
      <w:r>
        <w:t xml:space="preserve">Обновлено: 02.03.2022</w:t>
      </w:r>
    </w:p>
    <w:p>
      <w:pPr>
        <w:pStyle w:val="BodyText"/>
      </w:pPr>
      <w:r>
        <w:t xml:space="preserve">Кредитные организации, являющиеся агентами валютного контроля, обязаны осуществлять контроль за проводимыми клиентами валютными операциями на предмет законности их совершения и отказывать в проведении незаконных валютных операций.</w:t>
      </w:r>
    </w:p>
    <w:p>
      <w:pPr>
        <w:pStyle w:val="BodyText"/>
      </w:pPr>
      <w:r>
        <w:t xml:space="preserve">Возможна ли покупка резидентами товаров за рубежом, оплата услуг, в том числе, связанных с коммунальными платежами за недвижимость, находящуюся за рубежом, оплата обучения, медицинских услуг?</w:t>
      </w:r>
    </w:p>
    <w:p>
      <w:pPr>
        <w:pStyle w:val="BodyText"/>
      </w:pPr>
      <w:r>
        <w:t xml:space="preserve">Обновлено: 02.03.2022</w:t>
      </w:r>
    </w:p>
    <w:p>
      <w:pPr>
        <w:pStyle w:val="BodyText"/>
      </w:pPr>
      <w:r>
        <w:t xml:space="preserve">В настоящее время осуществление резидентами (физические и юридические лица, индивидуальные предприниматели, лица, занимающиеся частной практикой, «самозанятые» лица) платежей в пользу нерезидентов- юридических лиц как в валюте Российской Федерации, так и в иностранной валюте на указанные цели не запрещено.</w:t>
      </w:r>
    </w:p>
    <w:p>
      <w:pPr>
        <w:pStyle w:val="BodyText"/>
      </w:pPr>
      <w:r>
        <w:t xml:space="preserve">Введен ли запрет на операции по получению резидентом иностранной валюты в виде возврата займа нерезидентом либо уплату нерезидентом процентов (штрафов), иных платежей, предусмотренных договором займа?</w:t>
      </w:r>
    </w:p>
    <w:p>
      <w:pPr>
        <w:pStyle w:val="BodyText"/>
      </w:pPr>
      <w:r>
        <w:t xml:space="preserve">Обновлено: 02.03.2022</w:t>
      </w:r>
    </w:p>
    <w:p>
      <w:pPr>
        <w:pStyle w:val="BodyText"/>
      </w:pPr>
      <w:r>
        <w:t xml:space="preserve">Валютные операции по получению резидентами иностранной валюты при исполнении нерезидентами своих обязательств по договорам займа, ранее предоставленных резидентами нерезидентам, не ограничены (включая операции возврата нерезидентами займа, оплаты нерезидентами сумм процентов и (или) штрафных санкций по такому займу).</w:t>
      </w:r>
    </w:p>
    <w:p>
      <w:pPr>
        <w:pStyle w:val="BodyText"/>
      </w:pPr>
      <w:r>
        <w:t xml:space="preserve">Можно ли российским банкам c 1 марта 2022 года использовать свои корреспондентские счета, открытые в банках, расположенных за пределами территории Российской Федерации?</w:t>
      </w:r>
    </w:p>
    <w:p>
      <w:pPr>
        <w:pStyle w:val="BodyText"/>
      </w:pPr>
      <w:r>
        <w:t xml:space="preserve">Обновлено: 02.03.2022</w:t>
      </w:r>
    </w:p>
    <w:p>
      <w:pPr>
        <w:pStyle w:val="BodyText"/>
      </w:pPr>
      <w:r>
        <w:t xml:space="preserve">Запрет на перечисление денежных средств в иностранной валюте на свои счета, открытые в банках, расположенных за пределами территории Российской Федерации, не распространяется на российские кредитные организации.</w:t>
      </w:r>
    </w:p>
    <w:p>
      <w:pPr>
        <w:pStyle w:val="BodyText"/>
      </w:pPr>
      <w:r>
        <w:t xml:space="preserve">Применение информационного письма Банка России от 22.01.2025 № ИН-03-23/70 «О требованиях к раскрытию и представлению в Банк России отчетности и информации в 2025 году»</w:t>
      </w:r>
    </w:p>
    <w:p>
      <w:pPr>
        <w:pStyle w:val="BodyText"/>
      </w:pPr>
      <w:r>
        <w:t xml:space="preserve">Банк просит оказать методологическую помощь по вопросу раскрытия отчетности в 2025 году.</w:t>
      </w:r>
    </w:p>
    <w:p>
      <w:pPr>
        <w:pStyle w:val="BodyText"/>
      </w:pPr>
      <w:r>
        <w:t xml:space="preserve">Согласно п. 1.2 Решения Совета директоров Банка России от 24.12.2024 эмитенты ценных бумаг обязаны раскрывать на общедоступных информационных ресурсах консолидированную финансовую отчетность.</w:t>
      </w:r>
    </w:p>
    <w:p>
      <w:pPr>
        <w:pStyle w:val="BodyText"/>
      </w:pPr>
      <w:r>
        <w:t xml:space="preserve">Банк является, с одной стороны — акционерным обществом и, следовательно, эмитентом акций. С другой стороны — является непубличным акционерным обществом и не осуществляет публичное размещение облигаций и иных эмиссионных ценных бумаг.</w:t>
      </w:r>
    </w:p>
    <w:p>
      <w:pPr>
        <w:pStyle w:val="BodyText"/>
      </w:pPr>
      <w:r>
        <w:t xml:space="preserve">Полагаем, что в целях применения Решения Банк вправе руководствоваться п. 1.1 указанного Решения и не раскрывать на общедоступных информационных ресурсах финансовую отчетность, указанную в абзацах втором и третьем п.1.1.</w:t>
      </w:r>
    </w:p>
    <w:p>
      <w:pPr>
        <w:pStyle w:val="BodyText"/>
      </w:pPr>
      <w:r>
        <w:t xml:space="preserve">Является ли позиция Банка верной?</w:t>
      </w:r>
    </w:p>
    <w:p>
      <w:pPr>
        <w:pStyle w:val="BodyText"/>
      </w:pPr>
      <w:r>
        <w:t xml:space="preserve">Обновлено: 06.03.2025</w:t>
      </w:r>
    </w:p>
    <w:p>
      <w:pPr>
        <w:pStyle w:val="BodyText"/>
      </w:pPr>
      <w:r>
        <w:t xml:space="preserve">Требование подпункта 1.2 пункта 1 Решения распространяется на кредитные организации, являющиеся эмитентами ценных бумаг, обязанными раскрывать финансовую отчетность в соответствии с требованиями Закона № 39-ФЗ и Положения № 714-П .</w:t>
      </w:r>
    </w:p>
    <w:p>
      <w:pPr>
        <w:pStyle w:val="BodyText"/>
      </w:pPr>
      <w:r>
        <w:t xml:space="preserve">Поскольку Банк является непубличным акционерным обществом с числом акционеров менее 50, которое не осуществляет (не осуществляло) публичное размещение облигаций или иных ценных бумаг и не соответствует критериям, установленным пунктом 4 статьи 30 Закона № 39-ФЗ, у него отсутствует обязанность по раскрытию финансовой отчетности во исполнение вышеуказанных требований.</w:t>
      </w:r>
    </w:p>
    <w:p>
      <w:pPr>
        <w:pStyle w:val="BodyText"/>
      </w:pPr>
      <w:r>
        <w:t xml:space="preserve">С учетом изложенного Банк вправе, руководствуясь подпунктом 1.1. пункта 1 Решения, не раскрывать финансовую отчетность на общедоступных информационных ресурсах в 2025 году.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2026-09-27T11:01:32Z</dcterms:created>
  <dcterms:modified xsi:type="dcterms:W3CDTF">2026-09-27T11:01:32Z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