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обязательные-резервные-требования"/>
    <w:p>
      <w:pPr>
        <w:pStyle w:val="Heading1"/>
      </w:pPr>
      <w:r>
        <w:t xml:space="preserve">Обязательные резервные требования</w:t>
      </w:r>
    </w:p>
    <w:p>
      <w:pPr>
        <w:pStyle w:val="FirstParagraph"/>
      </w:pPr>
      <w:r>
        <w:t xml:space="preserve">Обязательные резервные требования</w:t>
      </w:r>
    </w:p>
    <w:p>
      <w:pPr>
        <w:pStyle w:val="BodyText"/>
      </w:pPr>
      <w:r>
        <w:t xml:space="preserve">Порядок включения данных в раздел III отчетности по форме 0409501 «Сведения о межбанковских кредитах и депозитах», Сведения о средних остатках по коду обозначения 501002</w:t>
      </w:r>
    </w:p>
    <w:p>
      <w:pPr>
        <w:pStyle w:val="BodyText"/>
      </w:pPr>
      <w:r>
        <w:t xml:space="preserve">Сведения о средствах, привлеченных в рамках каких сделок, заключаемых на бирже с участием кредитной организации – центрального контрагента (КО-ЦК), подлежат отражению в разделе III отчетности по форме 0409501, Сведениях о средних остатках по коду обозначения 501002?</w:t>
      </w:r>
    </w:p>
    <w:p>
      <w:pPr>
        <w:pStyle w:val="BodyText"/>
      </w:pPr>
      <w:r>
        <w:t xml:space="preserve">Подлежат ли отражению обязательства по возврату ценных бумаг и обязательства по возврату денежных средств в рамках операций репо?</w:t>
      </w:r>
    </w:p>
    <w:p>
      <w:pPr>
        <w:pStyle w:val="BodyText"/>
      </w:pPr>
      <w:r>
        <w:t xml:space="preserve">Обновлено: 14.04.2026</w:t>
      </w:r>
    </w:p>
    <w:p>
      <w:pPr>
        <w:pStyle w:val="BodyText"/>
      </w:pPr>
      <w:r>
        <w:t xml:space="preserve">В разделе III отчетности по форме 0409501, Сведениях о средних остатках по коду обозначения 501002 подлежат отражению обязательства, возникающие в рамках совершения операций репо и депозитных сделок, заключенных на бирже между участниками клиринга с участием КО-ЦК, включая как обязательства по возврату денежных средств, так и обязательства по возврату ценных бумаг, возникающие в рамках операций репо.</w:t>
      </w:r>
    </w:p>
    <w:p>
      <w:pPr>
        <w:pStyle w:val="BodyText"/>
      </w:pPr>
      <w:r>
        <w:t xml:space="preserve">Подлежат ли отражению в разделе III отчетности по форме 0409501 сведения о средствах, размещенных в рамках операций репо и депозитных сделок, заключаемых на бирже с участием КО-ЦК?</w:t>
      </w:r>
    </w:p>
    <w:p>
      <w:pPr>
        <w:pStyle w:val="BodyText"/>
      </w:pPr>
      <w:r>
        <w:t xml:space="preserve">Обновлено: 14.04.2026</w:t>
      </w:r>
    </w:p>
    <w:p>
      <w:pPr>
        <w:pStyle w:val="BodyText"/>
      </w:pPr>
      <w:r>
        <w:t xml:space="preserve">Размещенные средства включению в раздел III отчетности по форме 0409501 не подлежат.</w:t>
      </w:r>
    </w:p>
    <w:p>
      <w:pPr>
        <w:pStyle w:val="BodyText"/>
      </w:pPr>
      <w:r>
        <w:t xml:space="preserve">Какие балансовые счета подлежат отражению в графе 5 «Номер балансового счета, на котором отражены привлеченные (размещенные) средства» раздела III отчетности по форме 0409501?</w:t>
      </w:r>
    </w:p>
    <w:p>
      <w:pPr>
        <w:pStyle w:val="BodyText"/>
      </w:pPr>
      <w:r>
        <w:t xml:space="preserve">Обновлено: 14.04.2026</w:t>
      </w:r>
    </w:p>
    <w:p>
      <w:pPr>
        <w:pStyle w:val="BodyText"/>
      </w:pPr>
      <w:r>
        <w:t xml:space="preserve">В графе 5 указываются балансовые счета второго порядка по учету средств, поступивших от КО-ЦК (подлежащих возврату КО-ЦК) в рамках указанных операций (сделок), например, № 313 «Кредиты и депозиты, полученные кредитными организациями от кредитных организаций», № 315 «Прочие привлеченные средства кредитных организаций». При этом в графе 2 указывается наименование КО-ЦК.</w:t>
      </w:r>
    </w:p>
    <w:p>
      <w:pPr>
        <w:pStyle w:val="BodyText"/>
      </w:pPr>
      <w:r>
        <w:t xml:space="preserve">о маржевых суммах, являющихся обеспечением по сделкам с производными финансовыми инструментами (ПФИ) и отраженных на балансовых счетах № 31601 «Прочие привлеченные средства банков-нерезидентов до востребования» и № 32301 «Прочие размещенные средства в банках-нерезидентах до востребования»;</w:t>
      </w:r>
    </w:p>
    <w:p>
      <w:pPr>
        <w:pStyle w:val="BodyText"/>
      </w:pPr>
      <w:r>
        <w:t xml:space="preserve">о внебиржевых сделках ПФИ, клиринг которых осуществляется с привлечением КО-ЦК;</w:t>
      </w:r>
    </w:p>
    <w:p>
      <w:pPr>
        <w:pStyle w:val="BodyText"/>
      </w:pPr>
      <w:r>
        <w:t xml:space="preserve">об обязательствах в рамках совершения валютных свопов, заключенных на рынке стандартизированных ПФИ?</w:t>
      </w:r>
    </w:p>
    <w:p>
      <w:pPr>
        <w:pStyle w:val="BodyText"/>
      </w:pPr>
      <w:r>
        <w:t xml:space="preserve">Обновлено: 14.04.2026</w:t>
      </w:r>
    </w:p>
    <w:p>
      <w:pPr>
        <w:pStyle w:val="BodyText"/>
      </w:pPr>
      <w:r>
        <w:t xml:space="preserve">Обязательства кредитных организаций по операциям с ПФИ, а также маржевые суммы по ним отражению в разделе III отчетности по форме 0409501, Сведениях о средних остатках по коду обозначения 501002 не подлежат.</w:t>
      </w:r>
    </w:p>
    <w:p>
      <w:pPr>
        <w:pStyle w:val="BodyText"/>
      </w:pPr>
      <w:r>
        <w:t xml:space="preserve">Подлежит ли отражению в разделе III отчетности по форме 0409501, Сведениях о средних остатках по коду обозначения 501002 информация о сделках с КО-КЦ на бирже, совершенных КО-ЦК в собственных интересах?</w:t>
      </w:r>
    </w:p>
    <w:p>
      <w:pPr>
        <w:pStyle w:val="BodyText"/>
      </w:pPr>
      <w:r>
        <w:t xml:space="preserve">Обновлено: 14.04.2026</w:t>
      </w:r>
    </w:p>
    <w:p>
      <w:pPr>
        <w:pStyle w:val="BodyText"/>
      </w:pPr>
      <w:r>
        <w:t xml:space="preserve">Обязательства кредитных организаций, возникающие в рамках двусторонних операций (сделок), совершенных КО-ЦК исключительно в собственных интересах, отражению в разделе III отчетности по форме 0409501, Сведениях о средних остатках по коду обозначения 501002 не подлежат.</w:t>
      </w:r>
    </w:p>
    <w:p>
      <w:pPr>
        <w:pStyle w:val="BodyText"/>
      </w:pPr>
      <w:r>
        <w:t xml:space="preserve">Подлежит ли отражению в разделе III отчетности по форме 0409501, Сведениях о средних остатках по коду обозначения 501002 информация по следующим видам сделок:</w:t>
      </w:r>
    </w:p>
    <w:p>
      <w:pPr>
        <w:pStyle w:val="BodyText"/>
      </w:pPr>
      <w:r>
        <w:t xml:space="preserve">биржевые сделки с КО-ЦК – сделки, по которым КО-ЦК выступает как в качестве непосредственного контрагента, так и клиринговой организации;</w:t>
      </w:r>
    </w:p>
    <w:p>
      <w:pPr>
        <w:pStyle w:val="BodyText"/>
      </w:pPr>
      <w:r>
        <w:t xml:space="preserve">биржевые сделки с клирингом КО-ЦК – сделки, по которым КО-ЦК выступает исключительно в качестве клиринговой организации, контрагентами при этом являются другие участники клиринга. Пример таких сделок – сделки репо, заключенные в режиме переговорных сделок с другими лицами, не являющимися КО-ЦК?</w:t>
      </w:r>
    </w:p>
    <w:p>
      <w:pPr>
        <w:pStyle w:val="BodyText"/>
      </w:pPr>
      <w:r>
        <w:t xml:space="preserve">Обновлено: 14.04.2026</w:t>
      </w:r>
    </w:p>
    <w:p>
      <w:pPr>
        <w:pStyle w:val="BodyText"/>
      </w:pPr>
      <w:r>
        <w:t xml:space="preserve">В раздел III отчетности по форме 0409501, Сведения о средних остатках по коду обозначения 501002 включаются обязательства, возникающие в рамках совершения операций репо и депозитных сделок, заключенных на бирже между участниками клиринга с участием КО-ЦК, то есть трехсторонних операций (сделок), как безадресных, так и адресных (в том числе совершенных с другой кредитной организацией).</w:t>
      </w:r>
    </w:p>
    <w:p>
      <w:pPr>
        <w:pStyle w:val="BodyText"/>
      </w:pPr>
      <w:r>
        <w:t xml:space="preserve">Обязательства кредитных организаций, возникающие в рамках указанных операций (сделок) с участием КО-ЦК, совершающего операции не в собственных интересах, а в целях осуществления клиринга (как с выполнением функций ЦК, так и без выполнения функций ЦК), подлежат включению в раздел III отчетности по форме 0409501, Сведения о средних остатках по коду обозначения 501002.</w:t>
      </w:r>
    </w:p>
    <w:p>
      <w:pPr>
        <w:pStyle w:val="BodyText"/>
      </w:pPr>
      <w:r>
        <w:t xml:space="preserve">При определении величины по коду 501002 кредитная организация не применяет коэффициент по операциям с участием КО-ЦК. Указанный коэффициент будет применен Банком России при расчете размера обязательных резервов в целях исключения межбанковских обязательств, возникающих в рамках операций (сделок) с участием КО-ЦК.</w:t>
      </w:r>
    </w:p>
    <w:p>
      <w:pPr>
        <w:pStyle w:val="BodyText"/>
      </w:pPr>
      <w:r>
        <w:t xml:space="preserve">Порядок составления Сведений о средних остатках</w:t>
      </w:r>
    </w:p>
    <w:p>
      <w:pPr>
        <w:pStyle w:val="BodyText"/>
      </w:pPr>
      <w:r>
        <w:t xml:space="preserve">При формировании Сведений о средних остатках может ли кредитная организация исключать из состава резервируемых обязательств обязательства перед другими кредитными организациями или Банком России по уплате процентов?</w:t>
      </w:r>
    </w:p>
    <w:p>
      <w:pPr>
        <w:pStyle w:val="BodyText"/>
      </w:pPr>
      <w:r>
        <w:t xml:space="preserve">Обновлено: 14.04.2026</w:t>
      </w:r>
    </w:p>
    <w:p>
      <w:pPr>
        <w:pStyle w:val="BodyText"/>
      </w:pPr>
      <w:r>
        <w:t xml:space="preserve">В Сведения о средних остатках включаются остатки балансовых счетов в целом. Включение в состав (исключение из состава) резервируемых обязательств кредитных организаций обязательств в размере части балансового счета (по лицевым счетам) отменено (за исключением случаев, предусмотренных Положением Банка России № 852-П или установленных решением Совета директоров Банка России).</w:t>
      </w:r>
    </w:p>
    <w:p>
      <w:pPr>
        <w:pStyle w:val="BodyText"/>
      </w:pPr>
      <w:r>
        <w:t xml:space="preserve">Как определять валюты недружественных стран для составления Сведений о средних остатках?</w:t>
      </w:r>
    </w:p>
    <w:p>
      <w:pPr>
        <w:pStyle w:val="BodyText"/>
      </w:pPr>
      <w:r>
        <w:t xml:space="preserve">Обновлено: 14.04.2026</w:t>
      </w:r>
    </w:p>
    <w:p>
      <w:pPr>
        <w:pStyle w:val="BodyText"/>
      </w:pPr>
      <w:r>
        <w:t xml:space="preserve">Список валют недружественных стран, используемый для составления кредитными организациями Сведений о средних остатках, размещается на официальном сайте Банка России – приложение к решению Совета директоров Банка России от 25 июля 2025 года.</w:t>
      </w:r>
    </w:p>
    <w:p>
      <w:pPr>
        <w:pStyle w:val="BodyText"/>
      </w:pPr>
      <w:r>
        <w:t xml:space="preserve">Указанный список также тиражируется в кредитные организации в виде справочника валют недружественных стран в составе нормативно-справочной информации (файл CURUNCOU.DBF).</w:t>
      </w:r>
    </w:p>
    <w:p>
      <w:pPr>
        <w:pStyle w:val="BodyText"/>
      </w:pPr>
      <w:r>
        <w:t xml:space="preserve">Допустимо ли расширение кредитной организацией списка валют недружественных стран, используемого для составления Сведений о средних остатках, валютами, выведенными из обращения по причине вхождения страны-эмитента в еврозону и замены национальных валют на евро, или обязательства в таких валютах не относятся к обязательствам в валютах недружественных стран?</w:t>
      </w:r>
    </w:p>
    <w:p>
      <w:pPr>
        <w:pStyle w:val="BodyText"/>
      </w:pPr>
      <w:r>
        <w:t xml:space="preserve">Обновлено: 14.04.2026</w:t>
      </w:r>
    </w:p>
    <w:p>
      <w:pPr>
        <w:pStyle w:val="BodyText"/>
      </w:pPr>
      <w:r>
        <w:t xml:space="preserve">Банк России составляет список валют недружественных стран на основании перечня иностранных государств и территорий, совершающих в отношении Российской Федерации, российских юридических лиц и физических лиц недружественные действия, утвержденного распоряжением Правительства Российской Федерации от 05.03.2022 № 430‑р, с учетом необходимости ограничения объема операций в валютах недружественных стран и изменения структуры валютных пассивов кредитных организаций в пользу валют дружественных стран.</w:t>
      </w:r>
    </w:p>
    <w:p>
      <w:pPr>
        <w:pStyle w:val="BodyText"/>
      </w:pPr>
      <w:r>
        <w:t xml:space="preserve">В связи с этим выведенные из обращения валюты в указанный список валют недружественных стран не входят.</w:t>
      </w:r>
    </w:p>
    <w:p>
      <w:pPr>
        <w:pStyle w:val="BodyText"/>
      </w:pPr>
      <w:r>
        <w:t xml:space="preserve">Необходимо ли включать в Сведения о средних остатках обязательства по операциям в драгметаллах с учетом вступления в силу Указания Банка России от 10.04.2023 № 6406-У?</w:t>
      </w:r>
    </w:p>
    <w:p>
      <w:pPr>
        <w:pStyle w:val="BodyText"/>
      </w:pPr>
      <w:r>
        <w:t xml:space="preserve">Обновлено: 14.04.2026</w:t>
      </w:r>
    </w:p>
    <w:p>
      <w:pPr>
        <w:pStyle w:val="BodyText"/>
      </w:pPr>
      <w:r>
        <w:t xml:space="preserve">Пунктом 1.1 Положения Банка России № 852-П предусмотрено, что выполнение обязательных резервных требований осуществляется в отношении обязательств в валюте Российской Федерации и в иностранной валюте.</w:t>
      </w:r>
    </w:p>
    <w:p>
      <w:pPr>
        <w:pStyle w:val="BodyText"/>
      </w:pPr>
      <w:r>
        <w:t xml:space="preserve">В соответствии с пунктом 2.1.2 Положения Банка России № 852-П Сведения о средних остатках составляются на основании данных бухгалтерских балансов кредитных организаций, при этом среднемесячные остатки указываются отдельно в валюте Российской Федерации и в иностранной валюте.</w:t>
      </w:r>
    </w:p>
    <w:p>
      <w:pPr>
        <w:pStyle w:val="BodyText"/>
      </w:pPr>
      <w:r>
        <w:t xml:space="preserve">В графах 3 и 4 Сведений о средних остатках подлежат отражению среднемесячные остатки балансовых счетов кредитных организаций в иностранной валюте.</w:t>
      </w:r>
    </w:p>
    <w:p>
      <w:pPr>
        <w:pStyle w:val="BodyText"/>
      </w:pPr>
      <w:r>
        <w:t xml:space="preserve">Включение в Сведения о средних остатках остатков балансовых счетов в драгоценных металлах с учетом изменений, внесенных Указанием Банка России от 10.04.2023 № 6406-У в отчетность по форме 0409101, касающихся отдельного отражения в ней сумм в золоте и иных драгоценных металлах по балансовым счетам, не требуется.</w:t>
      </w:r>
    </w:p>
    <w:p>
      <w:pPr>
        <w:pStyle w:val="BodyText"/>
      </w:pPr>
      <w:r>
        <w:t xml:space="preserve">Порядок формирования кредитными организациями обязательных резервов по цифровым финансовым активам (ЦФА)</w:t>
      </w:r>
    </w:p>
    <w:p>
      <w:pPr>
        <w:pStyle w:val="BodyText"/>
      </w:pPr>
      <w:r>
        <w:t xml:space="preserve">Подлежат ли включению в состав резервируемых обязательств обязательства кредитной организации в случае выпуска ею ЦФА в качестве эмитента?</w:t>
      </w:r>
    </w:p>
    <w:p>
      <w:pPr>
        <w:pStyle w:val="BodyText"/>
      </w:pPr>
      <w:r>
        <w:t xml:space="preserve">Обновлено: 14.04.2026</w:t>
      </w:r>
    </w:p>
    <w:p>
      <w:pPr>
        <w:pStyle w:val="BodyText"/>
      </w:pPr>
      <w:r>
        <w:t xml:space="preserve">В соответствии с п. 2.1 Положения Банка России № 852-П в перечень балансовых счетов, подлежащих резервированию, включены балансовые счета по учету выпущенных ЦФА.</w:t>
      </w:r>
    </w:p>
    <w:p>
      <w:pPr>
        <w:pStyle w:val="BodyText"/>
      </w:pPr>
      <w:r>
        <w:t xml:space="preserve">Порядок формирования обязательных резервов по иностранным ценным бумагам</w:t>
      </w:r>
    </w:p>
    <w:p>
      <w:pPr>
        <w:pStyle w:val="BodyText"/>
      </w:pPr>
      <w:r>
        <w:t xml:space="preserve">Вправе ли кредитные организации при составлении Сведений о средних остатках относить к иностранным следующие ценные бумаги:</w:t>
      </w:r>
    </w:p>
    <w:p>
      <w:pPr>
        <w:pStyle w:val="BodyText"/>
      </w:pPr>
      <w:r>
        <w:t xml:space="preserve">еврооблигации, выпущенные с использованием посредников (юридических лиц – нерезидентов, так называемых SPV – special purpose vehicle, компаний специального назначения, выступающих в роли заемщика), бенефициаром которых являются российские юридические лица;</w:t>
      </w:r>
    </w:p>
    <w:p>
      <w:pPr>
        <w:pStyle w:val="BodyText"/>
      </w:pPr>
      <w:r>
        <w:t xml:space="preserve">еврооблигации, головным депозитарием которых являются международные расчетно-клиринговые организации, а бенефициаром – российские юридические лица (ISIN выпуска таких еврооблигаций начинается с «XS», «CH»)?</w:t>
      </w:r>
    </w:p>
    <w:p>
      <w:pPr>
        <w:pStyle w:val="BodyText"/>
      </w:pPr>
      <w:r>
        <w:t xml:space="preserve">Обновлено: 14.04.2026</w:t>
      </w:r>
    </w:p>
    <w:p>
      <w:pPr>
        <w:pStyle w:val="BodyText"/>
      </w:pPr>
      <w:r>
        <w:t xml:space="preserve">В целях составления кредитными организациями Сведений о средних остатках указанные ценные бумаги возможно рассматривать в качестве иностранных и, соответственно, обязательства, возникающие по расчетам по таким ценным бумагам, заблокированным международными расчетно-клиринговыми организациями и (или) иными иностранными финансовыми организациями, не включать в состав резервируемых обязательств кредитных организаций в соответствии с пунктом 2.8 Положения Банка России № 852-П.</w:t>
      </w:r>
    </w:p>
    <w:p>
      <w:pPr>
        <w:pStyle w:val="BodyText"/>
      </w:pPr>
      <w:r>
        <w:t xml:space="preserve">Вправе ли кредитные организации отражать по коду обозначения 474221 суммы купонного дохода по сделкам по иностранным ценным бумагам при расчетах с банком-резидентом, заблокированные международной расчетно-клиринговой организацией, числящиеся на отдельных лицевых счетах балансового счета № 47422 «Обязательства по прочим операциям»?</w:t>
      </w:r>
    </w:p>
    <w:p>
      <w:pPr>
        <w:pStyle w:val="BodyText"/>
      </w:pPr>
      <w:r>
        <w:t xml:space="preserve">Обновлено: 14.04.2026</w:t>
      </w:r>
    </w:p>
    <w:p>
      <w:pPr>
        <w:pStyle w:val="BodyText"/>
      </w:pPr>
      <w:r>
        <w:t xml:space="preserve">Пунктом 2.8 Положения Банка России № 852-П установлена норма о возможности исключения обязательств, возникающих по расчетам по иностранным ценным бумагам, заблокированным международными расчетно-клиринговыми организациями, из состава резервируемых обязательств по коду обозначения 474221.</w:t>
      </w:r>
    </w:p>
    <w:p>
      <w:pPr>
        <w:pStyle w:val="BodyText"/>
      </w:pPr>
      <w:r>
        <w:t xml:space="preserve">При этом указанные обязательства должны быть полностью включены кредитной организацией в расчет среднего остатка по балансовому счету № 47422 «Обязательства по прочим операциям».</w:t>
      </w:r>
    </w:p>
    <w:p>
      <w:pPr>
        <w:pStyle w:val="BodyText"/>
      </w:pPr>
      <w:r>
        <w:t xml:space="preserve">Предложения</w:t>
      </w:r>
    </w:p>
    <w:p>
      <w:pPr>
        <w:pStyle w:val="BodyText"/>
      </w:pPr>
      <w:r>
        <w:t xml:space="preserve">Предусмотреть исключение при расчете размера обязательных резервов наличных денежных средств в иностранной валюте в кассе кредитной организации (аналогично подходу, применяемому в отношении наличных денежных средств в валюте Российской Федерации).</w:t>
      </w:r>
    </w:p>
    <w:p>
      <w:pPr>
        <w:pStyle w:val="BodyText"/>
      </w:pPr>
      <w:r>
        <w:t xml:space="preserve">Включить остатки на корреспондентских и депозитных счетах в иностранной валюте, открытых в Банке России, в счет выполнения обязанности по усреднению обязательных резервов.</w:t>
      </w:r>
    </w:p>
    <w:p>
      <w:pPr>
        <w:pStyle w:val="BodyText"/>
      </w:pPr>
      <w:r>
        <w:t xml:space="preserve">Предусмотреть формирование обязательных резервов в валюте обязательств, либо отменить формирование обязательных резервов по обязательствам в иностранной валюте.</w:t>
      </w:r>
    </w:p>
    <w:p>
      <w:pPr>
        <w:pStyle w:val="BodyText"/>
      </w:pPr>
      <w:r>
        <w:t xml:space="preserve">Обновлено: 14.04.2026</w:t>
      </w:r>
    </w:p>
    <w:p>
      <w:pPr>
        <w:pStyle w:val="BodyText"/>
      </w:pPr>
      <w:r>
        <w:t xml:space="preserve">Основной целью применения обязательных резервных требований является формирование устойчивого и предсказуемого спроса кредитных организаций на средства на их корреспондентских счетах. Это способствует снижению волатильности процентных ставок, повышению эффективности процентной политики Банка России и достижению операционной цели – сближению краткосрочных ставок денежного рынка с ключевой ставкой Банка России (поддержанию ставки RUONIA вблизи ключевой ставки Банка России).</w:t>
      </w:r>
    </w:p>
    <w:p>
      <w:pPr>
        <w:pStyle w:val="BodyText"/>
      </w:pPr>
      <w:r>
        <w:t xml:space="preserve">Также Банк России использует обязательные резервные требования в целях девалютизации балансов кредитных организаций.</w:t>
      </w:r>
    </w:p>
    <w:p>
      <w:pPr>
        <w:pStyle w:val="BodyText"/>
      </w:pPr>
      <w:r>
        <w:t xml:space="preserve">Реализация указанных предложений приведет к снижению эффективности данного инструмента денежно-кредитной политики, а также ранее принятых Банком России мер, направленных на девалютизацию банковского сектора.</w:t>
      </w:r>
    </w:p>
    <w:p>
      <w:pPr>
        <w:pStyle w:val="BodyText"/>
      </w:pPr>
      <w:r>
        <w:t xml:space="preserve">Отменить формирование обязательных резервов по долгосрочным несубординированным облигациям банков, что позволит повысить доступность долгосрочных источников фондирования в условиях их ограниченного предложения в связи со сложной макроэкономической ситуацией.</w:t>
      </w:r>
    </w:p>
    <w:p>
      <w:pPr>
        <w:pStyle w:val="BodyText"/>
      </w:pPr>
      <w:r>
        <w:t xml:space="preserve">Обновлено: 14.04.2026</w:t>
      </w:r>
    </w:p>
    <w:p>
      <w:pPr>
        <w:pStyle w:val="BodyText"/>
      </w:pPr>
      <w:r>
        <w:t xml:space="preserve">Банк России стремится отказаться от наделения обязательных резервных требований иными функциями, несвойственными данному механизму, в частности, функциями стимулирования отдельных сегментов рынка.</w:t>
      </w:r>
    </w:p>
    <w:p>
      <w:pPr>
        <w:pStyle w:val="BodyText"/>
      </w:pPr>
      <w:r>
        <w:t xml:space="preserve">Применение разных подходов к резервированию обязательств кредитных организаций, введение особенностей в зависимости от вида или срочности обязательств противоречит целям применения обязательных резервных требований, избыточно усложнит расчет размера обязательных резервов, а также сформирует смешанные сигналы на рынке относительно стоимости привлеченных средств, снизит эффективность трансмиссии ключевой ставки в экономике, что может помешать достижению цели Банка России по инфляции.</w:t>
      </w:r>
    </w:p>
    <w:p>
      <w:pPr>
        <w:pStyle w:val="BodyText"/>
      </w:pPr>
      <w:r>
        <w:t xml:space="preserve">Ввести уплату процентов по обязательным резервам кредитных организаций.</w:t>
      </w:r>
    </w:p>
    <w:p>
      <w:pPr>
        <w:pStyle w:val="BodyText"/>
      </w:pPr>
      <w:r>
        <w:t xml:space="preserve">Обновлено: 14.04.2026</w:t>
      </w:r>
    </w:p>
    <w:p>
      <w:pPr>
        <w:pStyle w:val="BodyText"/>
      </w:pPr>
      <w:r>
        <w:t xml:space="preserve">Банк России управляет процентными ставками в рамках процентного коридора и располагает широким перечнем эффективных инструментов денежно-кредитной политики. В этих условиях у Банка России отсутствует необходимость введения оплачиваемых обязательных резервов.</w:t>
      </w:r>
    </w:p>
    <w:p>
      <w:pPr>
        <w:pStyle w:val="BodyText"/>
      </w:pPr>
      <w:r>
        <w:t xml:space="preserve">Банк России использует обязательные резервные требования в целях формирования устойчивого и предсказуемого спроса кредитных организаций на средства на их корреспондентских счетах. Для эффективной реализации данного инструмента в экономике с положительными процентными ставками нет необходимости вводить плату на обязательные резервы.</w:t>
      </w:r>
    </w:p>
    <w:p>
      <w:pPr>
        <w:pStyle w:val="BodyText"/>
      </w:pPr>
      <w:r>
        <w:t xml:space="preserve">Неоплачиваемый характер обязательных резервов также позволяет Банку России использовать данный инструмент в целях девалютизации балансов кредитных организаций. Действие этого механизма связано с применением повышенных нормативов обязательных резервов по обязательствам в иностранной валюте. В результате у кредитных организаций формируются дополнительные издержки при привлечении средств в иностранной валюте, их привлекательность как источника формирования ресурсной базы снижается. Начисление процентов на обязательные резервы нивелирует этот эффект.</w:t>
      </w:r>
    </w:p>
    <w:p>
      <w:pPr>
        <w:pStyle w:val="BodyText"/>
      </w:pPr>
      <w:r>
        <w:t xml:space="preserve">Также существуют законодательные ограничения – возможность уплаты процентов по обязательным резервам не предусмотрена Федеральным законом от 10.07.2002 № 86-ФЗ «О Центральном банке Российской Федерации (Банке России)».</w:t>
      </w:r>
    </w:p>
    <w:p>
      <w:pPr>
        <w:pStyle w:val="BodyText"/>
      </w:pPr>
      <w:r>
        <w:t xml:space="preserve">Предусмотреть уменьшение обязательных резервов, депонируемых на территории Российской Федерации, на объем обязательных резервов, которые формируются зарубежным филиалом кредитной организации в соответствии с законодательством страны места нахождения филиала.</w:t>
      </w:r>
    </w:p>
    <w:p>
      <w:pPr>
        <w:pStyle w:val="BodyText"/>
      </w:pPr>
      <w:r>
        <w:t xml:space="preserve">Обновлено: 14.04.2026</w:t>
      </w:r>
    </w:p>
    <w:p>
      <w:pPr>
        <w:pStyle w:val="BodyText"/>
      </w:pPr>
      <w:r>
        <w:t xml:space="preserve">В целях упрощения и повышения прозрачности расчета размера обязательных резервов кредитных организаций в рамках Положения Банка России № 753-П были изменены подходы к определению состава резервируемых обязательств кредитных организаций. В частности, минимизированы отдельные исключения при определении величины резервируемых обязательств (в том числе отменена норма о невключении в состав резервируемых обязательств кредитной организации данных зарубежного филиала, выполняющего обязательные резервные требования в соответствии с законодательством страны места нахождения филиала).</w:t>
      </w:r>
    </w:p>
    <w:p>
      <w:pPr>
        <w:pStyle w:val="BodyText"/>
      </w:pPr>
      <w:r>
        <w:t xml:space="preserve">Одновременно в целях нейтрализации роста величины резервируемых обязательств в связи с их расчетом по новому порядку были снижены нормативы обязательных резервов.</w:t>
      </w:r>
    </w:p>
    <w:p>
      <w:pPr>
        <w:pStyle w:val="BodyText"/>
      </w:pPr>
      <w:r>
        <w:t xml:space="preserve">Данные изменения были реализованы в том числе в целях снижения нагрузки на кредитные организации, сокращения количества ошибок со стороны кредитных организаций и случаев применения штрафов за нарушение кредитными организациями обязательных резервных требований.</w:t>
      </w:r>
    </w:p>
    <w:p>
      <w:pPr>
        <w:pStyle w:val="BodyText"/>
      </w:pPr>
      <w:r>
        <w:t xml:space="preserve">Также следует отметить, что предлагаемый подход может привести к необоснованному занижению величины обязательных резервов с учетом разных подходов к определению состава резервируемых обязательств и разного уровня нормативов обязательных резервов, применяемых Банком России и центральными банками зарубежных стран.</w:t>
      </w:r>
    </w:p>
    <w:p>
      <w:pPr>
        <w:pStyle w:val="BodyText"/>
      </w:pPr>
      <w:r>
        <w:t xml:space="preserve">Этот подход сохранился и в Положении Банка России 852-П.</w:t>
      </w:r>
    </w:p>
    <w:p>
      <w:pPr>
        <w:pStyle w:val="BodyText"/>
      </w:pPr>
      <w:r>
        <w:t xml:space="preserve">Отменить депонирование средств на счетах по учету обязательных резервов кредитных организаций, т.е. перейти на 100%-ное усреднение.</w:t>
      </w:r>
    </w:p>
    <w:p>
      <w:pPr>
        <w:pStyle w:val="BodyText"/>
      </w:pPr>
      <w:r>
        <w:t xml:space="preserve">Обновлено: 14.04.2026</w:t>
      </w:r>
    </w:p>
    <w:p>
      <w:pPr>
        <w:pStyle w:val="BodyText"/>
      </w:pPr>
      <w:r>
        <w:t xml:space="preserve">В перспективе Банк России рассматривает возможность перехода к 100%-ому усреднению обязательных резервов.</w:t>
      </w:r>
    </w:p>
    <w:p>
      <w:pPr>
        <w:pStyle w:val="BodyText"/>
      </w:pPr>
      <w:r>
        <w:t xml:space="preserve">На сайте Банка России используются файлы cookie</w:t>
      </w:r>
    </w:p>
    <w:p>
      <w:pPr>
        <w:pStyle w:val="BodyText"/>
      </w:pPr>
      <w:r>
        <w:t xml:space="preserve">Оставаясь на www.cbr.ru , вы принимаете пользовательское соглашение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2026-09-27T11:01:32Z</dcterms:created>
  <dcterms:modified xsi:type="dcterms:W3CDTF">2026-09-27T11:01:32Z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