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482b89e659dccaa543dc8d4af48338d8dbc1347"/>
    <w:p>
      <w:pPr>
        <w:pStyle w:val="Heading1"/>
      </w:pPr>
      <w:r>
        <w:t xml:space="preserve">Отчетность по форме 0409112 «Отдельные показатели кредитного риска по кредитам, предоставленным юридическим лицам»</w:t>
      </w:r>
    </w:p>
    <w:p>
      <w:pPr>
        <w:pStyle w:val="FirstParagraph"/>
      </w:pPr>
      <w:r>
        <w:t xml:space="preserve">Отчетность по форме 0409112 «Отдельные показатели кредитного риска по кредитам, предоставленным юридическим лицам»</w:t>
      </w:r>
    </w:p>
    <w:p>
      <w:pPr>
        <w:pStyle w:val="BodyText"/>
      </w:pPr>
      <w:r>
        <w:t xml:space="preserve">Общие вопросы</w:t>
      </w:r>
    </w:p>
    <w:p>
      <w:pPr>
        <w:pStyle w:val="BodyText"/>
      </w:pPr>
      <w:r>
        <w:t xml:space="preserve">Правильно ли, что во всех разделах форы 0409112 необходимо показывать только те транши, по которым на отчетную дату есть остаток? Если на отчетную дату остатка нет, такой транш не подлежит отражению в 0409112 форме в отличие от 303, по которой необходимо показать в том числе и ссуды, действующие на начало месяца, но погашенные в течение месяца?</w:t>
      </w:r>
    </w:p>
    <w:p>
      <w:pPr>
        <w:pStyle w:val="BodyText"/>
      </w:pPr>
      <w:r>
        <w:t xml:space="preserve">Обновлено: 11.09.2023</w:t>
      </w:r>
    </w:p>
    <w:p>
      <w:pPr>
        <w:pStyle w:val="BodyText"/>
      </w:pPr>
      <w:r>
        <w:t xml:space="preserve">Неверно.</w:t>
      </w:r>
    </w:p>
    <w:p>
      <w:pPr>
        <w:pStyle w:val="BodyText"/>
      </w:pPr>
      <w:r>
        <w:t xml:space="preserve">Для разделов 1, 2, 3 следует приводить информацию по всем кредитным договорам и траншам, указанным в форме 0409303 независимо от наличия остатков балансовой задолженности или неиспользованных лимитов по ним. Такая информация может представлять либо нулевые величины кредитного риска, выраженного в деньгах (Раздел 1), либо ненулевые значения категориальных признаков (Раздел 2), которые заполняются по тем характеристикам, которые соответствуют в отчетном периоде кредитному договору и его траншам, отраженным в форме 0409303. Для Раздела 3 возможно не заполнять те графы, по которым отсутствует необходимая информация для определения значения по таким траншам. При этом, если установлены одинаковые условия договора, учет ведется в целом по кредитной линии (а не по отдельным траншам) и значения показателей для всех траншей в рамках кредитной линии совпадают, то графы 3, 5-8, 11-13 Раздела 3 могут не заполняться по траншевым строкам.</w:t>
      </w:r>
    </w:p>
    <w:p>
      <w:pPr>
        <w:pStyle w:val="BodyText"/>
      </w:pPr>
      <w:r>
        <w:t xml:space="preserve">Кроме того, Раздел 4 имеет отличный порядок и не заполняется в случае отсутствия договоров о предоставлении ссуд, активов и условных обязательств кредитного характера на отчетную дату.</w:t>
      </w:r>
    </w:p>
    <w:p>
      <w:pPr>
        <w:pStyle w:val="BodyText"/>
      </w:pPr>
      <w:r>
        <w:t xml:space="preserve">В банке есть договора, в рамках которых неиспользованный лимит может быть выбран несколькими перечисленными в договоре клиентами. В форме 0409303 такие договора повторяются столько раз, сколько потенциальных заемщиков указано в договоре. Кредитный риск в части неиспользованного лимита Банк считает на клиента с наихудшим рейтингом (внутренняя оценка Банка).</w:t>
      </w:r>
    </w:p>
    <w:p>
      <w:pPr>
        <w:pStyle w:val="BodyText"/>
      </w:pPr>
      <w:r>
        <w:t xml:space="preserve">Пример:</w:t>
      </w:r>
    </w:p>
    <w:p>
      <w:pPr>
        <w:pStyle w:val="BodyText"/>
      </w:pPr>
      <w:r>
        <w:t xml:space="preserve">Кредитный договор на сумму 100 руб. подписан с 3-мя клиентами, номера клиентов в базе Банка 1, 2, 3.</w:t>
      </w:r>
    </w:p>
    <w:p>
      <w:pPr>
        <w:pStyle w:val="BodyText"/>
      </w:pPr>
      <w:r>
        <w:t xml:space="preserve">Клиент 2 выбрал 20 руб.,</w:t>
      </w:r>
    </w:p>
    <w:p>
      <w:pPr>
        <w:pStyle w:val="BodyText"/>
      </w:pPr>
      <w:r>
        <w:t xml:space="preserve">Клиент 1 имеет наихудший рейтинг</w:t>
      </w:r>
    </w:p>
    <w:p>
      <w:pPr>
        <w:pStyle w:val="BodyText"/>
      </w:pPr>
      <w:r>
        <w:t xml:space="preserve">После выборки:</w:t>
      </w:r>
    </w:p>
    <w:p>
      <w:pPr>
        <w:pStyle w:val="BodyText"/>
      </w:pPr>
      <w:r>
        <w:t xml:space="preserve">остаток невыбранного лимита составил 80р.</w:t>
      </w:r>
    </w:p>
    <w:p>
      <w:pPr>
        <w:pStyle w:val="BodyText"/>
      </w:pPr>
      <w:r>
        <w:t xml:space="preserve">остаток задолженности, отраженной по клиенту 2 составил 20 руб.</w:t>
      </w:r>
    </w:p>
    <w:p>
      <w:pPr>
        <w:pStyle w:val="BodyText"/>
      </w:pPr>
      <w:r>
        <w:t xml:space="preserve">кредитный риск по невыбранному лимиту — 8 руб.,</w:t>
      </w:r>
    </w:p>
    <w:p>
      <w:pPr>
        <w:pStyle w:val="BodyText"/>
      </w:pPr>
      <w:r>
        <w:t xml:space="preserve">кредитный риск по ссудной задолженности — 20 руб.</w:t>
      </w:r>
    </w:p>
    <w:p>
      <w:pPr>
        <w:pStyle w:val="BodyText"/>
      </w:pPr>
      <w:r>
        <w:t xml:space="preserve">XXXX — ID договора</w:t>
      </w:r>
    </w:p>
    <w:p>
      <w:pPr>
        <w:pStyle w:val="BodyText"/>
      </w:pPr>
      <w:r>
        <w:t xml:space="preserve">Отражение в форме 303:</w:t>
      </w:r>
    </w:p>
    <w:p>
      <w:pPr>
        <w:pStyle w:val="BodyText"/>
      </w:pPr>
      <w:r>
        <w:t xml:space="preserve">Основная строка (договор)</w:t>
      </w:r>
    </w:p>
    <w:p>
      <w:pPr>
        <w:pStyle w:val="BodyText"/>
      </w:pPr>
      <w:r>
        <w:t xml:space="preserve">XXXX_1</w:t>
      </w:r>
    </w:p>
    <w:p>
      <w:pPr>
        <w:pStyle w:val="BodyText"/>
      </w:pPr>
      <w:r>
        <w:t xml:space="preserve">Основная строка (договор)</w:t>
      </w:r>
    </w:p>
    <w:p>
      <w:pPr>
        <w:pStyle w:val="BodyText"/>
      </w:pPr>
      <w:r>
        <w:t xml:space="preserve">XXXX_2</w:t>
      </w:r>
    </w:p>
    <w:p>
      <w:pPr>
        <w:pStyle w:val="BodyText"/>
      </w:pPr>
      <w:r>
        <w:t xml:space="preserve">Строка с информацией о транше</w:t>
      </w:r>
    </w:p>
    <w:p>
      <w:pPr>
        <w:pStyle w:val="BodyText"/>
      </w:pPr>
      <w:r>
        <w:t xml:space="preserve">XXXX_2</w:t>
      </w:r>
    </w:p>
    <w:p>
      <w:pPr>
        <w:pStyle w:val="BodyText"/>
      </w:pPr>
      <w:r>
        <w:t xml:space="preserve">YYY</w:t>
      </w:r>
    </w:p>
    <w:p>
      <w:pPr>
        <w:pStyle w:val="BodyText"/>
      </w:pPr>
      <w:r>
        <w:t xml:space="preserve">Основная строка (договор)</w:t>
      </w:r>
    </w:p>
    <w:p>
      <w:pPr>
        <w:pStyle w:val="BodyText"/>
      </w:pPr>
      <w:r>
        <w:t xml:space="preserve">XXXX_3</w:t>
      </w:r>
    </w:p>
    <w:p>
      <w:pPr>
        <w:pStyle w:val="BodyText"/>
      </w:pPr>
      <w:r>
        <w:t xml:space="preserve">Правильно ли, что в форме 0409112 необходимо показать неиспользованный лимит по клиенту с наихудшим рейтингом и по клиенту, который выбрал транш по основной строке?</w:t>
      </w:r>
    </w:p>
    <w:p>
      <w:pPr>
        <w:pStyle w:val="BodyText"/>
      </w:pPr>
      <w:r>
        <w:t xml:space="preserve">Каков будет правильный вариант в заполнения формы 0409112?</w:t>
      </w:r>
    </w:p>
    <w:p>
      <w:pPr>
        <w:pStyle w:val="BodyText"/>
      </w:pPr>
      <w:r>
        <w:t xml:space="preserve">Обновлено: 11.09.2023</w:t>
      </w:r>
    </w:p>
    <w:p>
      <w:pPr>
        <w:pStyle w:val="BodyText"/>
      </w:pPr>
      <w:r>
        <w:t xml:space="preserve">Правильным будет отражение в форме 0409112 в Разделе 1, 2, 3 всех строк как основных и траншевых, которые были отражены в форме 0409303</w:t>
      </w:r>
    </w:p>
    <w:p>
      <w:pPr>
        <w:pStyle w:val="BodyText"/>
      </w:pPr>
      <w:r>
        <w:t xml:space="preserve">Основная строка (договор)</w:t>
      </w:r>
    </w:p>
    <w:p>
      <w:pPr>
        <w:pStyle w:val="BodyText"/>
      </w:pPr>
      <w:r>
        <w:t xml:space="preserve">XXXX_1</w:t>
      </w:r>
    </w:p>
    <w:p>
      <w:pPr>
        <w:pStyle w:val="BodyText"/>
      </w:pPr>
      <w:r>
        <w:t xml:space="preserve">Основная строка (договор)</w:t>
      </w:r>
    </w:p>
    <w:p>
      <w:pPr>
        <w:pStyle w:val="BodyText"/>
      </w:pPr>
      <w:r>
        <w:t xml:space="preserve">XXXX_2</w:t>
      </w:r>
    </w:p>
    <w:p>
      <w:pPr>
        <w:pStyle w:val="BodyText"/>
      </w:pPr>
      <w:r>
        <w:t xml:space="preserve">строка с информацией о транше</w:t>
      </w:r>
    </w:p>
    <w:p>
      <w:pPr>
        <w:pStyle w:val="BodyText"/>
      </w:pPr>
      <w:r>
        <w:t xml:space="preserve">XXXX_2</w:t>
      </w:r>
    </w:p>
    <w:p>
      <w:pPr>
        <w:pStyle w:val="BodyText"/>
      </w:pPr>
      <w:r>
        <w:t xml:space="preserve">YYY</w:t>
      </w:r>
    </w:p>
    <w:p>
      <w:pPr>
        <w:pStyle w:val="BodyText"/>
      </w:pPr>
      <w:r>
        <w:t xml:space="preserve">Основная строка (договор)</w:t>
      </w:r>
    </w:p>
    <w:p>
      <w:pPr>
        <w:pStyle w:val="BodyText"/>
      </w:pPr>
      <w:r>
        <w:t xml:space="preserve">XXXX_3</w:t>
      </w:r>
    </w:p>
    <w:p>
      <w:pPr>
        <w:pStyle w:val="BodyText"/>
      </w:pPr>
      <w:r>
        <w:t xml:space="preserve">Подлежат ли отражению в форме 0409112 все сделки включенные в форму 0409303, в том числе сделки РЕПО, аккредитивы, сделки с отсрочкой платежа и прочие сделки с юридическими лицами?</w:t>
      </w:r>
    </w:p>
    <w:p>
      <w:pPr>
        <w:pStyle w:val="BodyText"/>
      </w:pPr>
      <w:r>
        <w:t xml:space="preserve">Обновлено: 11.09.2023</w:t>
      </w:r>
    </w:p>
    <w:p>
      <w:pPr>
        <w:pStyle w:val="BodyText"/>
      </w:pPr>
      <w:r>
        <w:t xml:space="preserve">Верно. Все кредитные договора, отраженные в форме 0409303 подлежат отражению в форме 0409112.</w:t>
      </w:r>
    </w:p>
    <w:p>
      <w:pPr>
        <w:pStyle w:val="BodyText"/>
      </w:pPr>
      <w:r>
        <w:t xml:space="preserve">В каком виде будет предоставляться отчет в Банк России?</w:t>
      </w:r>
    </w:p>
    <w:p>
      <w:pPr>
        <w:pStyle w:val="BodyText"/>
      </w:pPr>
      <w:r>
        <w:t xml:space="preserve">Обновлено: 11.09.2023</w:t>
      </w:r>
    </w:p>
    <w:p>
      <w:pPr>
        <w:pStyle w:val="BodyText"/>
      </w:pPr>
      <w:r>
        <w:t xml:space="preserve">Описание подготовки формирования пакета для отправки отчетности с использованием личного кабинета участника информационного обмена по потоку «Предоставление отчетности кредитными организациями» приведено в пункте в п. 4.4.10.31 инструкции по работе с Личным кабинетом участника информационного обмена .</w:t>
      </w:r>
    </w:p>
    <w:p>
      <w:pPr>
        <w:pStyle w:val="BodyText"/>
      </w:pPr>
      <w:r>
        <w:t xml:space="preserve">Предполагается ли возможность загружать в ПП «Дельта» отчет отдельными разделами (аналогично форме 0409303)?</w:t>
      </w:r>
    </w:p>
    <w:p>
      <w:pPr>
        <w:pStyle w:val="BodyText"/>
      </w:pPr>
      <w:r>
        <w:t xml:space="preserve">Обновлено: 11.09.2023</w:t>
      </w:r>
    </w:p>
    <w:p>
      <w:pPr>
        <w:pStyle w:val="BodyText"/>
      </w:pPr>
      <w:r>
        <w:t xml:space="preserve">В ПП «Дельта» будет реализована возможность загрузки отчетных данных по разделам для формы 0409112.</w:t>
      </w:r>
    </w:p>
    <w:p>
      <w:pPr>
        <w:pStyle w:val="BodyText"/>
      </w:pPr>
      <w:r>
        <w:t xml:space="preserve">Нужно ли соблюдать порядковые номера договоров, отраженных в разделе 1, 2, 3, 4, для того что бы соблюсти сквозной подход в отражение основной строки?</w:t>
      </w:r>
    </w:p>
    <w:p>
      <w:pPr>
        <w:pStyle w:val="BodyText"/>
      </w:pPr>
      <w:r>
        <w:t xml:space="preserve">Обновлено: 11.09.2023</w:t>
      </w:r>
    </w:p>
    <w:p>
      <w:pPr>
        <w:pStyle w:val="BodyText"/>
      </w:pPr>
      <w:r>
        <w:t xml:space="preserve">В ПП «Дельта» для формы 0409112 ввод информации будет осуществляться отдельной сквозной строкой по договору. Правила заполнения формы будут отражены в меню «Помощь» для формы 0409112.</w:t>
      </w:r>
    </w:p>
    <w:p>
      <w:pPr>
        <w:pStyle w:val="BodyText"/>
      </w:pPr>
      <w:r>
        <w:t xml:space="preserve">Раздел 1</w:t>
      </w:r>
    </w:p>
    <w:p>
      <w:pPr>
        <w:pStyle w:val="BodyText"/>
      </w:pPr>
      <w:r>
        <w:t xml:space="preserve">Графа 3</w:t>
      </w:r>
    </w:p>
    <w:p>
      <w:pPr>
        <w:pStyle w:val="BodyText"/>
      </w:pPr>
      <w:r>
        <w:t xml:space="preserve">В разделе 1 по гр. 3 «Величина кредитного риска» в случае наличия по договору суммы неиспользованного лимита кредитный риск указывается с учетом неиспользованного лимита или считается только по выданным ссудам?</w:t>
      </w:r>
    </w:p>
    <w:p>
      <w:pPr>
        <w:pStyle w:val="BodyText"/>
      </w:pPr>
      <w:r>
        <w:t xml:space="preserve">Обновлено: 25.03.2026</w:t>
      </w:r>
    </w:p>
    <w:p>
      <w:pPr>
        <w:pStyle w:val="BodyText"/>
      </w:pPr>
      <w:r>
        <w:t xml:space="preserve">В данном случае величина приводится с учетом неиспользованного лимита. В графе 3 раздела 1 указывается величина кредитного риска по активам, используемым в знаменателе формулы расчета норматива достаточности собственных средств (капитала) банка в соответствии с главой 2 Инструкции Банка России № 220-И.</w:t>
      </w:r>
    </w:p>
    <w:p>
      <w:pPr>
        <w:pStyle w:val="BodyText"/>
      </w:pPr>
      <w:r>
        <w:t xml:space="preserve">При отражении кредитной линии с разбивкой по траншам в разделе 1 по гр.3 «Величина кредитного риска» может указываться только по Основной строке (в которой отражена общая сумма) или должна разбиваться по траншам?</w:t>
      </w:r>
    </w:p>
    <w:p>
      <w:pPr>
        <w:pStyle w:val="BodyText"/>
      </w:pPr>
      <w:r>
        <w:t xml:space="preserve">Обновлено: 16.05.2023</w:t>
      </w:r>
    </w:p>
    <w:p>
      <w:pPr>
        <w:pStyle w:val="BodyText"/>
      </w:pPr>
      <w:r>
        <w:t xml:space="preserve">В данном случае требуется приводить показатель как по основной строке, так и по траншам. В форме 0409112 графы 3, 5–8, 11–13 раздела 3 по траншам могут не заполняться, если для всех траншей, предоставленных в рамках кредитной линии, установлены одинаковые условия договора, учет ведется в целом по кредитной линии (а не по отдельным траншам) и значения показателей для всех траншей в рамках кредитной линии совпадают. Для всех остальных граф и разделов требуется заполнение как основной, так и траншевой строк</w:t>
      </w:r>
    </w:p>
    <w:p>
      <w:pPr>
        <w:pStyle w:val="BodyText"/>
      </w:pPr>
      <w:r>
        <w:t xml:space="preserve">По активам, по которым принято решение о расчете риска с использованием подхода на основе внутренних рейтингов (ПВР) в разделе 1 в гр.3 «Величина кредитного риска» указывается величина, рассчитанная по стандартизированному подходу или, рассчитанная на основе ПВР?</w:t>
      </w:r>
    </w:p>
    <w:p>
      <w:pPr>
        <w:pStyle w:val="BodyText"/>
      </w:pPr>
      <w:r>
        <w:t xml:space="preserve">Обновлено: 25.03.2026</w:t>
      </w:r>
    </w:p>
    <w:p>
      <w:pPr>
        <w:pStyle w:val="BodyText"/>
      </w:pPr>
      <w:r>
        <w:t xml:space="preserve">Для кредитных требований, оцениваемых с использованием Положения Банка России № 845-П, в разделе 1 в гр. 3 «Величина кредитного риска» приводится значение, рассчитанное в соответствии с главой 2 Инструкции Банка России № 220-И.</w:t>
      </w:r>
    </w:p>
    <w:p>
      <w:pPr>
        <w:pStyle w:val="BodyText"/>
      </w:pPr>
      <w:r>
        <w:t xml:space="preserve">Величина кредитного риска в графе 3 раздела 1 указывается без учета применения надбавок и приводится в соответствии с подходом расчета норматива достаточности капитала, описанным в главе 2 Инструкции Банка России № 220-И, а не подходом на основе внутренних рейтингов независимо от того, применяет банк подход на основе внутренних рейтингов для расчета величины кредитного риска по соответствующему кредитному требованию или нет.</w:t>
      </w:r>
    </w:p>
    <w:p>
      <w:pPr>
        <w:pStyle w:val="BodyText"/>
      </w:pPr>
      <w:r>
        <w:t xml:space="preserve">Обновлено: 25.03.2026</w:t>
      </w:r>
    </w:p>
    <w:p>
      <w:pPr>
        <w:pStyle w:val="BodyText"/>
      </w:pPr>
      <w:r>
        <w:t xml:space="preserve">Величина кредитного риска в графе 3 раздела 1 указывается без учета применения надбавок и приводится в соответствии с финализированным подходом расчета норматива достаточности капитала (глава 3 Инструкции Банка России № 199-И), а не подходом на основе внутренних рейтингов независимо от того применяет банк подход на основе внутренних рейтингов для расчета величины кредитного риска по соответствующему кредитному требованию или нет.</w:t>
      </w:r>
    </w:p>
    <w:p>
      <w:pPr>
        <w:pStyle w:val="BodyText"/>
      </w:pPr>
      <w:r>
        <w:t xml:space="preserve">Так как в отчете отражаются все договора на предоставление ссуд, действовавшие в течении отчетного месяца, представленные в форме 0409303, то нужно ли в отчете показывать транши, погашенные в отчетном месяце? Необходимо ли в данном случае заполнение графы 3 раздела 1? Если да, то каким образом?</w:t>
      </w:r>
    </w:p>
    <w:p>
      <w:pPr>
        <w:pStyle w:val="BodyText"/>
      </w:pPr>
      <w:r>
        <w:t xml:space="preserve">Обновлено: 11.09.2023</w:t>
      </w:r>
    </w:p>
    <w:p>
      <w:pPr>
        <w:pStyle w:val="BodyText"/>
      </w:pPr>
      <w:r>
        <w:t xml:space="preserve">Необходимо заполнять. Графа 3 может быть заполнена нулевыми величинами кредитного риска, выраженного в деньгах.</w:t>
      </w:r>
    </w:p>
    <w:p>
      <w:pPr>
        <w:pStyle w:val="BodyText"/>
      </w:pPr>
      <w:r>
        <w:t xml:space="preserve">Нужно ли включать в величину кредитного риска по активам, используемым в знаменателе расчета нормативов достаточности собственных средств (капитала) банка в соответствии с главой 2 Инструкции банка России от 26.05.2025 № 220-И, проценты, комиссии, штрафы/пени, начисленные в рамках предоставленной ссуды, дисконты и премии, возникшие в результате приобретённых прав требований выше/ниже стоимости номинала по ссуде?</w:t>
      </w:r>
    </w:p>
    <w:p>
      <w:pPr>
        <w:pStyle w:val="BodyText"/>
      </w:pPr>
      <w:r>
        <w:t xml:space="preserve">Обновлено: 25.03.2026</w:t>
      </w:r>
    </w:p>
    <w:p>
      <w:pPr>
        <w:pStyle w:val="BodyText"/>
      </w:pPr>
      <w:r>
        <w:t xml:space="preserve">Следует указывать величину кредитного риска, в том числе и по кредитным требованиям, сформированным процентами, комиссиями, штрафами, пенями, скорректированными на дисконты, если такие требования относятся к отражаемому в форме кредитному договору, а также включены в знаменатель достаточности капитала при расчете нормативов достаточности собственных средств (капитала) банка в соответствии с главой 2 Инструкции банка России № 220-И.</w:t>
      </w:r>
    </w:p>
    <w:p>
      <w:pPr>
        <w:pStyle w:val="BodyText"/>
      </w:pPr>
      <w:r>
        <w:t xml:space="preserve">Нужно ли разбивать в дополнительные строки по траншам сумму неиспользованного лимита — остатки на счете 91317 (комиссии, штрафов/пени)? Если нужно, то каким способом.</w:t>
      </w:r>
    </w:p>
    <w:p>
      <w:pPr>
        <w:pStyle w:val="BodyText"/>
      </w:pPr>
      <w:r>
        <w:t xml:space="preserve">Обновлено: 11.09.2023</w:t>
      </w:r>
    </w:p>
    <w:p>
      <w:pPr>
        <w:pStyle w:val="BodyText"/>
      </w:pPr>
      <w:r>
        <w:t xml:space="preserve">Требуется отражать кредитный риск по неиспользованным лимитам только в том случае, когда согласно договору предполагается, что по данному траншу возможны дополнительные выдачи. В таком случае требуется отразить значение кредитного риска с учетом возможности утилизации неиспользованного лимита, которая была учтена в знаменателе достаточности капитала.</w:t>
      </w:r>
    </w:p>
    <w:p>
      <w:pPr>
        <w:pStyle w:val="BodyText"/>
      </w:pPr>
      <w:r>
        <w:t xml:space="preserve">При расчете нормативов достаточности капитала в отношении кредитных требований и требований по получению начисленных процентов, обеспеченных ценными бумагами (сделки РЕПО), Банк применяет подход по п. 2.6 Инструкции Банка России от 26.05.2025 г. № 220-И «Об обязательных нормативах и надбавках к нормативам достаточности капитала банков с универсальной лицензией». При наличии в генеральном соглашении условия о ликвидационном неттинге величина кредитного риска рассчитывается не по каждой сделке, а в целом на контрагента и с учетом неттинга взаимных требований и обязательств по всем сделкам прямого и обратного РЕПО, заключенным с данным контрагентом на отчетную дату. Таким образом, в расчет совокупной величины кредитного риска включаются предоставленные и полученные денежные средства, а также переданные и полученные в обеспечение ценные бумаги по сделкам прямого и обратного РЕПО с контрагентом. В соответствии с порядком составления Отчета отражаются только договора, включенные в форму 0409303, то есть только договора по сделкам обратного РЕПО, при этом каждый договор обратного РЕПО отражается в отдельной строке со своим идентификационным номером. С учетом изложенного просим уточнить порядок отражения в графе 3 раздела 1 Отчета величины кредитного риска по сделкам обратного РЕПО, если при расчете этой величины учитывались одновременно сделки прямого и обратного РЕПО с контрагентом и если при этом в расчете участвовало несколько сделок обратного РЕПО, которые отражены в разных строках Отчета.</w:t>
      </w:r>
    </w:p>
    <w:p>
      <w:pPr>
        <w:pStyle w:val="BodyText"/>
      </w:pPr>
      <w:r>
        <w:t xml:space="preserve">Обновлено: 25.03.2026</w:t>
      </w:r>
    </w:p>
    <w:p>
      <w:pPr>
        <w:pStyle w:val="BodyText"/>
      </w:pPr>
      <w:r>
        <w:t xml:space="preserve">В случаях, когда банк рассчитывает величину кредитного риска в целом на контрагента и не определяет величину кредитного риска по отдельному кредитному требованию, следует распределить суммарную величину кредитного риска с учетом неттинга по данному контрагенту пропорционально балансовой задолженности каждого кредитного требования, к которому банк применяет подход по п. 2.6. Инструкции Банка России № 220-И.</w:t>
      </w:r>
    </w:p>
    <w:p>
      <w:pPr>
        <w:pStyle w:val="BodyText"/>
      </w:pPr>
      <w:r>
        <w:t xml:space="preserve">По графе 3 раздел 1 «Величина кредитного риска, руб.» при расчете кредитного риска применять коэффициент послабления по Крыму и Севастополю, или показывать только величину кредитного риска (сумма Актива минус созданный резерв)?</w:t>
      </w:r>
    </w:p>
    <w:p>
      <w:pPr>
        <w:pStyle w:val="BodyText"/>
      </w:pPr>
      <w:r>
        <w:t xml:space="preserve">Обновлено: 11.09.2023</w:t>
      </w:r>
    </w:p>
    <w:p>
      <w:pPr>
        <w:pStyle w:val="BodyText"/>
      </w:pPr>
      <w:r>
        <w:t xml:space="preserve">Коэффициент послабления, как и другие коэффициенты риска следует применить, если они используются банком при расчете величины кредитного риска, включенной в знаменатель формулы расчета норматива достаточности собственных средств (капитала) банка. В графе 3 раздела 1 указывается итоговая величина кредитного риска по данному кредитному требованию (обязательству), включенная в знаменатель формулы расчета норматива достаточности собственных средств (капитала) банка без учета применения надбавок в соответствии с требованиями Указания Банка России № 5782-У.</w:t>
      </w:r>
    </w:p>
    <w:p>
      <w:pPr>
        <w:pStyle w:val="BodyText"/>
      </w:pPr>
      <w:r>
        <w:t xml:space="preserve">Графа 4</w:t>
      </w:r>
    </w:p>
    <w:p>
      <w:pPr>
        <w:pStyle w:val="BodyText"/>
      </w:pPr>
      <w:r>
        <w:t xml:space="preserve">В расчете графы 4 раздела 1 Отчета указывается прирост величины кредитного риска за счет применения макронадбавок в соответствии с Указанием Банка России № 5782-У, а почему не поименовано Указание Банка России от 12 февраля 2019 года № 5072-У «Об особенностях применения надбавок к коэффициентам риска по отдельным видам активов кредитными организациями, принявшими на себя обязанность по применению банковских методик управления рисками и моделей количественной оценки рисков в целях расчета обязательных нормативов»?</w:t>
      </w:r>
    </w:p>
    <w:p>
      <w:pPr>
        <w:pStyle w:val="BodyText"/>
      </w:pPr>
      <w:r>
        <w:t xml:space="preserve">Обновлено: 11.09.2023</w:t>
      </w:r>
    </w:p>
    <w:p>
      <w:pPr>
        <w:pStyle w:val="BodyText"/>
      </w:pPr>
      <w:r>
        <w:t xml:space="preserve">Графа 4 Раздела 1 заполняется банками, получившими разрешение на применение ПВР, согласно финализированному подходу к расчету достаточности капитала. В связи с этим, надбавки по кредитным требованиям согласно № 5072-У не используются в Разделе 1 даже для активов, кредитный риск по которым рассчитывается на ПВР.</w:t>
      </w:r>
    </w:p>
    <w:p>
      <w:pPr>
        <w:pStyle w:val="BodyText"/>
      </w:pPr>
      <w:r>
        <w:t xml:space="preserve">Так как в отчете отражаются все договора на предоставление ссуд, действовавшие в течении отчетного месяца, представленные в форме 0409303, то нужно ли в отчете показывать транши, погашенные в отчетном месяце? Необходимо ли в данном случае заполнение графы 4 раздела 1? Если да, то каким образом?</w:t>
      </w:r>
    </w:p>
    <w:p>
      <w:pPr>
        <w:pStyle w:val="BodyText"/>
      </w:pPr>
      <w:r>
        <w:t xml:space="preserve">Обновлено: 11.09.2023</w:t>
      </w:r>
    </w:p>
    <w:p>
      <w:pPr>
        <w:pStyle w:val="BodyText"/>
      </w:pPr>
      <w:r>
        <w:t xml:space="preserve">Необходимо заполнять. Графа 4 может быть заполнена нулевыми величинами кредитного риска, выраженного в деньгах.</w:t>
      </w:r>
    </w:p>
    <w:p>
      <w:pPr>
        <w:pStyle w:val="BodyText"/>
      </w:pPr>
      <w:r>
        <w:t xml:space="preserve">Нужно ли включать в величину кредитного риска по активам, используемым в знаменателе расчета нормативов достаточности собственных средств (капитала) банка в соответствии с главой 2 Инструкции банка России от 26.05.2025 № 220-И, проценты, комиссии, штрафы/пени, начисленные в рамках предоставленной ссуды, дисконты и премии, возникшие в результате приобретённых прав требований выше/ниже стоимости номинала по ссуде?</w:t>
      </w:r>
    </w:p>
    <w:p>
      <w:pPr>
        <w:pStyle w:val="BodyText"/>
      </w:pPr>
      <w:r>
        <w:t xml:space="preserve">Обновлено: 25.03.2026</w:t>
      </w:r>
    </w:p>
    <w:p>
      <w:pPr>
        <w:pStyle w:val="BodyText"/>
      </w:pPr>
      <w:r>
        <w:t xml:space="preserve">Следует указывать величину кредитного риска, в том числе и по кредитным требованиям, сформированным процентами, комиссиями, штрафами, пенями, скорректированными на дисконты, если такие требования относятся к отражаемому в форме кредитному договору, а также включены в знаменатель достаточности капитала при расчете нормативов достаточности собственных средств (капитала) банка в соответствии с главой 2 Инструкции банка России № 220-И.</w:t>
      </w:r>
    </w:p>
    <w:p>
      <w:pPr>
        <w:pStyle w:val="BodyText"/>
      </w:pPr>
      <w:r>
        <w:t xml:space="preserve">Нужно ли разбивать в дополнительные строки по траншам сумму неиспользованного лимита — остатки на счете 91317 (комиссии, штрафов/пени)? Если нужно, то каким способом.</w:t>
      </w:r>
    </w:p>
    <w:p>
      <w:pPr>
        <w:pStyle w:val="BodyText"/>
      </w:pPr>
      <w:r>
        <w:t xml:space="preserve">Обновлено: 11.09.2023</w:t>
      </w:r>
    </w:p>
    <w:p>
      <w:pPr>
        <w:pStyle w:val="BodyText"/>
      </w:pPr>
      <w:r>
        <w:t xml:space="preserve">Требуется отражать кредитный риск по неиспользованным лимитам только в том случае, когда согласно договору предполагается, что по данному траншу возможны дополнительные выдачи. В таком случае требуется отразить значение кредитного риска с учетом возможности утилизации неиспользованного лимита, которая была учтена в знаменателе достаточности капитала.</w:t>
      </w:r>
    </w:p>
    <w:p>
      <w:pPr>
        <w:pStyle w:val="BodyText"/>
      </w:pPr>
      <w:r>
        <w:t xml:space="preserve">При расчете нормативов достаточности капитала в отношении кредитных требований и требований по получению начисленных процентов, обеспеченных ценными бумагами (сделки РЕПО), Банк применяет подход по п. 2.6 Инструкции Банка России от 26.05.2025 № 220-И «Об обязательных нормативах и надбавках к нормативам достаточности капитала банков с универсальной лицензией». При наличии в генеральном соглашении условия о ликвидационном неттинге величина кредитного риска рассчитывается не по каждой сделке, а в целом на контрагента и с учетом неттинга взаимных требований и обязательств по всем сделкам прямого и обратного РЕПО, заключенным с данным контрагентом на отчетную дату. Таким образом, в расчет совокупной величины кредитного риска включаются предоставленные и полученные денежные средства, а также переданные и полученные в обеспечение ценные бумаги по сделкам прямого и обратного РЕПО с контрагентом. В соответствии с порядком составления Отчета отражаются только договора, включенные в форму 0409303, то есть только договора по сделкам обратного РЕПО, при этом каждый договор обратного РЕПО отражается в отдельной строке со своим идентификационным номером. С учетом изложенного просим уточнить порядок отражения в графе 4 раздела 1 Отчета величины кредитного риска по сделкам обратного РЕПО, если при расчете этой величины учитывались одновременно сделки прямого и обратного РЕПО с контрагентом и если при этом в расчете участвовало несколько сделок обратного РЕПО, которые отражены в разных строках Отчета.</w:t>
      </w:r>
    </w:p>
    <w:p>
      <w:pPr>
        <w:pStyle w:val="BodyText"/>
      </w:pPr>
      <w:r>
        <w:t xml:space="preserve">Обновлено: 25.03.2026</w:t>
      </w:r>
    </w:p>
    <w:p>
      <w:pPr>
        <w:pStyle w:val="BodyText"/>
      </w:pPr>
      <w:r>
        <w:t xml:space="preserve">В случаях, когда банк рассчитывает величину кредитного риска в целом на контрагента и не определяет величину кредитного риска по отдельному кредитному требованию, следует распределить суммарную величину кредитного риска с учетом неттинга по данному контрагенту пропорционально балансовой задолженности каждого кредитного требования, к которому банк применяет подход по п. 2.6. Инструкции Банка России от № 220-И.</w:t>
      </w:r>
    </w:p>
    <w:p>
      <w:pPr>
        <w:pStyle w:val="BodyText"/>
      </w:pPr>
      <w:r>
        <w:t xml:space="preserve">По графе 4 раздел 1 «Результат применения надбавок в соответствии с требованиями № 5782-У, руб.» просим уточнить, что по этой графе должна быть отражена только величина надбавки к кредитному риску? И в случае применения коэффициента послабления в графе 3 раздела 1 учитывать ли его в расчете данных графы 4? До начала применения кода надбавок в соответствии с Указанием Банка России № 5782-У к активам, графа 4 раздела 1 заполняется — «Пусто» или «0»?</w:t>
      </w:r>
    </w:p>
    <w:p>
      <w:pPr>
        <w:pStyle w:val="BodyText"/>
      </w:pPr>
      <w:r>
        <w:t xml:space="preserve">Обновлено: 11.09.2023</w:t>
      </w:r>
    </w:p>
    <w:p>
      <w:pPr>
        <w:pStyle w:val="BodyText"/>
      </w:pPr>
      <w:r>
        <w:t xml:space="preserve">Графа 4 раздела 1 рассчитывается как разница между итоговой величиной кредитного риска по данному кредитному требованию (обязательству), включенной в знаменатель формулы расчета норматива достаточности собственных средств (капитала) банка с учетом применения надбавок в соответствии с требованиями Указания Банка России № 5782-У, и величиной, приведенной в графе 3 раздела 1. До начала применения кода надбавок графу следует заполнять 0.</w:t>
      </w:r>
    </w:p>
    <w:p>
      <w:pPr>
        <w:pStyle w:val="BodyText"/>
      </w:pPr>
      <w:r>
        <w:t xml:space="preserve">Раздел 2</w:t>
      </w:r>
    </w:p>
    <w:p>
      <w:pPr>
        <w:pStyle w:val="BodyText"/>
      </w:pPr>
      <w:r>
        <w:t xml:space="preserve">Графа 1</w:t>
      </w:r>
    </w:p>
    <w:p>
      <w:pPr>
        <w:pStyle w:val="BodyText"/>
      </w:pPr>
      <w:r>
        <w:t xml:space="preserve">Предполагается ли порядком составления формы 0409112, что данные по количеству реструктуризаций должны соответствовать информации представленной в составе формы 0409303?</w:t>
      </w:r>
    </w:p>
    <w:p>
      <w:pPr>
        <w:pStyle w:val="BodyText"/>
      </w:pPr>
      <w:r>
        <w:t xml:space="preserve">Обновлено: 11.09.2023</w:t>
      </w:r>
    </w:p>
    <w:p>
      <w:pPr>
        <w:pStyle w:val="BodyText"/>
      </w:pPr>
      <w:r>
        <w:t xml:space="preserve">Из правил порядка составления следует, что количество реструктуризаций в форме 0409112 не может превышать количество реструктуризаций, отраженных в форме 0409303.</w:t>
      </w:r>
    </w:p>
    <w:p>
      <w:pPr>
        <w:pStyle w:val="BodyText"/>
      </w:pPr>
      <w:r>
        <w:t xml:space="preserve">В графе показываем количество вынужденных реструктуризаций, действующих на отчетную дату? Нужно ли включать в расчет графы ссуды, по которым было принято решение о снятии вынужденной реструктуризации в отчетный период?</w:t>
      </w:r>
    </w:p>
    <w:p>
      <w:pPr>
        <w:pStyle w:val="BodyText"/>
      </w:pPr>
      <w:r>
        <w:t xml:space="preserve">Обновлено: 11.09.2023</w:t>
      </w:r>
    </w:p>
    <w:p>
      <w:pPr>
        <w:pStyle w:val="BodyText"/>
      </w:pPr>
      <w:r>
        <w:t xml:space="preserve">Количество вынужденных реструктуризаций приводится накопленным периодом, поэтому не уменьшается, в том числе, если условия договора, учтенные ранее в качестве реструктуризации, перестали иметь место по причине введения новых условий. Кроме того, независимо от количества входа и выхода из дефолта количество вынужденных реструктуризаций ведется по кредитному договору накоплено: не обнуляется и не начинает рассчитываться заново.</w:t>
      </w:r>
    </w:p>
    <w:p>
      <w:pPr>
        <w:pStyle w:val="BodyText"/>
      </w:pPr>
      <w:r>
        <w:t xml:space="preserve">Графа 1 заполняется только в том случае, если задолженность признана дефолтной и после выздоровления кредита – не заполняется?</w:t>
      </w:r>
    </w:p>
    <w:p>
      <w:pPr>
        <w:pStyle w:val="BodyText"/>
      </w:pPr>
      <w:r>
        <w:t xml:space="preserve">Обновлено: 25.03.2026</w:t>
      </w:r>
    </w:p>
    <w:p>
      <w:pPr>
        <w:pStyle w:val="BodyText"/>
      </w:pPr>
      <w:r>
        <w:t xml:space="preserve">Неверно. Количество вынужденных реструктризаций заполняется в случае проведения реструктуризации, отвечающей критериям вынужденной согласно Инструкции Банка России № 220-И. Учет кол-ва таких реструктризаций приводится накоплено вплоть до окончания действия договора.</w:t>
      </w:r>
    </w:p>
    <w:p>
      <w:pPr>
        <w:pStyle w:val="BodyText"/>
      </w:pPr>
      <w:r>
        <w:t xml:space="preserve">Графа 3</w:t>
      </w:r>
    </w:p>
    <w:p>
      <w:pPr>
        <w:pStyle w:val="BodyText"/>
      </w:pPr>
      <w:r>
        <w:t xml:space="preserve">При заполнении графы 3 раздела 2 «Причина наступления дефолта» следует указать только события дефолта, которые повлияли на вход клиента в дефолт или все, которые возникают в период нахождения клиента в дефолте, также необходимо добавлять?</w:t>
      </w:r>
    </w:p>
    <w:p>
      <w:pPr>
        <w:pStyle w:val="BodyText"/>
      </w:pPr>
      <w:r>
        <w:t xml:space="preserve">Обновлено: 11.09.2023</w:t>
      </w:r>
    </w:p>
    <w:p>
      <w:pPr>
        <w:pStyle w:val="BodyText"/>
      </w:pPr>
      <w:r>
        <w:t xml:space="preserve">В графе 3 раздела 2 на каждую отчетную дату приводятся все причины, события дефолта, признаваемые на соответствующую отчетную дату. В связи с этим, причины, события дефолта на отчетную дату могут отличаться от тех, что были указаны по заемщику в предыдущих периодах. При этом не следует накапливать информацию о всех произошедших с заемщиком событиях, которые неактуальны на текущий момент.</w:t>
      </w:r>
    </w:p>
    <w:p>
      <w:pPr>
        <w:pStyle w:val="BodyText"/>
      </w:pPr>
      <w:r>
        <w:t xml:space="preserve">Список значений для графы 3 раздела 2 «Причина наступления дефолта» и графы 15 раздела 4 «Причина наступления дефолта» одинаковый. Правильно мы понимаем, что графы 3 раздела 2 и графы 15 раздела 4 должны быть заполнены одинаковыми значениями? Если нет, то в каких случаях они должны различаться?</w:t>
      </w:r>
    </w:p>
    <w:p>
      <w:pPr>
        <w:pStyle w:val="BodyText"/>
      </w:pPr>
      <w:r>
        <w:t xml:space="preserve">Обновлено: 11.09.2023</w:t>
      </w:r>
    </w:p>
    <w:p>
      <w:pPr>
        <w:pStyle w:val="BodyText"/>
      </w:pPr>
      <w:r>
        <w:t xml:space="preserve">Порядок заполнения для графы 3 раздела 2 и графы 15 раздела 4 различный: в графе 3 раздела 2 указываются только актуальные на отчетную дату события дефолта, в то время как в графе 15 раздела 4 приводится причина(ы) наступления дефолта, которые могут быть не актуальны на текущую отчетную дату, либо могут не включать в себя все актуальные события дефолта.</w:t>
      </w:r>
    </w:p>
    <w:p>
      <w:pPr>
        <w:pStyle w:val="BodyText"/>
      </w:pPr>
      <w:r>
        <w:t xml:space="preserve">Раздел 3</w:t>
      </w:r>
    </w:p>
    <w:p>
      <w:pPr>
        <w:pStyle w:val="BodyText"/>
      </w:pPr>
      <w:r>
        <w:t xml:space="preserve">Общие раздела</w:t>
      </w:r>
    </w:p>
    <w:p>
      <w:pPr>
        <w:pStyle w:val="BodyText"/>
      </w:pPr>
      <w:r>
        <w:t xml:space="preserve">В разделе 3 не подлежат отражению ссуды, в отношении которых в соответствии с МСФО (IFRS) 9 было прекращено признание, несмотря на то, что по российским стандартам списания не было и остаток отражен в 303 и в остальных разделах формы?</w:t>
      </w:r>
    </w:p>
    <w:p>
      <w:pPr>
        <w:pStyle w:val="BodyText"/>
      </w:pPr>
      <w:r>
        <w:t xml:space="preserve">Обновлено: 13.06.2023</w:t>
      </w:r>
    </w:p>
    <w:p>
      <w:pPr>
        <w:pStyle w:val="BodyText"/>
      </w:pPr>
      <w:r>
        <w:t xml:space="preserve">Верно. Заполнение Раздела 3 по таким требованиям не требуется, как только Банк перестает рассчитывать показатели по стандартам МСФО и не обладает соответствующей информацией об оценке кредитного требования по МСФО вследствие прекращения признания этого требования.</w:t>
      </w:r>
    </w:p>
    <w:p>
      <w:pPr>
        <w:pStyle w:val="BodyText"/>
      </w:pPr>
      <w:r>
        <w:t xml:space="preserve">Требуется ли приводить информацию по погашенным, уступленным или списанным с баланса кредитным договорам?</w:t>
      </w:r>
    </w:p>
    <w:p>
      <w:pPr>
        <w:pStyle w:val="BodyText"/>
      </w:pPr>
      <w:r>
        <w:t xml:space="preserve">Обновлено: 16.05.2023</w:t>
      </w:r>
    </w:p>
    <w:p>
      <w:pPr>
        <w:pStyle w:val="BodyText"/>
      </w:pPr>
      <w:r>
        <w:t xml:space="preserve">Следует приводить соответствующую информацию о таких договорах, если банк ею располагает согласно графам Раздела.</w:t>
      </w:r>
    </w:p>
    <w:p>
      <w:pPr>
        <w:pStyle w:val="BodyText"/>
      </w:pPr>
      <w:r>
        <w:t xml:space="preserve">Если валовая балансовая стоимость по приобретенным или созданным кредитно-обесцененным финансовым активам (PCOI) равна 0 нужно ли указывать такие сделки в разделе 3?</w:t>
      </w:r>
    </w:p>
    <w:p>
      <w:pPr>
        <w:pStyle w:val="BodyText"/>
      </w:pPr>
      <w:r>
        <w:t xml:space="preserve">Обновлено: 11.09.2023</w:t>
      </w:r>
    </w:p>
    <w:p>
      <w:pPr>
        <w:pStyle w:val="BodyText"/>
      </w:pPr>
      <w:r>
        <w:t xml:space="preserve">В разделе 3 требуется указывать все кредитные договора, отраженные в форме 0409303 независимо от величины балансовой стоимости.</w:t>
      </w:r>
    </w:p>
    <w:p>
      <w:pPr>
        <w:pStyle w:val="BodyText"/>
      </w:pPr>
      <w:r>
        <w:t xml:space="preserve">Графа 1</w:t>
      </w:r>
    </w:p>
    <w:p>
      <w:pPr>
        <w:pStyle w:val="BodyText"/>
      </w:pPr>
      <w:r>
        <w:t xml:space="preserve">Значение в поле валовая балансовая стоимость (графа 1 раздела 3) актива будет равно значению в поле величина требования, подверженная риску дефолту? В чем предполагается отличие данных полей?</w:t>
      </w:r>
    </w:p>
    <w:p>
      <w:pPr>
        <w:pStyle w:val="BodyText"/>
      </w:pPr>
      <w:r>
        <w:t xml:space="preserve">Обновлено: 13.06.2023</w:t>
      </w:r>
    </w:p>
    <w:p>
      <w:pPr>
        <w:pStyle w:val="BodyText"/>
      </w:pPr>
      <w:r>
        <w:t xml:space="preserve">В графе 1 раздела 3 в качестве валовой балансовой стоимости отражается величина кредитного требования с учетом начисленных процентов, учтенная на балансовых счетах, за исключением счетов, связанных с резервами, их корректировками, а также счетов, связанных с учетом корректировок и переоценок стоимости, т.е. величина кредитного требования до вычета оценочного резерва под ожидаемые кредитные убытки. В графе Величина требования, подверженная риску дефолта (EAD) отражается сумма, которая наилучшим образом отражает максимальную подверженность кредитному риску на конец отчетного периода, без учета удерживаемого обеспечения и прочих механизмов повышения кредитного качества (например, соглашения о взаимозачете, которые не удовлетворяют критериям взаимозачета согласно МСФО (IAS) 32), а также до вычета оценочного резерва под ожидаемые кредитные убытки. В случае использования кредитной организацией показателя в моделях расчета ожидаемых кредитных убытков EAD следует использовать модельную оценку. Оценка EAD не эквивалентна величине Валовой балансовой стоимости, так как учитывает как возможность утилизации заемщиком невостребованного лимита, так и возможность погашения (части) долга заемщиком на горизонте 12 месяцев. В свою очередь EAD отражает только кредитные риски, поэтому не учитывает возможные переоценки Валовой балансовой стоимости.</w:t>
      </w:r>
    </w:p>
    <w:p>
      <w:pPr>
        <w:pStyle w:val="BodyText"/>
      </w:pPr>
      <w:r>
        <w:t xml:space="preserve">Правильно ли, что в графе 1 Раздела 3 отражаются остатки на счетах:</w:t>
      </w:r>
    </w:p>
    <w:p>
      <w:pPr>
        <w:pStyle w:val="BodyText"/>
      </w:pPr>
      <w:r>
        <w:t xml:space="preserve">предоставленных (размещенных) денежных средств</w:t>
      </w:r>
    </w:p>
    <w:p>
      <w:pPr>
        <w:pStyle w:val="BodyText"/>
      </w:pPr>
      <w:r>
        <w:t xml:space="preserve">начисленных расходов по финансовому активу</w:t>
      </w:r>
    </w:p>
    <w:p>
      <w:pPr>
        <w:pStyle w:val="BodyText"/>
      </w:pPr>
      <w:r>
        <w:t xml:space="preserve">начисленных прочих доходов по финансовому активу,</w:t>
      </w:r>
    </w:p>
    <w:p>
      <w:pPr>
        <w:pStyle w:val="BodyText"/>
      </w:pPr>
      <w:r>
        <w:t xml:space="preserve">начисленных процентов по предоставленным (размещенным) денежным средствам,</w:t>
      </w:r>
    </w:p>
    <w:p>
      <w:pPr>
        <w:pStyle w:val="BodyText"/>
      </w:pPr>
      <w:r>
        <w:t xml:space="preserve">затрат по сделке,</w:t>
      </w:r>
    </w:p>
    <w:p>
      <w:pPr>
        <w:pStyle w:val="BodyText"/>
      </w:pPr>
      <w:r>
        <w:t xml:space="preserve">корректировок, увеличивающих или уменьшающих стоимость предоставленных (размещенных) денежных средств или вложений в приобретенные права требования,</w:t>
      </w:r>
    </w:p>
    <w:p>
      <w:pPr>
        <w:pStyle w:val="BodyText"/>
      </w:pPr>
      <w:r>
        <w:t xml:space="preserve">переоценки, увеличивающей или уменьшающей стоимость предоставленных (размещенных) денежных средств или вложений в приобретенные права требования.</w:t>
      </w:r>
    </w:p>
    <w:p>
      <w:pPr>
        <w:pStyle w:val="BodyText"/>
      </w:pPr>
      <w:r>
        <w:t xml:space="preserve">Обновлено: 11.09.2023</w:t>
      </w:r>
    </w:p>
    <w:p>
      <w:pPr>
        <w:pStyle w:val="BodyText"/>
      </w:pPr>
      <w:r>
        <w:t xml:space="preserve">По графе 1 Раздела 3 отражаются все перечисленные выше остатки за исключением корректировок и переоценок, так как последние отражаются в графе 3 раздела 3. С учетом п. 1.9, 1.10, 1.11 Положения Банка России № 605‑П валовая балансовая стоимость формируется на счетах по учету:</w:t>
      </w:r>
    </w:p>
    <w:p>
      <w:pPr>
        <w:pStyle w:val="BodyText"/>
      </w:pPr>
      <w:r>
        <w:t xml:space="preserve">предоставленных (размещенных) денежных средств или — вложений в приобретенные права требования,</w:t>
      </w:r>
    </w:p>
    <w:p>
      <w:pPr>
        <w:pStyle w:val="BodyText"/>
      </w:pPr>
      <w:r>
        <w:t xml:space="preserve">начисленных расходов по финансовому активу,</w:t>
      </w:r>
    </w:p>
    <w:p>
      <w:pPr>
        <w:pStyle w:val="BodyText"/>
      </w:pPr>
      <w:r>
        <w:t xml:space="preserve">начисленных прочих доходов по финансовому активу,</w:t>
      </w:r>
    </w:p>
    <w:p>
      <w:pPr>
        <w:pStyle w:val="BodyText"/>
      </w:pPr>
      <w:r>
        <w:t xml:space="preserve">начисленных процентов по предоставленным (размещенным) денежным средствам,</w:t>
      </w:r>
    </w:p>
    <w:p>
      <w:pPr>
        <w:pStyle w:val="BodyText"/>
      </w:pPr>
      <w:r>
        <w:t xml:space="preserve">затрат по сделке.</w:t>
      </w:r>
    </w:p>
    <w:p>
      <w:pPr>
        <w:pStyle w:val="BodyText"/>
      </w:pPr>
      <w:r>
        <w:t xml:space="preserve">Подлежат ли включению в валовую балансовую стоимость актива начисленные комиссии, которые участвуют в расчете эффективной процентной ставки по ссуде (остаток на б/с 47443)?</w:t>
      </w:r>
    </w:p>
    <w:p>
      <w:pPr>
        <w:pStyle w:val="BodyText"/>
      </w:pPr>
      <w:r>
        <w:t xml:space="preserve">Обновлено: 11.09.2023</w:t>
      </w:r>
    </w:p>
    <w:p>
      <w:pPr>
        <w:pStyle w:val="BodyText"/>
      </w:pPr>
      <w:r>
        <w:t xml:space="preserve">В валовую балансовую стоимость (графа 1 раздела 3) подлежат включению начисленные комиссии, которые участвуют в расчете эффективной процентной ставки по ссуде (остаток на б/с 47443).</w:t>
      </w:r>
    </w:p>
    <w:p>
      <w:pPr>
        <w:pStyle w:val="BodyText"/>
      </w:pPr>
      <w:r>
        <w:t xml:space="preserve">Правильно ли, что по ссудам, оцениваемым по амортизированной стоимости, в валовую балансовую стоимость включается величина корректировки, увеличивающей или уменьшающей стоимость предоставленных (размещенных) денежных средств (остаток на б/с 47447 или 47452)?</w:t>
      </w:r>
    </w:p>
    <w:p>
      <w:pPr>
        <w:pStyle w:val="BodyText"/>
      </w:pPr>
      <w:r>
        <w:t xml:space="preserve">Обновлено: 11.09.2023</w:t>
      </w:r>
    </w:p>
    <w:p>
      <w:pPr>
        <w:pStyle w:val="BodyText"/>
      </w:pPr>
      <w:r>
        <w:t xml:space="preserve">В валовую балансовую стоимость не подлежат включению корректировки, увеличивающие или уменьшающие стоимость предоставленных (размещенных) денежных средств (остаток на б/с 47447 или 47452), так как такие корректировки отражаются в графе 3 раздела 3.</w:t>
      </w:r>
    </w:p>
    <w:p>
      <w:pPr>
        <w:pStyle w:val="BodyText"/>
      </w:pPr>
      <w:r>
        <w:t xml:space="preserve">В графе 1 раздела 3 должна отражаться балансовая стоимость обязательств по предоставлению денежных средств?</w:t>
      </w:r>
    </w:p>
    <w:p>
      <w:pPr>
        <w:pStyle w:val="BodyText"/>
      </w:pPr>
      <w:r>
        <w:t xml:space="preserve">Обновлено: 11.09.2023</w:t>
      </w:r>
    </w:p>
    <w:p>
      <w:pPr>
        <w:pStyle w:val="BodyText"/>
      </w:pPr>
      <w:r>
        <w:t xml:space="preserve">В графе 1 раздела 3 отражаются только остатки по балансовым счетам финансовых активов, остатки по внебалансовым счетам условных обязательств кредитного характера в данной графе не отражаются.</w:t>
      </w:r>
    </w:p>
    <w:p>
      <w:pPr>
        <w:pStyle w:val="BodyText"/>
      </w:pPr>
      <w:r>
        <w:t xml:space="preserve">Графа 3</w:t>
      </w:r>
    </w:p>
    <w:p>
      <w:pPr>
        <w:pStyle w:val="BodyText"/>
      </w:pPr>
      <w:r>
        <w:t xml:space="preserve">Графа 3 раздела 3 «Совокупная величина разницы между справедливой стоимостью на дату первоначального признания и суммой размещенных средств, а также последующей переоценки по справедливой стоимости» определяется как справедливая стоимость финансового актива (кредита) на дату первоначального признания — фактическая сумма выданного кредита на дату выдачи + переоценка по справедливой стоимости?</w:t>
      </w:r>
    </w:p>
    <w:p>
      <w:pPr>
        <w:pStyle w:val="BodyText"/>
      </w:pPr>
      <w:r>
        <w:t xml:space="preserve">Обновлено: 13.06.2023</w:t>
      </w:r>
    </w:p>
    <w:p>
      <w:pPr>
        <w:pStyle w:val="BodyText"/>
      </w:pPr>
      <w:r>
        <w:t xml:space="preserve">Совокупная величина разницы между справедливой стоимостью на дату первоначального признания и суммой размещенных средств, а также последующей переоценки по справедливой стоимости определяется главами 2 и 4 Положения Банка России № 605-П и отражаются на балансовых счетах 47447, 47452, 47455, 47456, 47461, 47462, 47807, 47808, 47809, 47810, 47811, 47812.</w:t>
      </w:r>
    </w:p>
    <w:p>
      <w:pPr>
        <w:pStyle w:val="BodyText"/>
      </w:pPr>
      <w:r>
        <w:t xml:space="preserve">Для расчета графы 3 раздела 3 «Совокупная величина разницы между справедливой стоимостью на дату первоначального признания и суммой размещенных средств, а также последующей переоценки по справедливой стоимости» сумма кредита рассматривается на дату отчета или на дату выдачи, принимая во внимание, что по кредиту могут происходить дополнительные выдачи и погашения в течение срока его действия, соответственно переоценка происходит уже не по первоначальной сумме договора.</w:t>
      </w:r>
    </w:p>
    <w:p>
      <w:pPr>
        <w:pStyle w:val="BodyText"/>
      </w:pPr>
      <w:r>
        <w:t xml:space="preserve">Обновлено: 13.06.2023</w:t>
      </w:r>
    </w:p>
    <w:p>
      <w:pPr>
        <w:pStyle w:val="BodyText"/>
      </w:pPr>
      <w:r>
        <w:t xml:space="preserve">Совокупная величина разницы между справедливой стоимостью на дату первоначального признания и суммой размещенных средств, а также последующей переоценки по справедливой стоимости определяется главами 2 и 4 Положения Банка России № 605-П и отражаются на балансовых счетах 47447, 47452, 47455, 47456, 47461, 47462, 47807, 47808, 47809, 47810, 47811, 47812. Рассчитанная величина данного показателя должна соотносится с актуальными характеристиками кредитного требования на отчетную дату: его суммой, процентной ставкой и другими значимыми условиями договора.</w:t>
      </w:r>
    </w:p>
    <w:p>
      <w:pPr>
        <w:pStyle w:val="BodyText"/>
      </w:pPr>
      <w:r>
        <w:t xml:space="preserve">При расчете графы 3 раздела 3 “Совокупная величина разницы между справедливой стоимостью на дату первоначального признания и суммой размещенных средств, а также последующей переоценки по справедливой стоимости сумма переоценки включается в расчет за весь период жизни кредита или в пределах отчетного периода?</w:t>
      </w:r>
    </w:p>
    <w:p>
      <w:pPr>
        <w:pStyle w:val="BodyText"/>
      </w:pPr>
      <w:r>
        <w:t xml:space="preserve">Обновлено: 13.06.2023</w:t>
      </w:r>
    </w:p>
    <w:p>
      <w:pPr>
        <w:pStyle w:val="BodyText"/>
      </w:pPr>
      <w:r>
        <w:t xml:space="preserve">Совокупная величина разницы между справедливой стоимостью на дату первоначального признания и суммой размещенных средств, а также последующей переоценки по справедливой стоимости определяется главами 2 и 4 Положения Банка России № 605-П и отражаются на балансовых счетах 47447, 47452, 47455, 47456, 47461, 47462, 47807, 47808, 47809, 47810, 47811, 47812.</w:t>
      </w:r>
    </w:p>
    <w:p>
      <w:pPr>
        <w:pStyle w:val="BodyText"/>
      </w:pPr>
      <w:r>
        <w:t xml:space="preserve">Термин «Сумма размещенных средств» в составе графы 3 раздела 3 «Совокупная величина разницы между справедливой стоимостью на дату первоначального признания и суммой размещенных средств, а также последующей переоценки по справедливой стоимости, руб. коп.» подразумевает сумму значений граф 3 и 4 раздела 6 формы 0409303 по договору?</w:t>
      </w:r>
    </w:p>
    <w:p>
      <w:pPr>
        <w:pStyle w:val="BodyText"/>
      </w:pPr>
      <w:r>
        <w:t xml:space="preserve">Обновлено: 11.09.2023</w:t>
      </w:r>
    </w:p>
    <w:p>
      <w:pPr>
        <w:pStyle w:val="BodyText"/>
      </w:pPr>
      <w:r>
        <w:t xml:space="preserve">Совокупная величина разницы между справедливой стоимостью на дату первоначального признания и суммой размещенных средств, а также последующей переоценки по справедливой стоимости определяется главами 2 и 4 Положения Банка России № 605-П и отражаются на балансовых счетах 47447, 47452, 47455, 47456, 47461, 47462, 47807, 47808, 47809, 47810, 47811, 47812.</w:t>
      </w:r>
    </w:p>
    <w:p>
      <w:pPr>
        <w:pStyle w:val="BodyText"/>
      </w:pPr>
      <w:r>
        <w:t xml:space="preserve">Правильно ли Банк понимает, что независимо от того, какой критерий указан в графе 2 Раздела 3, в графе 3 Раздела 3 отражается сумма положительной разницы, между справедливой стоимостью кредита (транша) и суммой выданного кредита, отраженная на бал. сч. 47447 или сумма отрицательной разницы, между справедливой стоимостью кредита (транша) и суммой выданного кредита, отраженная на бал. сч. 47452.</w:t>
      </w:r>
    </w:p>
    <w:p>
      <w:pPr>
        <w:pStyle w:val="BodyText"/>
      </w:pPr>
      <w:r>
        <w:t xml:space="preserve">Обновлено: 11.09.2023</w:t>
      </w:r>
    </w:p>
    <w:p>
      <w:pPr>
        <w:pStyle w:val="BodyText"/>
      </w:pPr>
      <w:r>
        <w:t xml:space="preserve">Совокупная величина разницы между справедливой стоимостью на дату первоначального признания и суммой размещенных средств, а также последующей переоценки по справедливой стоимости определяется главами 2 и 4 Положения Банка России № 605-П и отражаются на балансовых счетах 47447, 47452, 47455, 47456, 47461, 47462, 47807, 47808, 47809, 47810, 47811, 47812. Так как значения остатков на данных балансовых счетах для одного и того же финансового актива зависят от категории оценки, в которую финансовый актив классифицирован кредитной организацией, то и значение в графе 3 Раздела 3 зависит от категории оценки, указанной в графе 2 Раздела 3.</w:t>
      </w:r>
    </w:p>
    <w:p>
      <w:pPr>
        <w:pStyle w:val="BodyText"/>
      </w:pPr>
      <w:r>
        <w:t xml:space="preserve">По графе 3 раздела 3 для созданных активов отражается только переоценка с даты создания? Для приобретённых активов отражается переоценка с даты создания плюс разница между ценой приобретения и справедливой стоимостью приобретённого актива на дату приобретения?</w:t>
      </w:r>
    </w:p>
    <w:p>
      <w:pPr>
        <w:pStyle w:val="BodyText"/>
      </w:pPr>
      <w:r>
        <w:t xml:space="preserve">Обновлено: 11.09.2023</w:t>
      </w:r>
    </w:p>
    <w:p>
      <w:pPr>
        <w:pStyle w:val="BodyText"/>
      </w:pPr>
      <w:r>
        <w:t xml:space="preserve">Для расчёта переоценки просьба руководствоваться следующим. Совокупная величина разницы между справедливой стоимостью на дату первоначального признания и суммой размещенных средств, а также последующей переоценки по справедливой стоимости определяется главами 2 и 4 Положения Банка России № 605-П и отражается на балансовых счетах 47447, 47452, 47455, 47456, 47461, 47462, 47807, 47808, 47809, 47810, 47811, 47812.</w:t>
      </w:r>
    </w:p>
    <w:p>
      <w:pPr>
        <w:pStyle w:val="BodyText"/>
      </w:pPr>
      <w:r>
        <w:t xml:space="preserve">Данная графа заполняется только по активам, учитываемых по справедливой стоимости?</w:t>
      </w:r>
    </w:p>
    <w:p>
      <w:pPr>
        <w:pStyle w:val="BodyText"/>
      </w:pPr>
      <w:r>
        <w:t xml:space="preserve">Обновлено: 11.09.2023</w:t>
      </w:r>
    </w:p>
    <w:p>
      <w:pPr>
        <w:pStyle w:val="BodyText"/>
      </w:pPr>
      <w:r>
        <w:t xml:space="preserve">Графа заполняется по всем финансовым активам, приводимым в форме 0409112.</w:t>
      </w:r>
    </w:p>
    <w:p>
      <w:pPr>
        <w:pStyle w:val="BodyText"/>
      </w:pPr>
      <w:r>
        <w:t xml:space="preserve">Графа 5</w:t>
      </w:r>
    </w:p>
    <w:p>
      <w:pPr>
        <w:pStyle w:val="BodyText"/>
      </w:pPr>
      <w:r>
        <w:t xml:space="preserve">Необходимо ли приводить в столбцах «Значение PD» и «Значение LGD» формы средневзвешенные значения вышеуказанных параметров с учетом макроэкономических прогнозов?</w:t>
      </w:r>
    </w:p>
    <w:p>
      <w:pPr>
        <w:pStyle w:val="BodyText"/>
      </w:pPr>
      <w:r>
        <w:t xml:space="preserve">Обновлено: 16.05.2023</w:t>
      </w:r>
    </w:p>
    <w:p>
      <w:pPr>
        <w:pStyle w:val="BodyText"/>
      </w:pPr>
      <w:r>
        <w:t xml:space="preserve">Параметры «Значение PD», «Значение LGD» должны отражать оценку, непредвзятую и взвешенную с учетом вероятности для соответствующих результатов (сценариев). Согласно п. В5.5.42 Международных стандартов финансовой отчетности (IFRS) 9 «Финансовые инструменты» (далее — МСФО (IFRS) 9) для целей оценки ожидаемых кредитных убытков возможна идентификация сценариев, которые указывают сумму и сроки денежных потоков для определенных результатов, а также расчетную вероятность таких результатов. Согласно п. 5.5.17(а) МСФО (IFRS) 9 требуется, чтобы оценка ожидаемых кредитных убытков отражала непредвзятую и взвешенную с учетом вероятности сумму, которая определяется путем анализа возможных результатов.</w:t>
      </w:r>
    </w:p>
    <w:p>
      <w:pPr>
        <w:pStyle w:val="BodyText"/>
      </w:pPr>
      <w:r>
        <w:t xml:space="preserve">Как следует приводить «Значение PD» вероятность дефолта для обязательств в Стадии 1 с оставшимся сроком до погашения меньше 12 месяцев: на срок до погашения или на срок до 1 года?</w:t>
      </w:r>
    </w:p>
    <w:p>
      <w:pPr>
        <w:pStyle w:val="BodyText"/>
      </w:pPr>
      <w:r>
        <w:t xml:space="preserve">Обновлено: 16.05.2023</w:t>
      </w:r>
    </w:p>
    <w:p>
      <w:pPr>
        <w:pStyle w:val="BodyText"/>
      </w:pPr>
      <w:r>
        <w:t xml:space="preserve">В графе 5 указывается вероятность дефолта («Значение PD») по ссуде на горизонте 12 месяцев для ссуд в Стадии 1 независимо от оставшегося или первоначального срока договора. При заполнении «Значение PD» не корректируется на срочность в целях уменьшения резерва для договоров с остаточным сроком до погашения меньше года.</w:t>
      </w:r>
    </w:p>
    <w:p>
      <w:pPr>
        <w:pStyle w:val="BodyText"/>
      </w:pPr>
      <w:r>
        <w:t xml:space="preserve">Как следует приводить «Значение PD» вероятность дефолта для обязательств, не находящихся в Стадии 1, с оставшимся сроком до погашения меньше 12 месяцев: на срок до погашения или на срок до 1 года?</w:t>
      </w:r>
    </w:p>
    <w:p>
      <w:pPr>
        <w:pStyle w:val="BodyText"/>
      </w:pPr>
      <w:r>
        <w:t xml:space="preserve">Обновлено: 16.05.2023</w:t>
      </w:r>
    </w:p>
    <w:p>
      <w:pPr>
        <w:pStyle w:val="BodyText"/>
      </w:pPr>
      <w:r>
        <w:t xml:space="preserve">В данном случае «Значение PD» приводится на срок до погашения договора, то есть на срок меньший 12 месяцам. В графе 5 указывается вероятность дефолта («Значение PD») на горизонте срока оставшегося до погашения договора для ссуд, не находящихся в Стадии 1, независимо от оставшегося или первоначального срока договора. При заполнении «Значение PD» не корректируется на срочность в целях уменьшения резерва для договоров с остаточным сроком до погашения меньше года.</w:t>
      </w:r>
    </w:p>
    <w:p>
      <w:pPr>
        <w:pStyle w:val="BodyText"/>
      </w:pPr>
      <w:r>
        <w:t xml:space="preserve">Нужно ли заполнять основную строку, если значение указано отдельно по каждому траншу. Если «да», то каким образом в случае разных условий по траншам?</w:t>
      </w:r>
    </w:p>
    <w:p>
      <w:pPr>
        <w:pStyle w:val="BodyText"/>
      </w:pPr>
      <w:r>
        <w:t xml:space="preserve">Обновлено: 11.09.2023</w:t>
      </w:r>
    </w:p>
    <w:p>
      <w:pPr>
        <w:pStyle w:val="BodyText"/>
      </w:pPr>
      <w:r>
        <w:t xml:space="preserve">В случае если оценки для графы рассчитываются банком на уровне транша и не формируются на уровне основной строки, то такая информация может не указываться на уровне основной строки, если неиспользованный лимит по такому договору полностью относится к траншевым строкам, отраженным в отчете. Иначе, если предполагается выдача дополнительных траншей в рамках неиспользованного лимита, требуется заполнение основной строки договора путем взвешивания всех оценок по графе 7, в том числе учитывая характеристики риска и величину требований, подверженных риску дефолта (EAD — графа 7) для еще не выданных траншей.</w:t>
      </w:r>
    </w:p>
    <w:p>
      <w:pPr>
        <w:pStyle w:val="BodyText"/>
      </w:pPr>
      <w:r>
        <w:t xml:space="preserve">По активам, которые отнесены ко второй стадии обесценения, оценка ожидаемых кредитных убытков производится за весь срок существования актива. В применяемой Банком модели расчета ожидаемых кредитных убытков по активам со сроком погашения более одного года используются значения вероятности дефолта (PD), соответствующие каждому году существования актива, то есть не одно значение PD. С учетом изложенного просим уточнить порядок отражения или расчета для целей отражения в графе 5 раздела 3 значений PD для ссуд второй стадии обесценения, если в модели расчета ожидаемых кредитных убытков участвуют значения PD, различные для каждого года, оставшегося до погашения ссуды.</w:t>
      </w:r>
    </w:p>
    <w:p>
      <w:pPr>
        <w:pStyle w:val="BodyText"/>
      </w:pPr>
      <w:r>
        <w:t xml:space="preserve">Обновлено: 11.09.2023</w:t>
      </w:r>
    </w:p>
    <w:p>
      <w:pPr>
        <w:pStyle w:val="BodyText"/>
      </w:pPr>
      <w:r>
        <w:t xml:space="preserve">В случае, когда банк определяет для каждого из временных периодов оценки PD отдельно, для приведения в отчете требуется указать агрегированные величины, определив их следующим образом:</w:t>
      </w:r>
    </w:p>
    <w:p>
      <w:pPr>
        <w:pStyle w:val="BodyText"/>
      </w:pPr>
      <w:r>
        <w:t xml:space="preserve">Где</w:t>
      </w:r>
    </w:p>
    <w:p>
      <w:pPr>
        <w:pStyle w:val="BodyText"/>
      </w:pPr>
      <w:r>
        <w:t xml:space="preserve">— величина, отражаемая в отчетном периоде в графе 5 раздела 3;</w:t>
      </w:r>
    </w:p>
    <w:p>
      <w:pPr>
        <w:pStyle w:val="BodyText"/>
      </w:pPr>
      <w:r>
        <w:t xml:space="preserve">— прогнозные оценки вероятности дефолта для каждого из прогнозных периодов срока жизни кредитного требования;</w:t>
      </w:r>
    </w:p>
    <w:p>
      <w:pPr>
        <w:pStyle w:val="BodyText"/>
      </w:pPr>
      <w:r>
        <w:t xml:space="preserve">— прогнозные оценки величины требования подверженной риску дефолта каждого из прогнозных периодов срока жизни кредитного требования, в случае отсутствия прогнозных значений приравниваются ;</w:t>
      </w:r>
    </w:p>
    <w:p>
      <w:pPr>
        <w:pStyle w:val="BodyText"/>
      </w:pPr>
      <w:r>
        <w:t xml:space="preserve">— величина требования подверженная риску дефолта, отражаемая в отчетном периоде в графе 7 раздела 3.</w:t>
      </w:r>
    </w:p>
    <w:p>
      <w:pPr>
        <w:pStyle w:val="BodyText"/>
      </w:pPr>
      <w:r>
        <w:t xml:space="preserve">Для кредитов в стадии 1 сроком погашения до года банк применяет PD с учетом количества месяцев до фактического погашения. Просим предоставить формулу, по которой необходимо приводить используемый PD к 12-ти месячному PD. Например, как необходимо привести PD по кредиту со сроком погашения 3 месяца к требуемому Банков России PD за 12 месяцев?</w:t>
      </w:r>
    </w:p>
    <w:p>
      <w:pPr>
        <w:pStyle w:val="BodyText"/>
      </w:pPr>
      <w:r>
        <w:t xml:space="preserve">Обновлено: 11.09.2023</w:t>
      </w:r>
    </w:p>
    <w:p>
      <w:pPr>
        <w:pStyle w:val="BodyText"/>
      </w:pPr>
      <w:r>
        <w:t xml:space="preserve">Одним из допустимых подходов может быть простая аннуализация вероятности дефолта по такому договору:</w:t>
      </w:r>
    </w:p>
    <w:p>
      <w:pPr>
        <w:pStyle w:val="BodyText"/>
      </w:pPr>
      <w:r>
        <w:t xml:space="preserve">Где</w:t>
      </w:r>
    </w:p>
    <w:p>
      <w:pPr>
        <w:pStyle w:val="BodyText"/>
      </w:pPr>
      <w:r>
        <w:t xml:space="preserve">— величина, отражаемая в отчетном периоде в графе 5 раздела 3;</w:t>
      </w:r>
    </w:p>
    <w:p>
      <w:pPr>
        <w:pStyle w:val="BodyText"/>
      </w:pPr>
      <w:r>
        <w:t xml:space="preserve">— оценка вероятности дефолта по кредиту со сроком погашения 3 месяца, рассчитанная Банком.</w:t>
      </w:r>
    </w:p>
    <w:p>
      <w:pPr>
        <w:pStyle w:val="BodyText"/>
      </w:pPr>
      <w:r>
        <w:t xml:space="preserve">Графа 6</w:t>
      </w:r>
    </w:p>
    <w:p>
      <w:pPr>
        <w:pStyle w:val="BodyText"/>
      </w:pPr>
      <w:r>
        <w:t xml:space="preserve">Необходимо ли приводить в столбцах «Значение PD» и «Значение LGD» формы средневзвешенные значения вышеуказанных параметров с учетом макроэкономических прогнозов?</w:t>
      </w:r>
    </w:p>
    <w:p>
      <w:pPr>
        <w:pStyle w:val="BodyText"/>
      </w:pPr>
      <w:r>
        <w:t xml:space="preserve">Обновлено: 16.05.2023</w:t>
      </w:r>
    </w:p>
    <w:p>
      <w:pPr>
        <w:pStyle w:val="BodyText"/>
      </w:pPr>
      <w:r>
        <w:t xml:space="preserve">Параметры «Значение PD», «Значение LGD» должны отражать оценку, непредвзятую и взвешенную с учетом вероятности для соответствующих результатов (сценариев). Согласно п. В5.5.42 Международных стандартов финансовой отчетности (IFRS) 9 «Финансовые инструменты» (далее — МСФО (IFRS) 9) для целей оценки ожидаемых кредитных убытков возможна идентификация сценариев, которые указывают сумму и сроки денежных потоков для определенных результатов, а также расчетную вероятность таких результатов. Согласно п. 5.5.17(а) МСФО (IFRS) 9 требуется, чтобы оценка ожидаемых кредитных убытков отражала непредвзятую и взвешенную с учетом вероятности сумму, которая определяется путем анализа возможных результатов.</w:t>
      </w:r>
    </w:p>
    <w:p>
      <w:pPr>
        <w:pStyle w:val="BodyText"/>
      </w:pPr>
      <w:r>
        <w:t xml:space="preserve">Нужно ли заполнять основную строку, если значение указано отдельно по каждому траншу. Если «да», то каким образом в случае разных условий по траншам?</w:t>
      </w:r>
    </w:p>
    <w:p>
      <w:pPr>
        <w:pStyle w:val="BodyText"/>
      </w:pPr>
      <w:r>
        <w:t xml:space="preserve">Обновлено: 11.09.2023</w:t>
      </w:r>
    </w:p>
    <w:p>
      <w:pPr>
        <w:pStyle w:val="BodyText"/>
      </w:pPr>
      <w:r>
        <w:t xml:space="preserve">В случае если оценки для графы рассчитываются банком на уровне транша и не формируются на уровне основной строки, то такая информация может не указываться на уровне основной строки, если неиспользованный лимит по такому договору полностью относится к траншевым строкам, отраженным в отчете. Иначе, если предполагается выдача дополнительных траншей в рамках неиспользованного лимита, требуется заполнение основной строки договора путем взвешивания всех оценок по графе 7, в том числе учитывая характеристики риска и величину требований, подверженных риску дефолта (EAD — графа 7) для еще не выданных траншей.</w:t>
      </w:r>
    </w:p>
    <w:p>
      <w:pPr>
        <w:pStyle w:val="BodyText"/>
      </w:pPr>
      <w:r>
        <w:t xml:space="preserve">По активам, которые отнесены ко второй стадии обесценения, оценка ожидаемых кредитных убытков производится за весь срок существования актива. В применяемой Банком модели расчета ожидаемых кредитных убытков по активам со сроком погашения более одного года используются значения уровня потерь при дефолте (LGD), соответствующие каждому году существования актива, то есть не одно значение LGD. С учетом изложенного просим уточнить порядок отражения или расчета для целей отражения в графе 6 раздела 3 Отчета значений LGD для ссуд второй стадии обесценения, если в модели расчета ожидаемых кредитных убытков участвуют значения LGD, различные для каждого года, оставшегося до погашения ссуды.</w:t>
      </w:r>
    </w:p>
    <w:p>
      <w:pPr>
        <w:pStyle w:val="BodyText"/>
      </w:pPr>
      <w:r>
        <w:t xml:space="preserve">Обновлено: 11.09.2023</w:t>
      </w:r>
    </w:p>
    <w:p>
      <w:pPr>
        <w:pStyle w:val="BodyText"/>
      </w:pPr>
      <w:r>
        <w:t xml:space="preserve">В случае, когда банк определяет для каждого из временных периодов оценки LGD отдельно, для приведения в отчете требуется указать агрегированные величины, определив их следующим образом.</w:t>
      </w:r>
    </w:p>
    <w:p>
      <w:pPr>
        <w:pStyle w:val="BodyText"/>
      </w:pPr>
      <w:r>
        <w:t xml:space="preserve">Где</w:t>
      </w:r>
    </w:p>
    <w:p>
      <w:pPr>
        <w:pStyle w:val="BodyText"/>
      </w:pPr>
      <w:r>
        <w:t xml:space="preserve">— величина, отражаемая в отчетном периоде в графе 6 раздела 3;</w:t>
      </w:r>
    </w:p>
    <w:p>
      <w:pPr>
        <w:pStyle w:val="BodyText"/>
      </w:pPr>
      <w:r>
        <w:t xml:space="preserve">— прогнозные оценки уровня потерь в случае дефолта для каждого из прогнозных периодов срока жизни кредитного требования.</w:t>
      </w:r>
    </w:p>
    <w:p>
      <w:pPr>
        <w:pStyle w:val="BodyText"/>
      </w:pPr>
      <w:r>
        <w:t xml:space="preserve">— прогнозные оценки величины требования подверженной риску дефолта каждого из прогнозных периодов срока жизни кредитного требования, в случае отсутствия прогнозных значений приравниваются ;</w:t>
      </w:r>
    </w:p>
    <w:p>
      <w:pPr>
        <w:pStyle w:val="BodyText"/>
      </w:pPr>
      <w:r>
        <w:t xml:space="preserve">— величина требования подверженная риску дефолта, отражаемая в отчетном периоде в графе 7 раздела 3.</w:t>
      </w:r>
    </w:p>
    <w:p>
      <w:pPr>
        <w:pStyle w:val="BodyText"/>
      </w:pPr>
      <w:r>
        <w:t xml:space="preserve">Графа 7</w:t>
      </w:r>
    </w:p>
    <w:p>
      <w:pPr>
        <w:pStyle w:val="BodyText"/>
      </w:pPr>
      <w:r>
        <w:t xml:space="preserve">Значение в поле валовая балансовая стоимость (графа 1 раздела 3) актива будет равно значению в поле величина требования, подверженная риску дефолту? В чем предполагается отличие данных полей?</w:t>
      </w:r>
    </w:p>
    <w:p>
      <w:pPr>
        <w:pStyle w:val="BodyText"/>
      </w:pPr>
      <w:r>
        <w:t xml:space="preserve">Обновлено: 13.06.2023</w:t>
      </w:r>
    </w:p>
    <w:p>
      <w:pPr>
        <w:pStyle w:val="BodyText"/>
      </w:pPr>
      <w:r>
        <w:t xml:space="preserve">В графе 1 раздела 3 в качестве валовой балансовой стоимости отражается величина кредитного требования с учетом начисленных процентов, учтенная на балансовых счетах, за исключением счетов, связанных с резервами, их корректировками, а также счетов, связанных с учетом корректировок и переоценок стоимости, т.е. величина кредитного требования до вычета оценочного резерва под ожидаемые кредитные убытки. В графе Величина требования, подверженная риску дефолта (EAD) отражается сумма, которая наилучшим образом отражает максимальную подверженность кредитному риску на конец отчетного периода, без учета удерживаемого обеспечения и прочих механизмов повышения кредитного качества (например, соглашения о взаимозачете, которые не удовлетворяют критериям взаимозачета согласно МСФО (IAS) 32), а также до вычета оценочного резерва под ожидаемые кредитные убытки. В случае использования кредитной организацией показателя в моделях расчета ожидаемых кредитных убытков EAD следует использовать модельную оценку. Оценка EAD не эквивалентна величине Валовой балансовой стоимости, так как учитывает как возможность утилизации заемщиком невостребованного лимита, так и возможность погашения (части) долга заемщиком на горизонте 12 месяцев. В свою очередь EAD отражает только кредитные риски, поэтому не учитывает возможные переоценки Валовой балансовой стоимости.</w:t>
      </w:r>
    </w:p>
    <w:p>
      <w:pPr>
        <w:pStyle w:val="BodyText"/>
      </w:pPr>
      <w:r>
        <w:t xml:space="preserve">Показатель гр. 7 «Величина требования, подверженная риску дефолта (EAD)» включен в раздел 3 формы 0409112 с точки зрения его применения в расчетах каких показателей по МСФО 9? Из текста порядка мы поняли, что его заполнение не обязательно. Просьба уточнить, в каких случаях обязательно его заполнение?</w:t>
      </w:r>
    </w:p>
    <w:p>
      <w:pPr>
        <w:pStyle w:val="BodyText"/>
      </w:pPr>
      <w:r>
        <w:t xml:space="preserve">Обновлено: 11.09.2023</w:t>
      </w:r>
    </w:p>
    <w:p>
      <w:pPr>
        <w:pStyle w:val="BodyText"/>
      </w:pPr>
      <w:r>
        <w:t xml:space="preserve">Показатель включен в форму в раздел МСФО для сбора оценок величины кредитного требования на момент дефолт. Заполнение графы 7 является обязательным для всех кредитных требований, отраженных в форме 0409303, за исключением тех кредитных требований, где банк не располагает оценками EAD — например в разрезе траншей или по завершенным договорам. Данный показатель важен для расчета ожидаемых кредитных потерь по кредитному требованию, и в том числе по неиспользованным кредитным линиям, которые включаются в расчет показателя в некоторой части, либо полностью согласно модельному подходу или коэффициентам кредитной конверсии, применяемых банком.</w:t>
      </w:r>
    </w:p>
    <w:p>
      <w:pPr>
        <w:pStyle w:val="BodyText"/>
      </w:pPr>
      <w:r>
        <w:t xml:space="preserve">Правильно ли, что в случае оценки кредитов по амортизированной стоимости, значение граф 1 и 7 должны быть равны в разрезе траншей, а по основной строке должны отличаться на сумму невостребованного лимита.</w:t>
      </w:r>
    </w:p>
    <w:p>
      <w:pPr>
        <w:pStyle w:val="BodyText"/>
      </w:pPr>
      <w:r>
        <w:t xml:space="preserve">Обновлено: 11.09.2023</w:t>
      </w:r>
    </w:p>
    <w:p>
      <w:pPr>
        <w:pStyle w:val="BodyText"/>
      </w:pPr>
      <w:r>
        <w:t xml:space="preserve">Неверно. Графа 7 раздела 3 как для основной строки, так и для траншевых строк (в случае их заполнения) требует как учета возможности утилизации заемщиком невостребованного лимита, так и учета возможности погашения (части) долга заемщиком на горизонте 12 месяцев согласно модельному подходу или коэффициентам кредитной конверсии, применяемых банком.</w:t>
      </w:r>
    </w:p>
    <w:p>
      <w:pPr>
        <w:pStyle w:val="BodyText"/>
      </w:pPr>
      <w:r>
        <w:t xml:space="preserve">Графа 8</w:t>
      </w:r>
    </w:p>
    <w:p>
      <w:pPr>
        <w:pStyle w:val="BodyText"/>
      </w:pPr>
      <w:r>
        <w:t xml:space="preserve">Правильно ли, что по траншевым строкам в графе 8, указывается оценочный резерв, а по основной строке — сумма оценочного резерва по траншам и значение графы 12 (оценочный резерв по условным обязательствам кредитного характера)?</w:t>
      </w:r>
    </w:p>
    <w:p>
      <w:pPr>
        <w:pStyle w:val="BodyText"/>
      </w:pPr>
      <w:r>
        <w:t xml:space="preserve">Обновлено: 11.09.2023</w:t>
      </w:r>
    </w:p>
    <w:p>
      <w:pPr>
        <w:pStyle w:val="BodyText"/>
      </w:pPr>
      <w:r>
        <w:t xml:space="preserve">Графа 8 раздела 3 включает в себя значение графы 12 «Оценочный резерв по условным обязательствам кредитного характера» как для основой, так и для траншевых строк. Если учет ведется в целом по кредитной линии, то траншевые строки могут не заполняться. Также если для всех траншей, предоставленных в рамках кредитной линии, установлены одинаковые условия договора и значения графы 8 совпадают для всех траншей, то заполнение траншевых строк не требуется.</w:t>
      </w:r>
    </w:p>
    <w:p>
      <w:pPr>
        <w:pStyle w:val="BodyText"/>
      </w:pPr>
      <w:r>
        <w:t xml:space="preserve">Графа 10</w:t>
      </w:r>
    </w:p>
    <w:p>
      <w:pPr>
        <w:pStyle w:val="BodyText"/>
      </w:pPr>
      <w:r>
        <w:t xml:space="preserve">Нужно ли заполнять графу 10 по основной строке? Если «да», то каким образом в случае разных условий по траншам?</w:t>
      </w:r>
    </w:p>
    <w:p>
      <w:pPr>
        <w:pStyle w:val="BodyText"/>
      </w:pPr>
      <w:r>
        <w:t xml:space="preserve">Обновлено: 11.09.2023</w:t>
      </w:r>
    </w:p>
    <w:p>
      <w:pPr>
        <w:pStyle w:val="BodyText"/>
      </w:pPr>
      <w:r>
        <w:t xml:space="preserve">В случае если оценки для графы 10 Раздела 3 рассчитываются банком на уровне транша и не формируются на уровне основной строки, то такая информация может не указываться на уровне основной строки.</w:t>
      </w:r>
    </w:p>
    <w:p>
      <w:pPr>
        <w:pStyle w:val="BodyText"/>
      </w:pPr>
      <w:r>
        <w:t xml:space="preserve">Правильно ли Банк понимает, что в случае отсутствия графика для расчета амортизированной стоимости (кредиты в форме овердрафт), необходимо указывать ставку по договору?</w:t>
      </w:r>
    </w:p>
    <w:p>
      <w:pPr>
        <w:pStyle w:val="BodyText"/>
      </w:pPr>
      <w:r>
        <w:t xml:space="preserve">Обновлено: 11.09.2023</w:t>
      </w:r>
    </w:p>
    <w:p>
      <w:pPr>
        <w:pStyle w:val="BodyText"/>
      </w:pPr>
      <w:r>
        <w:t xml:space="preserve">В графе 10 Раздела 3 указывается процентная ставка, применяемая для расчета стоимости финансового актива, если банк в указанном примере вместо эффективной процентной ставки применяет ставку по договору, то следует указать последнюю в графе 10 Раздела 3.</w:t>
      </w:r>
    </w:p>
    <w:p>
      <w:pPr>
        <w:pStyle w:val="BodyText"/>
      </w:pPr>
      <w:r>
        <w:t xml:space="preserve">Графа 11</w:t>
      </w:r>
    </w:p>
    <w:p>
      <w:pPr>
        <w:pStyle w:val="BodyText"/>
      </w:pPr>
      <w:r>
        <w:t xml:space="preserve">При расчете графы 11 раздела 3 «Средневзвешенный срок ссуды (транша)» следует ли включать просроченные платежи, с каким значением срока, в числитель и в знаменатель?</w:t>
      </w:r>
    </w:p>
    <w:p>
      <w:pPr>
        <w:pStyle w:val="BodyText"/>
      </w:pPr>
      <w:r>
        <w:t xml:space="preserve">Обновлено: 13.06.2023</w:t>
      </w:r>
    </w:p>
    <w:p>
      <w:pPr>
        <w:pStyle w:val="BodyText"/>
      </w:pPr>
      <w:r>
        <w:t xml:space="preserve">Просроченные платежи следует включать как в числитель, так и в знаменатель расчетной формулы. В качестве величины срока их получения (t) следует использовать 30 дней — длительность отчетного периода, так как величина срока получения не может быть отрицательной.</w:t>
      </w:r>
    </w:p>
    <w:p>
      <w:pPr>
        <w:pStyle w:val="BodyText"/>
      </w:pPr>
      <w:r>
        <w:t xml:space="preserve">При расчете графы 11 раздела 3 «Средневзвешенный срок ссуды (транша)» расчет производится с использованием плановых или фактических сроков и сумм платежей?</w:t>
      </w:r>
    </w:p>
    <w:p>
      <w:pPr>
        <w:pStyle w:val="BodyText"/>
      </w:pPr>
      <w:r>
        <w:t xml:space="preserve">Обновлено: 13.06.2023</w:t>
      </w:r>
    </w:p>
    <w:p>
      <w:pPr>
        <w:pStyle w:val="BodyText"/>
      </w:pPr>
      <w:r>
        <w:t xml:space="preserve">Расчет показателя производится с использованием плановых сроков и сумм платежей для платежей за исключением просроченных платежей. Для просроченных платежей в качестве денежного потока следует использовать совокупную сумму просроченной задолженности, а в качестве количества дней до погашения (t) — 30 дней, длительность отчетного периода. Информацию о плановых сроках погашения непросроченных платежей следует использовать согласно условиям договора с учетом изменений, если таковые имели место.</w:t>
      </w:r>
    </w:p>
    <w:p>
      <w:pPr>
        <w:pStyle w:val="BodyText"/>
      </w:pPr>
      <w:r>
        <w:t xml:space="preserve">Показатель графы 11 «Средневзвешенный срок ссуды (транша), дней» включен в раздел 3 формы 0409112 с точки зрения его применения в расчетах каких показателей по МСФО 9 и обязательно ли его заполнение? Возможно ли его использование по упрощенному алгоритму расчета в кредитной организации?</w:t>
      </w:r>
    </w:p>
    <w:p>
      <w:pPr>
        <w:pStyle w:val="BodyText"/>
      </w:pPr>
      <w:r>
        <w:t xml:space="preserve">Обновлено: 11.09.2023</w:t>
      </w:r>
    </w:p>
    <w:p>
      <w:pPr>
        <w:pStyle w:val="BodyText"/>
      </w:pPr>
      <w:r>
        <w:t xml:space="preserve">Показатель включен в форму в раздел МСФО для сбора оценки срока жизни договора, который может быть использован для наращивания PD оценок при переходе кредитного требования из Стадии 1 в Стадию 2, для которой требуется использовать PD оценку на горизонте всей жизни договора, а не на годовом горизонте, как того требует Стадия 1.</w:t>
      </w:r>
    </w:p>
    <w:p>
      <w:pPr>
        <w:pStyle w:val="BodyText"/>
      </w:pPr>
      <w:r>
        <w:t xml:space="preserve">Данные по графику платежей могут формироваться на основании информации, использованной при первоначальной оценке договора, либо при оценке стоимости в рамках модификации договора как приведенной стоимости будущих денежных потоков.</w:t>
      </w:r>
    </w:p>
    <w:p>
      <w:pPr>
        <w:pStyle w:val="BodyText"/>
      </w:pPr>
      <w:r>
        <w:t xml:space="preserve">Если формирование оценок плановых платежей затруднительно в части процентных платежей по плавающей процентной ставке, то в качестве значения ставки может быть использовано фактическое значение ставки на отчетную дату.</w:t>
      </w:r>
    </w:p>
    <w:p>
      <w:pPr>
        <w:pStyle w:val="BodyText"/>
      </w:pPr>
      <w:r>
        <w:t xml:space="preserve">Если формирование оценок плановых платежей затруднительно в части платежей по основному долгу, то все плановые платежи могут быть отнесены к дате погашения кредитного договора.</w:t>
      </w:r>
    </w:p>
    <w:p>
      <w:pPr>
        <w:pStyle w:val="BodyText"/>
      </w:pPr>
      <w:r>
        <w:t xml:space="preserve">Если формирование оценок плановых платежей затруднительно, и при оценке финансового актива график будущих денежных потоков не определен, то в качестве средневзвешенного срока может быть использовано отношение ожидаемых кредитных потерь для данного кредитного договора исходя из LGD = 100% и Стадии 2 к ожидаемым кредитным потерям данного кредитного договора исходя из LGD = 100% и Стадии 1, если PD оценка по такому договору ненулевая.</w:t>
      </w:r>
    </w:p>
    <w:p>
      <w:pPr>
        <w:pStyle w:val="BodyText"/>
      </w:pPr>
      <w:r>
        <w:t xml:space="preserve">Нужно ли заполнять основную строку, если значение указано отдельно по каждому траншу. Если «да», то каким образом в случае разных условий по траншам?</w:t>
      </w:r>
    </w:p>
    <w:p>
      <w:pPr>
        <w:pStyle w:val="BodyText"/>
      </w:pPr>
      <w:r>
        <w:t xml:space="preserve">Обновлено: 11.09.2023</w:t>
      </w:r>
    </w:p>
    <w:p>
      <w:pPr>
        <w:pStyle w:val="BodyText"/>
      </w:pPr>
      <w:r>
        <w:t xml:space="preserve">В случае если оценки для графы рассчитываются банком на уровне транша и не формируются на уровне основной строки, то такая информация может не указываться на уровне основной строки, если неиспользованный лимит по такому договору полностью относится к траншевым строкам, отраженным в отчете. Иначе, если предполагается выдача дополнительных траншей в рамках неиспользованного лимита, требуется заполнение основной строки договора путем взвешивания всех оценок по графе 7, в том числе учитывая характеристики риска и величину требований, подверженных риску дефолта (EAD — графа 7) для еще не выданных траншей.</w:t>
      </w:r>
    </w:p>
    <w:p>
      <w:pPr>
        <w:pStyle w:val="BodyText"/>
      </w:pPr>
      <w:r>
        <w:t xml:space="preserve">Для сделок, где вся сумма задолженности является просроченной показатель Средневзвешенный срок ссуды (транша), дней указывать равным 30 дням?</w:t>
      </w:r>
    </w:p>
    <w:p>
      <w:pPr>
        <w:pStyle w:val="BodyText"/>
      </w:pPr>
      <w:r>
        <w:t xml:space="preserve">Обновлено: 11.09.2023</w:t>
      </w:r>
    </w:p>
    <w:p>
      <w:pPr>
        <w:pStyle w:val="BodyText"/>
      </w:pPr>
      <w:r>
        <w:t xml:space="preserve">Верно, если по данной кредитной линии (траншу) не предполагается возможным выдача новых ссуд из неиспользованного лимита.</w:t>
      </w:r>
    </w:p>
    <w:p>
      <w:pPr>
        <w:pStyle w:val="BodyText"/>
      </w:pPr>
      <w:r>
        <w:t xml:space="preserve">Когда по ссуде погашен основной долг и проценты, но договор не закрыт, остались комиссии, штрафы, пени, что тогда берем в знаменатель и числитель?</w:t>
      </w:r>
    </w:p>
    <w:p>
      <w:pPr>
        <w:pStyle w:val="BodyText"/>
      </w:pPr>
      <w:r>
        <w:t xml:space="preserve">Обновлено: 11.09.2023</w:t>
      </w:r>
    </w:p>
    <w:p>
      <w:pPr>
        <w:pStyle w:val="BodyText"/>
      </w:pPr>
      <w:r>
        <w:t xml:space="preserve">Для таких кредитных требований как комиссии, штрафы, пени можно использовать срок погашения в 30 дней при отсутствии другой информации о плановом сроке их погашения. Соответственно числителем будет величина таких требований, умноженная на 30 дней, знаменателем будет величина таких требований.</w:t>
      </w:r>
    </w:p>
    <w:p>
      <w:pPr>
        <w:pStyle w:val="BodyText"/>
      </w:pPr>
      <w:r>
        <w:t xml:space="preserve">В тексте инструкции приведена формула расчета показателя, где при расчете итог равен «t», т.к. показатель в числителе и знаменателе «CF» по правилам математики исключается? Просим рассмотреть возможность прислать пример расчета.</w:t>
      </w:r>
    </w:p>
    <w:p>
      <w:pPr>
        <w:pStyle w:val="BodyText"/>
      </w:pPr>
      <w:r>
        <w:t xml:space="preserve">Обновлено: 11.09.2023</w:t>
      </w:r>
    </w:p>
    <w:p>
      <w:pPr>
        <w:pStyle w:val="BodyText"/>
      </w:pPr>
      <w:r>
        <w:t xml:space="preserve">В общем случае итог не равен , потому что как величина , так и величина не являются константой для разных периодов времени, в которых ожидается получение денежных средств от заёмщика. В связи с этим указанные величины не могут быть вынесены за знак суммы для упрощения формулы. Показатель приводится в днях, как указано в наименовании графы. Пример расчета:</w:t>
      </w:r>
    </w:p>
    <w:p>
      <w:pPr>
        <w:pStyle w:val="BodyText"/>
      </w:pPr>
      <w:r>
        <w:t xml:space="preserve">Отчетная дата — 01.02.2024</w:t>
      </w:r>
    </w:p>
    <w:p>
      <w:pPr>
        <w:pStyle w:val="BodyText"/>
      </w:pPr>
      <w:r>
        <w:t xml:space="preserve">По кредитному договору ожидаются следующие платежи с учетом начисленных процентов, а также будущих выдач по неиспользованным лимитам:</w:t>
      </w:r>
    </w:p>
    <w:p>
      <w:pPr>
        <w:pStyle w:val="BodyText"/>
      </w:pPr>
      <w:r>
        <w:t xml:space="preserve">01.04.2024 — 10 млн руб.</w:t>
      </w:r>
    </w:p>
    <w:p>
      <w:pPr>
        <w:pStyle w:val="BodyText"/>
      </w:pPr>
      <w:r>
        <w:t xml:space="preserve">01.07.2024 — 20 млн руб.</w:t>
      </w:r>
    </w:p>
    <w:p>
      <w:pPr>
        <w:pStyle w:val="BodyText"/>
      </w:pPr>
      <w:r>
        <w:t xml:space="preserve">01.10.2024 — 30 млн руб.</w:t>
      </w:r>
    </w:p>
    <w:p>
      <w:pPr>
        <w:pStyle w:val="BodyText"/>
      </w:pPr>
      <w:r>
        <w:t xml:space="preserve">01.01.2025 — 40 млн руб.</w:t>
      </w:r>
    </w:p>
    <w:p>
      <w:pPr>
        <w:pStyle w:val="BodyText"/>
      </w:pPr>
      <w:r>
        <w:t xml:space="preserve">01.01.2026 — 500 млн руб.</w:t>
      </w:r>
    </w:p>
    <w:p>
      <w:pPr>
        <w:pStyle w:val="BodyText"/>
      </w:pPr>
      <w:r>
        <w:t xml:space="preserve">Также у заемщика присутствует просроченная задолженность по договору в размере 1 млн руб.</w:t>
      </w:r>
    </w:p>
    <w:p>
      <w:pPr>
        <w:pStyle w:val="BodyText"/>
      </w:pPr>
      <w:r>
        <w:t xml:space="preserve">В приведенном примере расчетное значение средневзвешенного по денежным потокам срока до погашения будет рассчитано следующим образом:</w:t>
      </w:r>
    </w:p>
    <w:p>
      <w:pPr>
        <w:pStyle w:val="BodyText"/>
      </w:pPr>
      <w:r>
        <w:t xml:space="preserve">Отчетная дата + 30 дней</w:t>
      </w:r>
    </w:p>
    <w:p>
      <w:pPr>
        <w:pStyle w:val="BodyText"/>
      </w:pPr>
      <w:r>
        <w:t xml:space="preserve">1 (просроч.)</w:t>
      </w:r>
    </w:p>
    <w:p>
      <w:pPr>
        <w:pStyle w:val="BodyText"/>
      </w:pPr>
      <w:r>
        <w:t xml:space="preserve">1.04.24</w:t>
      </w:r>
    </w:p>
    <w:p>
      <w:pPr>
        <w:pStyle w:val="BodyText"/>
      </w:pPr>
      <w:r>
        <w:t xml:space="preserve">1.07.24</w:t>
      </w:r>
    </w:p>
    <w:p>
      <w:pPr>
        <w:pStyle w:val="BodyText"/>
      </w:pPr>
      <w:r>
        <w:t xml:space="preserve">1.10.24</w:t>
      </w:r>
    </w:p>
    <w:p>
      <w:pPr>
        <w:pStyle w:val="BodyText"/>
      </w:pPr>
      <w:r>
        <w:t xml:space="preserve">1.01.25</w:t>
      </w:r>
    </w:p>
    <w:p>
      <w:pPr>
        <w:pStyle w:val="BodyText"/>
      </w:pPr>
      <w:r>
        <w:t xml:space="preserve">1.01.26</w:t>
      </w:r>
    </w:p>
    <w:p>
      <w:pPr>
        <w:pStyle w:val="BodyText"/>
      </w:pPr>
      <w:r>
        <w:t xml:space="preserve">В данном примере в графе 11 раздела 3 в качестве значения средневзвешенного срока следует указать 614 дней.</w:t>
      </w:r>
    </w:p>
    <w:p>
      <w:pPr>
        <w:pStyle w:val="BodyText"/>
      </w:pPr>
      <w:r>
        <w:t xml:space="preserve">Необходимо уточнение — в каких единицах отражать показатель?</w:t>
      </w:r>
    </w:p>
    <w:p>
      <w:pPr>
        <w:pStyle w:val="BodyText"/>
      </w:pPr>
      <w:r>
        <w:t xml:space="preserve">Обновлено: 11.09.2023</w:t>
      </w:r>
    </w:p>
    <w:p>
      <w:pPr>
        <w:pStyle w:val="BodyText"/>
      </w:pPr>
      <w:r>
        <w:t xml:space="preserve">Показатель следует приводить в днях, целое число.</w:t>
      </w:r>
    </w:p>
    <w:p>
      <w:pPr>
        <w:pStyle w:val="BodyText"/>
      </w:pPr>
      <w:r>
        <w:t xml:space="preserve">Графа 12</w:t>
      </w:r>
    </w:p>
    <w:p>
      <w:pPr>
        <w:pStyle w:val="BodyText"/>
      </w:pPr>
      <w:r>
        <w:t xml:space="preserve">Правильно ли, что оценочный резерв графа 12 показывается только по условным обязательствам кредитного характера и только по основной строке, т.к. в форме 0409303 условные обязательства кредитного характера указываются только по основной строке.</w:t>
      </w:r>
    </w:p>
    <w:p>
      <w:pPr>
        <w:pStyle w:val="BodyText"/>
      </w:pPr>
      <w:r>
        <w:t xml:space="preserve">Обновлено: 11.09.2023</w:t>
      </w:r>
    </w:p>
    <w:p>
      <w:pPr>
        <w:pStyle w:val="BodyText"/>
      </w:pPr>
      <w:r>
        <w:t xml:space="preserve">В случае если банк не ведет учет условных обязательств по траншам или не может рассчитать графу 12 в разрезе траншей, то ее заполнение в форме 0409112 по траншевым строкам не обязательно.</w:t>
      </w:r>
    </w:p>
    <w:p>
      <w:pPr>
        <w:pStyle w:val="BodyText"/>
      </w:pPr>
      <w:r>
        <w:t xml:space="preserve">Графа 13</w:t>
      </w:r>
    </w:p>
    <w:p>
      <w:pPr>
        <w:pStyle w:val="BodyText"/>
      </w:pPr>
      <w:r>
        <w:t xml:space="preserve">Правильно ли, что корректировки до оценочного резерва по графе 13 показываются только по условным обязательствам кредитного характера и только по основной строке, т.к. в форме 0409303 условные обязательства кредитного характера указываются только по основной строке.</w:t>
      </w:r>
    </w:p>
    <w:p>
      <w:pPr>
        <w:pStyle w:val="BodyText"/>
      </w:pPr>
      <w:r>
        <w:t xml:space="preserve">Обновлено: 11.09.2023</w:t>
      </w:r>
    </w:p>
    <w:p>
      <w:pPr>
        <w:pStyle w:val="BodyText"/>
      </w:pPr>
      <w:r>
        <w:t xml:space="preserve">В случае если банк не ведет учет условных обязательств по траншам или не может рассчитать графу 13 в разрезе траншей, то ее заполнение в форме 0409112 по траншевым строкам не обязательно.</w:t>
      </w:r>
    </w:p>
    <w:p>
      <w:pPr>
        <w:pStyle w:val="BodyText"/>
      </w:pPr>
      <w:r>
        <w:t xml:space="preserve">Раздел 4</w:t>
      </w:r>
    </w:p>
    <w:p>
      <w:pPr>
        <w:pStyle w:val="BodyText"/>
      </w:pPr>
      <w:r>
        <w:t xml:space="preserve">Перечень типовых ошибок при формировании раздела 4 формы отчетности 0409112 (далее — раздел 4)</w:t>
      </w:r>
    </w:p>
    <w:p>
      <w:pPr>
        <w:pStyle w:val="BodyText"/>
      </w:pPr>
      <w:r>
        <w:t xml:space="preserve">Обновлено: 12.05.2025</w:t>
      </w:r>
    </w:p>
    <w:p>
      <w:pPr>
        <w:pStyle w:val="BodyText"/>
      </w:pPr>
      <w:r>
        <w:t xml:space="preserve">В части применения экспертных корректировок:</w:t>
      </w:r>
    </w:p>
    <w:p>
      <w:pPr>
        <w:pStyle w:val="BodyText"/>
      </w:pPr>
      <w:r>
        <w:t xml:space="preserve">Некорректное отражение информации по экспертным корректировкам и причинам экспертных корректировок, например: банк по экономическому содержанию проводит корректировки по улучшению рейтинга, при этом технически некорректно отражает факт улучшения рейтинга в соответствии с п. 9.32 порядка составления и предоставления отчетности по форме 0409112 Указания № 6406-У (далее — порядок составления): значение показателя приводится в виде отрицательного, а не положительного целого числа (и наоборот); для заемщиков специализированного кредитования, по которым определяется уровень кредитоспособности указываются не предусмотренные Положением № 845-П экспертные корректировки и причины экспертных корректировок (графы 33 и 34 раздела 4); экспертные корректировки и причины экспертных корректировок (графы 33 и 34 раздела 4) указываются только по траншевым строкам, при этом отсутствуют по основным строкам.</w:t>
      </w:r>
    </w:p>
    <w:p>
      <w:pPr>
        <w:pStyle w:val="BodyText"/>
      </w:pPr>
      <w:r>
        <w:t xml:space="preserve">Некорректное отражение информации по экспертным корректировкам и причинам экспертных корректировок, например:</w:t>
      </w:r>
    </w:p>
    <w:p>
      <w:pPr>
        <w:pStyle w:val="BodyText"/>
      </w:pPr>
      <w:r>
        <w:t xml:space="preserve">банк по экономическому содержанию проводит корректировки по улучшению рейтинга, при этом технически некорректно отражает факт улучшения рейтинга в соответствии с п. 9.32 порядка составления и предоставления отчетности по форме 0409112 Указания № 6406-У (далее — порядок составления): значение показателя приводится в виде отрицательного, а не положительного целого числа (и наоборот);</w:t>
      </w:r>
    </w:p>
    <w:p>
      <w:pPr>
        <w:pStyle w:val="BodyText"/>
      </w:pPr>
      <w:r>
        <w:t xml:space="preserve">для заемщиков специализированного кредитования, по которым определяется уровень кредитоспособности указываются не предусмотренные Положением № 845-П экспертные корректировки и причины экспертных корректировок (графы 33 и 34 раздела 4);</w:t>
      </w:r>
    </w:p>
    <w:p>
      <w:pPr>
        <w:pStyle w:val="BodyText"/>
      </w:pPr>
      <w:r>
        <w:t xml:space="preserve">экспертные корректировки и причины экспертных корректировок (графы 33 и 34 раздела 4) указываются только по траншевым строкам, при этом отсутствуют по основным строкам.</w:t>
      </w:r>
    </w:p>
    <w:p>
      <w:pPr>
        <w:pStyle w:val="BodyText"/>
      </w:pPr>
      <w:r>
        <w:t xml:space="preserve">Нарушение отражения требований внутренних нормативных документов, регламентирующих соответствие выбранных оснований для проведения ручной корректировки рейтинга и количества разрядов/направления ручной корректировки, например: во внутреннем нормативном документе банка указано, что согласно выбранному основанию экспертной корректировки рейтинг корректируется не более, чем на 3 разряда, при этом расчетная на основании данных отчетности экспертная корректировка составляет 5 разрядов; во внутреннем нормативном документе банка указано, что для соответствующего обоснования экспертная корректировка может приводить только к улучшению рейтинга, при этом по данным отчетности рейтинг банком был ухудшен.</w:t>
      </w:r>
    </w:p>
    <w:p>
      <w:pPr>
        <w:pStyle w:val="BodyText"/>
      </w:pPr>
      <w:r>
        <w:t xml:space="preserve">Нарушение отражения требований внутренних нормативных документов, регламентирующих соответствие выбранных оснований для проведения ручной корректировки рейтинга и количества разрядов/направления ручной корректировки, например:</w:t>
      </w:r>
    </w:p>
    <w:p>
      <w:pPr>
        <w:pStyle w:val="BodyText"/>
      </w:pPr>
      <w:r>
        <w:t xml:space="preserve">во внутреннем нормативном документе банка указано, что согласно выбранному основанию экспертной корректировки рейтинг корректируется не более, чем на 3 разряда, при этом расчетная на основании данных отчетности экспертная корректировка составляет 5 разрядов;</w:t>
      </w:r>
    </w:p>
    <w:p>
      <w:pPr>
        <w:pStyle w:val="BodyText"/>
      </w:pPr>
      <w:r>
        <w:t xml:space="preserve">во внутреннем нормативном документе банка указано, что для соответствующего обоснования экспертная корректировка может приводить только к улучшению рейтинга, при этом по данным отчетности рейтинг банком был ухудшен.</w:t>
      </w:r>
    </w:p>
    <w:p>
      <w:pPr>
        <w:pStyle w:val="BodyText"/>
      </w:pPr>
      <w:r>
        <w:t xml:space="preserve">В части расчета риск-метрик:</w:t>
      </w:r>
    </w:p>
    <w:p>
      <w:pPr>
        <w:pStyle w:val="BodyText"/>
      </w:pPr>
      <w:r>
        <w:t xml:space="preserve">Некорректное отражение информации по риск-параметрам в форме отчетности, в том числе идентифицированное на основании проведения межформенного сравнения, например: несоответствие величины вероятности дефолта с учетом надбавки (графа 16 раздела 4) разряду рейтинговой шкалы банка (графа 6 раздела 4); величина вероятности дефолта с учетом надбавки (графа 16 раздела 4) для соответствующего разряда не соответствует диапазону значений граф 5-6 подраздела 3.2 формы 0409114 ; значение вероятности дефолта, используемое для расчета величины кредитного риска ПВР (графа 25 раздела 4) не заполнено, при этом заемщик не является дефолтным, не относится к специализированному кредитованию и значение величины кредитного риска (графа 29 раздела 4) ненулевое (нарушение п. 9.24 порядка составления); значение вероятности дефолта, используемое для расчета величины кредитного риска ПВР (графа 25 раздела 4), совпадает со значением вероятности дефолта с учетом надбавки (графа 16 раздела 4), при этом по указанного заемщику применяется нефондированное обеспечение (в графе 21 раздела 4 проставлен индикатор «1»); значения вероятности дефолта, используемое для расчета величины кредитного риска ПВР (графа 25 раздела 4) и вероятности дефолта с учетом надбавки (графа 16 раздела 4) заполнены, при этом указанные заемщики относятся к специализированному кредитованию, для которого применяются регуляторные коэффициенты риска в зависимости от уровня кредитоспособности (нарушение п. 9.15 и 9.24 порядка составления); значения регуляторного коэффициента риска (графа 19 раздела 4) не заполнены для заемщиков специализированного кредитования (нарушение п. 9.18 порядка составления).</w:t>
      </w:r>
    </w:p>
    <w:p>
      <w:pPr>
        <w:pStyle w:val="BodyText"/>
      </w:pPr>
      <w:r>
        <w:t xml:space="preserve">Некорректное отражение информации по риск-параметрам в форме отчетности, в том числе идентифицированное на основании проведения межформенного сравнения, например:</w:t>
      </w:r>
    </w:p>
    <w:p>
      <w:pPr>
        <w:pStyle w:val="BodyText"/>
      </w:pPr>
      <w:r>
        <w:t xml:space="preserve">несоответствие величины вероятности дефолта с учетом надбавки (графа 16 раздела 4) разряду рейтинговой шкалы банка (графа 6 раздела 4);</w:t>
      </w:r>
    </w:p>
    <w:p>
      <w:pPr>
        <w:pStyle w:val="BodyText"/>
      </w:pPr>
      <w:r>
        <w:t xml:space="preserve">величина вероятности дефолта с учетом надбавки (графа 16 раздела 4) для соответствующего разряда не соответствует диапазону значений граф 5-6 подраздела 3.2 формы 0409114 ;</w:t>
      </w:r>
    </w:p>
    <w:p>
      <w:pPr>
        <w:pStyle w:val="BodyText"/>
      </w:pPr>
      <w:r>
        <w:t xml:space="preserve">значение вероятности дефолта, используемое для расчета величины кредитного риска ПВР (графа 25 раздела 4) не заполнено, при этом заемщик не является дефолтным, не относится к специализированному кредитованию и значение величины кредитного риска (графа 29 раздела 4) ненулевое (нарушение п. 9.24 порядка составления);</w:t>
      </w:r>
    </w:p>
    <w:p>
      <w:pPr>
        <w:pStyle w:val="BodyText"/>
      </w:pPr>
      <w:r>
        <w:t xml:space="preserve">значение вероятности дефолта, используемое для расчета величины кредитного риска ПВР (графа 25 раздела 4), совпадает со значением вероятности дефолта с учетом надбавки (графа 16 раздела 4), при этом по указанного заемщику применяется нефондированное обеспечение (в графе 21 раздела 4 проставлен индикатор «1»);</w:t>
      </w:r>
    </w:p>
    <w:p>
      <w:pPr>
        <w:pStyle w:val="BodyText"/>
      </w:pPr>
      <w:r>
        <w:t xml:space="preserve">значения вероятности дефолта, используемое для расчета величины кредитного риска ПВР (графа 25 раздела 4) и вероятности дефолта с учетом надбавки (графа 16 раздела 4) заполнены, при этом указанные заемщики относятся к специализированному кредитованию, для которого применяются регуляторные коэффициенты риска в зависимости от уровня кредитоспособности (нарушение п. 9.15 и 9.24 порядка составления);</w:t>
      </w:r>
    </w:p>
    <w:p>
      <w:pPr>
        <w:pStyle w:val="BodyText"/>
      </w:pPr>
      <w:r>
        <w:t xml:space="preserve">значения регуляторного коэффициента риска (графа 19 раздела 4) не заполнены для заемщиков специализированного кредитования (нарушение п. 9.18 порядка составления).</w:t>
      </w:r>
    </w:p>
    <w:p>
      <w:pPr>
        <w:pStyle w:val="BodyText"/>
      </w:pPr>
      <w:r>
        <w:t xml:space="preserve">Наличие заемщиков (конкретных договоров), в рамках которых подход на основе внутренних рейтингов применяется (на основании данных из основной строки раздела 4) и не применяется (на основании данных по траншевым строкам раздела 4). Обратная ситуация: наличие заемщиков (конкретных договоров), в рамках которых подход на основе внутренних рейтингов применяется (на основании данных по траншевым строкам раздела 4) и не применяется (на основании данных по основной строке раздела 4).</w:t>
      </w:r>
    </w:p>
    <w:p>
      <w:pPr>
        <w:pStyle w:val="BodyText"/>
      </w:pPr>
      <w:r>
        <w:t xml:space="preserve">Наличие двух и более разных рейтингов (графа 6 раздела 4) для одного заемщика;</w:t>
      </w:r>
    </w:p>
    <w:p>
      <w:pPr>
        <w:pStyle w:val="BodyText"/>
      </w:pPr>
      <w:r>
        <w:t xml:space="preserve">Несоответствие кода разряда регуляторного коэффициента риска (графа 9 раздела 4) значениям регуляторных коэффициентов риска (графа 19 раздела 4) и требованиям пункта 3.6 Положения № 845-П (нарушение п. 9.9 порядка составления).</w:t>
      </w:r>
    </w:p>
    <w:p>
      <w:pPr>
        <w:pStyle w:val="BodyText"/>
      </w:pPr>
      <w:r>
        <w:t xml:space="preserve">Некорректное заполнение информации по показателю корреляции, например: значение показателя корреляции (графа 27 раздела 4) не заполнено, при этом присутствует ненулевое значение вероятности дефолта, используемое для расчета величины кредитного риска ПВР (графа 25 раздела 4) (нарушение п. 9.26 порядка составления); при наличии признака корректировки показателя корреляции (графа 28 раздела 4 имеет значение «1») значение показателя корреляции (графа 27 раздела 4) не заполнено или не соответствует значению, полученному на основании применения формулы пункта 3.3 Положения № 845-П (нарушение п. 9.27 порядка составления).</w:t>
      </w:r>
    </w:p>
    <w:p>
      <w:pPr>
        <w:pStyle w:val="BodyText"/>
      </w:pPr>
      <w:r>
        <w:t xml:space="preserve">Некорректное заполнение информации по показателю корреляции, например:</w:t>
      </w:r>
    </w:p>
    <w:p>
      <w:pPr>
        <w:pStyle w:val="BodyText"/>
      </w:pPr>
      <w:r>
        <w:t xml:space="preserve">значение показателя корреляции (графа 27 раздела 4) не заполнено, при этом присутствует ненулевое значение вероятности дефолта, используемое для расчета величины кредитного риска ПВР (графа 25 раздела 4) (нарушение п. 9.26 порядка составления);</w:t>
      </w:r>
    </w:p>
    <w:p>
      <w:pPr>
        <w:pStyle w:val="BodyText"/>
      </w:pPr>
      <w:r>
        <w:t xml:space="preserve">при наличии признака корректировки показателя корреляции (графа 28 раздела 4 имеет значение «1») значение показателя корреляции (графа 27 раздела 4) не заполнено или не соответствует значению, полученному на основании применения формулы пункта 3.3 Положения № 845-П (нарушение п. 9.27 порядка составления).</w:t>
      </w:r>
    </w:p>
    <w:p>
      <w:pPr>
        <w:pStyle w:val="BodyText"/>
      </w:pPr>
      <w:r>
        <w:t xml:space="preserve">В части проверки корректности расчета величины кредитного риска на основе ПВР:</w:t>
      </w:r>
    </w:p>
    <w:p>
      <w:pPr>
        <w:pStyle w:val="BodyText"/>
      </w:pPr>
      <w:r>
        <w:t xml:space="preserve">Несогласованность значений величины кредитного риска ПВР и величины кредитного требования, подверженного риску дефолта, например: отражение ненулевой величины кредитного риска ПВР (графа 29 раздела 4) при нулевом значении величины кредитного требования, подверженного риску дефолта (графа 10 раздела 4); завышение/занижение (за исключением случаев, когда применяется нефондированное/фондированное обеспечение) величины кредитного риска ПВР, рассчитанной с учетом информации из раздела 4 (в том числе с учетом значений величины кредитного требования, подверженного риску дефолта) по сравнению с информацией, представленной в графе 29 раздела 4.</w:t>
      </w:r>
    </w:p>
    <w:p>
      <w:pPr>
        <w:pStyle w:val="BodyText"/>
      </w:pPr>
      <w:r>
        <w:t xml:space="preserve">Несогласованность значений величины кредитного риска ПВР и величины кредитного требования, подверженного риску дефолта, например:</w:t>
      </w:r>
    </w:p>
    <w:p>
      <w:pPr>
        <w:pStyle w:val="BodyText"/>
      </w:pPr>
      <w:r>
        <w:t xml:space="preserve">отражение ненулевой величины кредитного риска ПВР (графа 29 раздела 4) при нулевом значении величины кредитного требования, подверженного риску дефолта (графа 10 раздела 4);</w:t>
      </w:r>
    </w:p>
    <w:p>
      <w:pPr>
        <w:pStyle w:val="BodyText"/>
      </w:pPr>
      <w:r>
        <w:t xml:space="preserve">завышение/занижение (за исключением случаев, когда применяется нефондированное/фондированное обеспечение) величины кредитного риска ПВР, рассчитанной с учетом информации из раздела 4 (в том числе с учетом значений величины кредитного требования, подверженного риску дефолта) по сравнению с информацией, представленной в графе 29 раздела 4.</w:t>
      </w:r>
    </w:p>
    <w:p>
      <w:pPr>
        <w:pStyle w:val="BodyText"/>
      </w:pPr>
      <w:r>
        <w:t xml:space="preserve">Некорректное отражение информации о факте применения нефондированного/фондированного обеспечения, например: для признака нефондированного обеспечения (корректировка вероятности дефолта) (графа 21 раздела 4) указан индикатор «1», при этом, значения в графах 16 и 25 раздела 4 совпадают, а фактически величина кредитного риска ПВР рассчитана без учета применения нефондированного обеспечения. Возможна обратная ситуация, когда индикатор в графе 21 проставлен «0», при этом значение в графе 25 меньше значения в графе 16 (нарушение п. 9.20 порядка составления); графа 21 раздела 4 имеет индикатор «1» по основной строке, при этом, в траншевой строке проставлен индикатор «0». Обратная ситуация, когда графа 21 раздела 4 имеет индикатор «1» по траншевым строкам, при этом, по основной строке проставлен индикатор «0». для признака нефондированного обеспечения (применение коэффициентов стандартизированного подхода) (графа 23 раздела 4) проставлен индикатор «1», при этом, при расчете величины кредитного риска ПВР использовались риск-параметры, полученные на основании применения ПВР-моделей, а не положений Инструкции № 199-И (нарушение п. 9.22 порядка составления). в рамках применения БПВР для признака фондированного обеспечения (графа 24 раздела 4) указан индикатор «1», при этом, значение уровня потерь при дефолте (графа 26 раздела 4) имеет значение не меньшее 40%. Возможна обратная ситуация, когда в графе 26 указано значение уровня потерь при дефолте меньшее 40%, при этом, в графе 24 проставлен индикатор «0» (нарушение п. 9.23 порядка составления). графа 24 раздела 4 имеет индикатор «1» по основной строке, при этом, в траншевой строке проставлен индикатор «0». Обратная ситуация, когда графа 24 имеет индикатор «1» по траншевым строкам, при этом по основной строке проставлен индикатор «0».</w:t>
      </w:r>
    </w:p>
    <w:p>
      <w:pPr>
        <w:pStyle w:val="BodyText"/>
      </w:pPr>
      <w:r>
        <w:t xml:space="preserve">Некорректное отражение информации о факте применения нефондированного/фондированного обеспечения, например:</w:t>
      </w:r>
    </w:p>
    <w:p>
      <w:pPr>
        <w:pStyle w:val="BodyText"/>
      </w:pPr>
      <w:r>
        <w:t xml:space="preserve">для признака нефондированного обеспечения (корректировка вероятности дефолта) (графа 21 раздела 4) указан индикатор «1», при этом, значения в графах 16 и 25 раздела 4 совпадают, а фактически величина кредитного риска ПВР рассчитана без учета применения нефондированного обеспечения. Возможна обратная ситуация, когда индикатор в графе 21 проставлен «0», при этом значение в графе 25 меньше значения в графе 16 (нарушение п. 9.20 порядка составления);</w:t>
      </w:r>
    </w:p>
    <w:p>
      <w:pPr>
        <w:pStyle w:val="BodyText"/>
      </w:pPr>
      <w:r>
        <w:t xml:space="preserve">графа 21 раздела 4 имеет индикатор «1» по основной строке, при этом, в траншевой строке проставлен индикатор «0». Обратная ситуация, когда графа 21 раздела 4 имеет индикатор «1» по траншевым строкам, при этом, по основной строке проставлен индикатор «0».</w:t>
      </w:r>
    </w:p>
    <w:p>
      <w:pPr>
        <w:pStyle w:val="BodyText"/>
      </w:pPr>
      <w:r>
        <w:t xml:space="preserve">для признака нефондированного обеспечения (применение коэффициентов стандартизированного подхода) (графа 23 раздела 4) проставлен индикатор «1», при этом, при расчете величины кредитного риска ПВР использовались риск-параметры, полученные на основании применения ПВР-моделей, а не положений Инструкции № 199-И (нарушение п. 9.22 порядка составления).</w:t>
      </w:r>
    </w:p>
    <w:p>
      <w:pPr>
        <w:pStyle w:val="BodyText"/>
      </w:pPr>
      <w:r>
        <w:t xml:space="preserve">в рамках применения БПВР для признака фондированного обеспечения (графа 24 раздела 4) указан индикатор «1», при этом, значение уровня потерь при дефолте (графа 26 раздела 4) имеет значение не меньшее 40%. Возможна обратная ситуация, когда в графе 26 указано значение уровня потерь при дефолте меньшее 40%, при этом, в графе 24 проставлен индикатор «0» (нарушение п. 9.23 порядка составления).</w:t>
      </w:r>
    </w:p>
    <w:p>
      <w:pPr>
        <w:pStyle w:val="BodyText"/>
      </w:pPr>
      <w:r>
        <w:t xml:space="preserve">графа 24 раздела 4 имеет индикатор «1» по основной строке, при этом, в траншевой строке проставлен индикатор «0». Обратная ситуация, когда графа 24 имеет индикатор «1» по траншевым строкам, при этом по основной строке проставлен индикатор «0».</w:t>
      </w:r>
    </w:p>
    <w:p>
      <w:pPr>
        <w:pStyle w:val="BodyText"/>
      </w:pPr>
      <w:r>
        <w:t xml:space="preserve">Несогласованность информации между основной и траншевыми строками, например: несоответствие итоговой величины кредитного риска/кредитного требования, подверженного риску дефолта (графы 10 и 29 раздела 4) сумме значений величины кредитного риска/кредитного требования, подверженного риску дефолта, по балансовым активам и условным обязательствам кредитного характера (графы 11, 12 и 30, 31 раздела 4, соответственно); отсутствие информации по основной строке, при наличии информации по траншевым строкам.</w:t>
      </w:r>
    </w:p>
    <w:p>
      <w:pPr>
        <w:pStyle w:val="BodyText"/>
      </w:pPr>
      <w:r>
        <w:t xml:space="preserve">Несогласованность информации между основной и траншевыми строками, например:</w:t>
      </w:r>
    </w:p>
    <w:p>
      <w:pPr>
        <w:pStyle w:val="BodyText"/>
      </w:pPr>
      <w:r>
        <w:t xml:space="preserve">несоответствие итоговой величины кредитного риска/кредитного требования, подверженного риску дефолта (графы 10 и 29 раздела 4) сумме значений величины кредитного риска/кредитного требования, подверженного риску дефолта, по балансовым активам и условным обязательствам кредитного характера (графы 11, 12 и 30, 31 раздела 4, соответственно);</w:t>
      </w:r>
    </w:p>
    <w:p>
      <w:pPr>
        <w:pStyle w:val="BodyText"/>
      </w:pPr>
      <w:r>
        <w:t xml:space="preserve">отсутствие информации по основной строке, при наличии информации по траншевым строкам.</w:t>
      </w:r>
    </w:p>
    <w:p>
      <w:pPr>
        <w:pStyle w:val="BodyText"/>
      </w:pPr>
      <w:r>
        <w:t xml:space="preserve">В части отражения информации по событиям дефолтов:</w:t>
      </w:r>
    </w:p>
    <w:p>
      <w:pPr>
        <w:pStyle w:val="BodyText"/>
      </w:pPr>
      <w:r>
        <w:t xml:space="preserve">Несогласованность информации, отраженной в базе дефолтов, с информацией по произошедшим дефолтам по заемщикам, используемой для расчета величины кредитного риска на основе ПВР. Например, по заемщику произошел дефолт (графа 13 раздела 4 имеет индикатор «1»), при этом проставлен недефолтный рейтинг или недефолтный регуляторный коэффициент риска (графы 6 и 9 раздела 4). Возможна обратная ситуация, когда для дефолтного рейтинга и дефолтного регуляторного коэффициента риска отсутствует признак произошедшего дефолта, а также дата и причина дефолта (графы 14 и 15 раздела 4) (нарушение п. 9.6, 9.9, 9.12-9.14 порядка составления).</w:t>
      </w:r>
    </w:p>
    <w:p>
      <w:pPr>
        <w:pStyle w:val="BodyText"/>
      </w:pPr>
      <w:r>
        <w:t xml:space="preserve">Как следует заполнять графы 8 «Код разряда рейтинговой шкалы ВКТД (конверсионного коэффициента)» и 9 «Код разряда шкалы регуляторных коэффициентов риска» при наличии нескольких значений?</w:t>
      </w:r>
    </w:p>
    <w:p>
      <w:pPr>
        <w:pStyle w:val="BodyText"/>
      </w:pPr>
      <w:r>
        <w:t xml:space="preserve">Обновлено: 14.07.2023</w:t>
      </w:r>
    </w:p>
    <w:p>
      <w:pPr>
        <w:pStyle w:val="BodyText"/>
      </w:pPr>
      <w:r>
        <w:t xml:space="preserve">При наличии нескольких значений в графах 8 «Код разряда рейтинговой шкалы ВКТД (конверсионного коэффициента)», 9 «Код разряда шкалы регуляторных коэффициентов риска», коды следует указывать через запятую.</w:t>
      </w:r>
    </w:p>
    <w:p>
      <w:pPr>
        <w:pStyle w:val="BodyText"/>
      </w:pPr>
      <w:r>
        <w:t xml:space="preserve">Как следует заполнять графу 18 «Значение конверсионного коэффициента, в процентах» при наличии нескольких значений конверсионного коэффициента?</w:t>
      </w:r>
    </w:p>
    <w:p>
      <w:pPr>
        <w:pStyle w:val="BodyText"/>
      </w:pPr>
      <w:r>
        <w:t xml:space="preserve">Обновлено: 14.07.2023</w:t>
      </w:r>
    </w:p>
    <w:p>
      <w:pPr>
        <w:pStyle w:val="BodyText"/>
      </w:pPr>
      <w:r>
        <w:t xml:space="preserve">При наличии различных значений конверсионных коэффициентов в графе 18 «Значение конверсионного коэффициента, в процентах» следует указывать средневзвешенное значение по неиспользованному лимиту.</w:t>
      </w:r>
    </w:p>
    <w:p>
      <w:pPr>
        <w:pStyle w:val="BodyText"/>
      </w:pPr>
      <w:r>
        <w:t xml:space="preserve">Как следует заполнять графу 19 «Регуляторный коэффициент риска, в процентах» по основной строке в случае, если в рамках одного кредитного договора выдано несколько траншей с разным риск-весом из-за разных сроков погашения?</w:t>
      </w:r>
    </w:p>
    <w:p>
      <w:pPr>
        <w:pStyle w:val="BodyText"/>
      </w:pPr>
      <w:r>
        <w:t xml:space="preserve">Обновлено: 14.07.2023</w:t>
      </w:r>
    </w:p>
    <w:p>
      <w:pPr>
        <w:pStyle w:val="BodyText"/>
      </w:pPr>
      <w:r>
        <w:t xml:space="preserve">При наличии различных значений регуляторных коэффициентов риска в связи с разными сроками погашения в графе 19 «Регуляторный коэффициент риска, в процентах» следует указывать средневзвешенный по величине кредитного требования, подверженного риску дефолта, регуляторный коэффициент риска.</w:t>
      </w:r>
    </w:p>
    <w:p>
      <w:pPr>
        <w:pStyle w:val="BodyText"/>
      </w:pPr>
      <w:r>
        <w:t xml:space="preserve">Как следует заполнять графы 25 («Значение ВД, используемое для расчета величины кредитного риска, в процентах»), 26 («Значение УПД, используемое для расчета величины кредитного риска, в процентах»), 27 («Значение показателя корреляции, используемое для расчета величины кредитного риска, в процентах») при наличии различных значений указанных параметров?</w:t>
      </w:r>
    </w:p>
    <w:p>
      <w:pPr>
        <w:pStyle w:val="BodyText"/>
      </w:pPr>
      <w:r>
        <w:t xml:space="preserve">Обновлено: 14.07.2023</w:t>
      </w:r>
    </w:p>
    <w:p>
      <w:pPr>
        <w:pStyle w:val="BodyText"/>
      </w:pPr>
      <w:r>
        <w:t xml:space="preserve">При наличии различных значений в графах 25 («Значение ВД, используемое для расчета величины кредитного риска, в процентах»), 26 («Значение УПД, используемое для расчета величины кредитного риска, в процентах»), 27 («Значение показателя корреляции, используемое для расчета величины кредитного риска, в процентах») следует указывать средневзвешенное по величине кредитного требования, подверженного риску дефолта, значение.</w:t>
      </w:r>
    </w:p>
    <w:p>
      <w:pPr>
        <w:pStyle w:val="BodyText"/>
      </w:pPr>
      <w:r>
        <w:t xml:space="preserve">На сайте Банка России используются файлы cookie</w:t>
      </w:r>
    </w:p>
    <w:p>
      <w:pPr>
        <w:pStyle w:val="BodyText"/>
      </w:pPr>
      <w:r>
        <w:t xml:space="preserve">Оставаясь на www.cbr.ru , вы принимаете пользовательское соглашение</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2026-09-27T11:01:30Z</dcterms:created>
  <dcterms:modified xsi:type="dcterms:W3CDTF">2026-09-27T11:01:30Z</dcterms:modified>
</cp:coreProperties>
</file>

<file path=docProps/custom.xml><?xml version="1.0" encoding="utf-8"?>
<Properties xmlns="http://schemas.openxmlformats.org/officeDocument/2006/custom-properties" xmlns:vt="http://schemas.openxmlformats.org/officeDocument/2006/docPropsVTypes"/>
</file>