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5de1bb99ad57549dc55d327b5776891480d7ae"/>
    <w:p>
      <w:pPr>
        <w:pStyle w:val="Heading1"/>
      </w:pPr>
      <w:r>
        <w:t xml:space="preserve">Отчетность по форме 0409128 «Данные о средневзвешенных процентных ставках по кредитам, предоставленным кредитной организацией физическим лицам»</w:t>
      </w:r>
    </w:p>
    <w:p>
      <w:pPr>
        <w:pStyle w:val="FirstParagraph"/>
      </w:pPr>
      <w:r>
        <w:t xml:space="preserve">Отчетность по форме 0409128 «Данные о средневзвешенных процентных ставках по кредитам, предоставленным кредитной организацией физическим лицам»</w:t>
      </w:r>
    </w:p>
    <w:p>
      <w:pPr>
        <w:pStyle w:val="BodyText"/>
      </w:pPr>
      <w:r>
        <w:t xml:space="preserve">Следует ли учитывать в отчетности по форме 0409128 информацию о предоставлении заемщику-физическому лицу льготного периода в соответствии с пунктом 2 Федерального закона от 07.10.2022 № 377-ФЗ «Об особенностях исполнения обязательств по кредитным договорам (договорам займа) лицами, призванными на военную службу по мобилизации в Вооруженные Силы Российской Федерации, лицами, принимающими участие в специальной военной операции, а также членами их семей и о внесении изменений в отдельные законодательные акты Российской Федерации» (далее — Федеральный закон № 377-ФЗ).</w:t>
      </w:r>
    </w:p>
    <w:p>
      <w:pPr>
        <w:pStyle w:val="BodyText"/>
      </w:pPr>
      <w:r>
        <w:t xml:space="preserve">Обновлено: 16.03.2023</w:t>
      </w:r>
    </w:p>
    <w:p>
      <w:pPr>
        <w:pStyle w:val="BodyText"/>
      </w:pPr>
      <w:r>
        <w:t xml:space="preserve">Нет, не следует. Сведения по кредиту, по которому произошло изменение условий, предусматривающее приостановление исполнения заемщиком своих обязательств на определенный срок (льготный период), в том числе в соответствии с пунктом 2 Федерального закона № 377-ФЗ, не подлежат отражению в отчетности по форме 0409128.</w:t>
      </w:r>
    </w:p>
    <w:p>
      <w:pPr>
        <w:pStyle w:val="BodyText"/>
      </w:pPr>
      <w:r>
        <w:t xml:space="preserve">В целях составления отчетности по форме 0409128 как правильно отражать автокредит, если Банк планирует выдавать ссуды на покупку конкретного транспортного средства с перечислением денежных средств на расчетный счет клиента и условием регистрации залога в пользу Банка в течение 10 календарных дней с даты заключения кредитного договора? Кроме того, как следует отражать данный кредит, если при регистрации залога в пользу Банка в документах указан другой автомобиль?</w:t>
      </w:r>
    </w:p>
    <w:p>
      <w:pPr>
        <w:pStyle w:val="BodyText"/>
      </w:pPr>
      <w:r>
        <w:t xml:space="preserve">Обновлено: 21.02.2022</w:t>
      </w:r>
    </w:p>
    <w:p>
      <w:pPr>
        <w:pStyle w:val="BodyText"/>
      </w:pPr>
      <w:r>
        <w:t xml:space="preserve">Указанную ссуду следует отражать как автокредит по графам «всего» и «в том числе автокредиты» формы 0409128 в месяце предоставления средств с даты заключения договора, несмотря на отсутствие регистрации залога в пользу Банка, а также вне зависимости от того, какое автотранспортное средство указано при регистрации залога (приобретаемое или отличное от приобретаемого), а также его стоимости. При этом кредит должен быть предоставлен на действующих на отчетную дату условиях автокредитования (в том числе под соответствующую процентную ставку, установленную для автокредитов).</w:t>
      </w:r>
    </w:p>
    <w:p>
      <w:pPr>
        <w:pStyle w:val="BodyText"/>
      </w:pPr>
      <w:r>
        <w:t xml:space="preserve">Какой код ОКАТО следует указывать в отчете по форме 0409128 при предоставлении средств в г. Байконуре?</w:t>
      </w:r>
    </w:p>
    <w:p>
      <w:pPr>
        <w:pStyle w:val="BodyText"/>
      </w:pPr>
      <w:r>
        <w:t xml:space="preserve">Обновлено: 26.07.2021</w:t>
      </w:r>
    </w:p>
    <w:p>
      <w:pPr>
        <w:pStyle w:val="BodyText"/>
      </w:pPr>
      <w:r>
        <w:t xml:space="preserve">В случае, если кредит предоставлен заемщику-резиденту Российской Федерации, зарегистрированному в городе Байконуре (административно-территориальной единице Республики Казахстан), его следует отражать в форме 0409128 по коду ОКАТО головного офиса Банка. Кредиты, предоставленные заемщикам-нерезидентам Российской Федерации, отражаются в форме 0409128 по условному коду 99999.</w:t>
      </w:r>
    </w:p>
    <w:p>
      <w:pPr>
        <w:pStyle w:val="BodyText"/>
      </w:pPr>
      <w:r>
        <w:t xml:space="preserve">Какую действующую процентную ставку следует применять при расчете средневзвешенной ставки в случае, когда в договоре по ипотечному жилищному кредиту при предоставлении субсидий от застройщиков установлены два фиксированных процентных периода, первый из которых по «льготной» ставке при выполнении определенных условий?</w:t>
      </w:r>
    </w:p>
    <w:p>
      <w:pPr>
        <w:pStyle w:val="BodyText"/>
      </w:pPr>
      <w:r>
        <w:t xml:space="preserve">Обновлено: 08.02.2021</w:t>
      </w:r>
    </w:p>
    <w:p>
      <w:pPr>
        <w:pStyle w:val="BodyText"/>
      </w:pPr>
      <w:r>
        <w:t xml:space="preserve">Согласно пункту 7 порядка составления и представления отчетности по форме 0409128 по кредитам, предоставленным по переменной процентной ставке, будущие значения которой определены кредитным договором, при заполнении граф 3 и 5 Отчета отражается средневзвешенная по длительности действия процентная ставка за весь срок действия кредитного договора*. Такой подход следует применять, если на момент составления отчетности доподлинно известно о выполнении определенных условий, при которых будет действовать первоначальная «льготная» ставка.</w:t>
      </w:r>
    </w:p>
    <w:p>
      <w:pPr>
        <w:pStyle w:val="BodyText"/>
      </w:pPr>
      <w:r>
        <w:t xml:space="preserve">В случае, если на дату составления отчетности неизвестно будут ли выполнены условия, при которых согласно кредитному договору применяется «льготная» ставка, то в расчет средневзвешенной процентной ставки на весь срок действия кредитного договора следует включать ставку второго процентного периода.</w:t>
      </w:r>
    </w:p>
    <w:p>
      <w:pPr>
        <w:pStyle w:val="Compact"/>
        <w:numPr>
          <w:ilvl w:val="0"/>
          <w:numId w:val="1001"/>
        </w:numPr>
      </w:pPr>
      <w:r>
        <w:t xml:space="preserve">Например: договором на срок 10 лет установлена ставка 0,01% годовых в течение первых 7 месяцев после выдачи кредита при выполнении определенных условий и вторая процентная ставка 6.5% годовых, действующая по истечении 7 месяцев до окончания срока кредитного договора. Средневзвешенная по длительности действия ставка: (0.01</w:t>
      </w:r>
      <w:r>
        <w:rPr>
          <w:i/>
          <w:iCs/>
        </w:rPr>
        <w:t xml:space="preserve">7+6.5</w:t>
      </w:r>
      <w:r>
        <w:t xml:space="preserve">113)/120=6,121% годовых.</w:t>
      </w:r>
    </w:p>
    <w:p>
      <w:pPr>
        <w:pStyle w:val="FirstParagraph"/>
      </w:pPr>
      <w:r>
        <w:t xml:space="preserve">Как при составлении Отчета учитываются ссуды, по которым заемщикам — физическим лицам предоставлен льготный период?</w:t>
      </w:r>
    </w:p>
    <w:p>
      <w:pPr>
        <w:pStyle w:val="BodyText"/>
      </w:pPr>
      <w:r>
        <w:t xml:space="preserve">Обновлено: 24.12.2024</w:t>
      </w:r>
    </w:p>
    <w:p>
      <w:pPr>
        <w:pStyle w:val="BodyText"/>
      </w:pPr>
      <w:r>
        <w:t xml:space="preserve">При составлении отчета не учитывается предоставление заемщику – физическому лицу льготного периода, предусматривающего приостановление исполнения заемщиком своих обязательств на определенный срок, по кредитному договору (договору займа), в том числе :</w:t>
      </w:r>
    </w:p>
    <w:p>
      <w:pPr>
        <w:pStyle w:val="BodyText"/>
      </w:pPr>
      <w:r>
        <w:t xml:space="preserve">по кредитному договору (договору займа), обязательства по которому обеспечены ипотекой в соответствии с пунктом 1 статьи 61-1 Федерального закона от 21.12.2013 года № 353-ФЗ «О потребительском кредите (займе)», введенной Федеральным законом от 01.05.2019 N 76-ФЗ «О внесении изменений в отдельные законодательные акты Российской Федерации в части особенностей изменения условий кредитного договора, договора займа, которые заключены с заемщиком — физическим лицом в целях, не связанных с осуществлением им предпринимательской деятельности, и обязательства заемщика по которым обеспечены ипотекой, по требованию заемщика»;</w:t>
      </w:r>
    </w:p>
    <w:p>
      <w:pPr>
        <w:pStyle w:val="BodyText"/>
      </w:pPr>
      <w:r>
        <w:t xml:space="preserve">по ссуде, предоставленной физическому лицу, по которой в отчетном месяце в соответствии с Федеральным законом от 03.04.2020 № 106-ФЗ «О внесении изменений в Федеральный закон «О Центральном банке Российской Федерации (Банке России)» приостановлено исполнение обязательств заемщиком на срок, определенный заемщиком (льготный период);</w:t>
      </w:r>
    </w:p>
    <w:p>
      <w:pPr>
        <w:pStyle w:val="BodyText"/>
      </w:pPr>
      <w:r>
        <w:t xml:space="preserve">по кредиту, по которому произошло изменение условий, предусматривающее приостановление исполнения заемщиком своих обязательств на определенный срок (льготный период), в том числе в соответствии с пунктом 2 статьи 1 Федерального закона от 07.10.2022 № 377-ФЗ «Об особенностях исполнения обязательств по кредитным договорам (договорам займа) лицами, призванными на военную службу по мобилизации в Вооруженные Силы Российской Федерации, лицами, принимающими участие в специальной военной операции, а также членами их семей и о внесении изменений в отдельные законодательные акты Российской Федерации».</w:t>
      </w:r>
    </w:p>
    <w:p>
      <w:pPr>
        <w:pStyle w:val="BodyText"/>
      </w:pPr>
      <w:r>
        <w:t xml:space="preserve">Какую процентную ставку следует указывать при заполнении граф 4 и 6 формы 0409128, если условиями кредитного договора предусмотрен пересмотр фиксированной ставки в случае отказа заемщика в месяце, в котором был выдан кредит, от дополнительных услуг в соответствии с подпунктом 3 пункта 2.1 статьи 7 Федерального закона от 21.12.2013 года № 353-ФЗ «О потребительском кредите (займе)»?</w:t>
      </w:r>
    </w:p>
    <w:p>
      <w:pPr>
        <w:pStyle w:val="BodyText"/>
      </w:pPr>
      <w:r>
        <w:t xml:space="preserve">Обновлено: 24.12.2024</w:t>
      </w:r>
    </w:p>
    <w:p>
      <w:pPr>
        <w:pStyle w:val="BodyText"/>
      </w:pPr>
      <w:r>
        <w:t xml:space="preserve">В соответствии с пунктом 5 Порядка составления и представления формы 0409128 изменение условий кредитного договора, в том числе уровня процентной ставки, до истечения срока договора не подлежит отражению в отчетности: в графах 4 и 6 отражается ставка, прописанная в первоначальных условиях договора на дату выдачи кредита.</w:t>
      </w:r>
    </w:p>
    <w:p>
      <w:pPr>
        <w:pStyle w:val="BodyText"/>
      </w:pPr>
      <w:r>
        <w:t xml:space="preserve">На какую дату определяется статус аффилированности заемщика при предоставлении клиенту в отчетном месяце очередного транша в рамках договора об открытии кредитной линии и при отсутствии дополнительного соглашения в целях составления отчетности по форме 0409128?</w:t>
      </w:r>
    </w:p>
    <w:p>
      <w:pPr>
        <w:pStyle w:val="BodyText"/>
      </w:pPr>
      <w:r>
        <w:t xml:space="preserve">Обновлено: 24.12.2024</w:t>
      </w:r>
    </w:p>
    <w:p>
      <w:pPr>
        <w:pStyle w:val="BodyText"/>
      </w:pPr>
      <w:r>
        <w:t xml:space="preserve">В случае, если предусмотрено изменение значений процентной ставки по договору при предоставлении в отчетном месяце очередного транша в рамках кредитной линии, в том числе в связи с включением/ исключением клиента из списка аффилированных лиц, то при формировании данных об операциях кредитования используется актуальный статус аффилированности клиента по состоянию на дату выдачи средств.</w:t>
      </w:r>
    </w:p>
    <w:p>
      <w:pPr>
        <w:pStyle w:val="BodyText"/>
      </w:pPr>
      <w:r>
        <w:t xml:space="preserve">В каком объеме и по какой процентной ставке учитываются комбо-кредиты, включающие в себя совмещение льготных программ кредитования с рыночными условиями по средневзвешенной ставке, рассчитанной исходя из льготной ставки и ставки банка по рыночным условиям, в графах 8 и 9 формы 0409128 с отчетности на 01.02.2025?</w:t>
      </w:r>
    </w:p>
    <w:p>
      <w:pPr>
        <w:pStyle w:val="BodyText"/>
      </w:pPr>
      <w:r>
        <w:t xml:space="preserve">Обновлено: 24.12.2024</w:t>
      </w:r>
    </w:p>
    <w:p>
      <w:pPr>
        <w:pStyle w:val="BodyText"/>
      </w:pPr>
      <w:r>
        <w:t xml:space="preserve">В случае предоставления физическим лицам кредитов по комбинированным программам, предусматривающим совмещение льготных программ и рыночных условий, такие кредиты подлежат отражению по графе 9 формы 0409128 с отчетности на 01.02.2025 частично в объеме*, выданном по рыночным условиям. При этом по графе 8 следует указывать процентную ставку, соответствующую рыночным условиям и включаемую в расчет средневзвешенной ставки, указанной в кредитном договоре клиента.</w:t>
      </w:r>
    </w:p>
    <w:p>
      <w:pPr>
        <w:pStyle w:val="Compact"/>
        <w:numPr>
          <w:ilvl w:val="0"/>
          <w:numId w:val="1002"/>
        </w:numPr>
      </w:pPr>
      <w:r>
        <w:t xml:space="preserve">Например: кредитным договором, в котором для клиента – физического лица будет указана средневзвешенная по объему ставка в размере 15%, рассчитанная Банком исходя из льготной ставки 8% и ставки по рыночным условиям 22%, определена выдача средств в соотношении суммы, выданной в рамках госпрограммы, к сумме, выданной по рыночным условиям, 1:1. В данном случае по графе 9 будет отражена сумма в размере 50% полного объема кредита, по графе 8 – ставка в размере 22%.</w:t>
      </w:r>
    </w:p>
    <w:p>
      <w:pPr>
        <w:pStyle w:val="FirstParagraph"/>
      </w:pPr>
      <w:r>
        <w:t xml:space="preserve">Какие программы входят в понятие «льготные программы кредитования», исключаемые при расчете показателей при заполнении граф 8 и 9 формы 0409128 с отчетности на 01.02.2025?</w:t>
      </w:r>
    </w:p>
    <w:p>
      <w:pPr>
        <w:pStyle w:val="BodyText"/>
      </w:pPr>
      <w:r>
        <w:t xml:space="preserve">Обновлено: 24.12.2024</w:t>
      </w:r>
    </w:p>
    <w:p>
      <w:pPr>
        <w:pStyle w:val="BodyText"/>
      </w:pPr>
      <w:r>
        <w:t xml:space="preserve">В целях заполнения граф 8 и 9 начиная с отчетности на 01.02.2025 под льготными программами кредитования понимаются субсидируемые в рамках программ государственной поддержки и других льготных условий программы, например, программы кредитных организаций с застройщиками, внутренние программы организаций (в том числе для сотрудников банков), ведомственные программы (военная ипотека) и программы с корпоративным субсидированием, выданные с субсидированием первоначального взноса.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2026-09-27T11:01:30Z</dcterms:created>
  <dcterms:modified xsi:type="dcterms:W3CDTF">2026-09-27T11:01:30Z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