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4fcdf8e56c1a1b2522c79cf3093e562d41de8f"/>
    <w:p>
      <w:pPr>
        <w:pStyle w:val="Heading1"/>
      </w:pPr>
      <w:r>
        <w:t xml:space="preserve">Отчетность по форме 0409212 «Сведения о перевозке, инкассации наличных денег в кредитной организации»</w:t>
      </w:r>
    </w:p>
    <w:p>
      <w:pPr>
        <w:pStyle w:val="FirstParagraph"/>
      </w:pPr>
      <w:r>
        <w:t xml:space="preserve">Отчетность по форме 0409212 «Сведения о перевозке, инкассации наличных денег в кредитной организации»</w:t>
      </w:r>
    </w:p>
    <w:p>
      <w:pPr>
        <w:pStyle w:val="BodyText"/>
      </w:pPr>
      <w:r>
        <w:t xml:space="preserve">Как заполняется отчетность по форме 0409212 «Сведения о перевозке, инкассации наличных денег в кредитной организации»?</w:t>
      </w:r>
    </w:p>
    <w:p>
      <w:pPr>
        <w:pStyle w:val="BodyText"/>
      </w:pPr>
      <w:r>
        <w:t xml:space="preserve">Обновлено: 04.12.2025</w:t>
      </w:r>
    </w:p>
    <w:p>
      <w:pPr>
        <w:pStyle w:val="BodyText"/>
      </w:pPr>
      <w:r>
        <w:t xml:space="preserve">При заполнении отчетности по форме 0409212 «Сведения о перевозке, инкассации наличных денег в кредитной организации» следует руководствоваться следующими примерами:</w:t>
      </w:r>
    </w:p>
    <w:p>
      <w:pPr>
        <w:pStyle w:val="BodyText"/>
      </w:pPr>
      <w:r>
        <w:t xml:space="preserve">Пример 1</w:t>
      </w:r>
    </w:p>
    <w:p>
      <w:pPr>
        <w:pStyle w:val="BodyText"/>
      </w:pPr>
      <w:r>
        <w:t xml:space="preserve">Пример 2</w:t>
      </w:r>
    </w:p>
    <w:p>
      <w:pPr>
        <w:pStyle w:val="BodyText"/>
      </w:pPr>
      <w:r>
        <w:t xml:space="preserve">Пример 3</w:t>
      </w:r>
    </w:p>
    <w:p>
      <w:pPr>
        <w:pStyle w:val="BodyText"/>
      </w:pPr>
      <w:r>
        <w:t xml:space="preserve">Пример 4</w:t>
      </w:r>
    </w:p>
    <w:p>
      <w:pPr>
        <w:pStyle w:val="BodyText"/>
      </w:pPr>
      <w:r>
        <w:t xml:space="preserve">Каковы правила логического контроля при заполнении отчетности по форме 0409212 «Сведения о перевозке, инкассации наличных денег в кредитной организации»?</w:t>
      </w:r>
    </w:p>
    <w:p>
      <w:pPr>
        <w:pStyle w:val="BodyText"/>
      </w:pPr>
      <w:r>
        <w:t xml:space="preserve">Обновлено: 04.12.2025</w:t>
      </w:r>
    </w:p>
    <w:p>
      <w:pPr>
        <w:pStyle w:val="BodyText"/>
      </w:pPr>
      <w:r>
        <w:t xml:space="preserve">Правила логического контроля при заполнении отчетности по форме 0409212 «Сведения о перевозке, инкассации наличных денег в кредитной организации»:</w:t>
      </w:r>
    </w:p>
    <w:p>
      <w:pPr>
        <w:numPr>
          <w:ilvl w:val="0"/>
          <w:numId w:val="1001"/>
        </w:numPr>
      </w:pPr>
      <w:r>
        <w:t xml:space="preserve">В Разделе 1 в каждой строке должна быть заполнена графа 1 «Регистрационный номер кредитной организации».</w:t>
      </w:r>
    </w:p>
    <w:p>
      <w:pPr>
        <w:numPr>
          <w:ilvl w:val="0"/>
          <w:numId w:val="1001"/>
        </w:numPr>
      </w:pPr>
      <w:r>
        <w:t xml:space="preserve">В Разделе 1 графы 1-3, в разделе 2 графы 2-4, 6 проверяются на соответствие КГРКО (наличие соответствующих номеров в КГРКО).</w:t>
      </w:r>
    </w:p>
    <w:p>
      <w:pPr>
        <w:numPr>
          <w:ilvl w:val="0"/>
          <w:numId w:val="1001"/>
        </w:numPr>
      </w:pPr>
      <w:r>
        <w:t xml:space="preserve">В Разделе 1 показатели граф 6, 7, 9, 10 должны быть заполнены, если в Разделе 1 в графе 5 указан показатель 1.</w:t>
      </w:r>
    </w:p>
    <w:p>
      <w:pPr>
        <w:numPr>
          <w:ilvl w:val="0"/>
          <w:numId w:val="1001"/>
        </w:numPr>
      </w:pPr>
      <w:r>
        <w:t xml:space="preserve">В Разделе 1 графы 6, 7, 9, 10 не заполняются, если в графе 4 и в графе 5 Раздела 1 указано 2.</w:t>
      </w:r>
    </w:p>
    <w:p>
      <w:pPr>
        <w:numPr>
          <w:ilvl w:val="0"/>
          <w:numId w:val="1001"/>
        </w:numPr>
      </w:pPr>
      <w:r>
        <w:t xml:space="preserve">В Разделе 1 показатели граф 9, 10 должны быть заполнены, если в Разделе 1 в графе 4 указано 1.</w:t>
      </w:r>
    </w:p>
    <w:p>
      <w:pPr>
        <w:numPr>
          <w:ilvl w:val="0"/>
          <w:numId w:val="1001"/>
        </w:numPr>
      </w:pPr>
      <w:r>
        <w:t xml:space="preserve">Если в Разделе 1 в графе 4 и (или) 5 в какой-либо строке указано 1, то в Разделе 2 должна быть хотя бы одна строка с показателями в графах 2-4 аналогичными показателям в графах 1-3 раздела 1 этой строки, при этом должны выполняться следующие условия:</w:t>
      </w:r>
    </w:p>
    <w:p>
      <w:pPr>
        <w:numPr>
          <w:ilvl w:val="0"/>
          <w:numId w:val="1002"/>
        </w:numPr>
      </w:pPr>
      <w:r>
        <w:t xml:space="preserve">в графе 5 Раздела 2 указаны показатели 1 или 2;</w:t>
      </w:r>
    </w:p>
    <w:p>
      <w:pPr>
        <w:numPr>
          <w:ilvl w:val="0"/>
          <w:numId w:val="1002"/>
        </w:numPr>
      </w:pPr>
      <w:r>
        <w:t xml:space="preserve">в графе 6 указан собственный регистрационный номер кредитной организации.</w:t>
      </w:r>
    </w:p>
    <w:p>
      <w:pPr>
        <w:numPr>
          <w:ilvl w:val="0"/>
          <w:numId w:val="1003"/>
        </w:numPr>
      </w:pPr>
      <w:r>
        <w:t xml:space="preserve">В Разделе 1 не должно быть двух строк с одинаковыми показателями в графах 1-10 (исключить дублирование строк).</w:t>
      </w:r>
    </w:p>
    <w:p>
      <w:pPr>
        <w:numPr>
          <w:ilvl w:val="0"/>
          <w:numId w:val="1003"/>
        </w:numPr>
      </w:pPr>
      <w:r>
        <w:t xml:space="preserve">В Разделе 1 не должно быть двух строк с одинаковыми показателями в графах 1-3.</w:t>
      </w:r>
    </w:p>
    <w:p>
      <w:pPr>
        <w:numPr>
          <w:ilvl w:val="0"/>
          <w:numId w:val="1003"/>
        </w:numPr>
      </w:pPr>
      <w:r>
        <w:t xml:space="preserve">В Разделе 2 в каждой строке должна быть заполнена графа 2 «Регистрационный номер кредитной организации».</w:t>
      </w:r>
    </w:p>
    <w:p>
      <w:pPr>
        <w:numPr>
          <w:ilvl w:val="0"/>
          <w:numId w:val="1003"/>
        </w:numPr>
      </w:pPr>
      <w:r>
        <w:t xml:space="preserve">В Разделе 2 графа 7 проверяется на соответствие указанного ИНН ЕГРЮЛ.</w:t>
      </w:r>
    </w:p>
    <w:p>
      <w:pPr>
        <w:numPr>
          <w:ilvl w:val="0"/>
          <w:numId w:val="1003"/>
        </w:numPr>
      </w:pPr>
      <w:r>
        <w:t xml:space="preserve">В Разделе 2 графа 8 проверяется на соответствие указанного ОГРН ЕГРЮЛ.</w:t>
      </w:r>
    </w:p>
    <w:p>
      <w:pPr>
        <w:numPr>
          <w:ilvl w:val="0"/>
          <w:numId w:val="1003"/>
        </w:numPr>
      </w:pPr>
      <w:r>
        <w:t xml:space="preserve">В Разделе 2 графы 7, 8 проверяются на принадлежность ИНН, ОГРН одной организации, указанной в ЕГРЮЛ.</w:t>
      </w:r>
    </w:p>
    <w:p>
      <w:pPr>
        <w:numPr>
          <w:ilvl w:val="0"/>
          <w:numId w:val="1003"/>
        </w:numPr>
      </w:pPr>
      <w:r>
        <w:t xml:space="preserve">В Разделе 2 в графах 2-4 хотя бы в одной строке должны быть указаны показатели, соответствующие показателям, указанным в Разделе 1 в графах 1-3.</w:t>
      </w:r>
    </w:p>
    <w:p>
      <w:pPr>
        <w:numPr>
          <w:ilvl w:val="0"/>
          <w:numId w:val="1003"/>
        </w:numPr>
      </w:pPr>
      <w:r>
        <w:t xml:space="preserve">В Разделе 2 должна быть заполнена графа 5.</w:t>
      </w:r>
    </w:p>
    <w:p>
      <w:pPr>
        <w:numPr>
          <w:ilvl w:val="0"/>
          <w:numId w:val="1003"/>
        </w:numPr>
      </w:pPr>
      <w:r>
        <w:t xml:space="preserve">В Разделе 2 должны быть заполнены графа 6 (для кредитных организаций) или графы 7, 8 (для организаций) если в графе 5 указано 1, 2.</w:t>
      </w:r>
    </w:p>
    <w:p>
      <w:pPr>
        <w:numPr>
          <w:ilvl w:val="0"/>
          <w:numId w:val="1003"/>
        </w:numPr>
      </w:pPr>
      <w:r>
        <w:t xml:space="preserve">В Разделе 2 должны быть заполнены графы 7, 8 (для организаций) если в графе 5 указано 3, при этом графа 6 не должна быть заполнена.</w:t>
      </w:r>
    </w:p>
    <w:p>
      <w:pPr>
        <w:numPr>
          <w:ilvl w:val="0"/>
          <w:numId w:val="1003"/>
        </w:numPr>
      </w:pPr>
      <w:r>
        <w:t xml:space="preserve">Если в какой-либо строке Раздела 2 в графе 6 указан собственный регистрационный номер кредитной организации, то в Разделе 2 должна быть еще одна строка с указанием таких же показателей в графах 2-4, при этом должны выполняться следующие условия:</w:t>
      </w:r>
    </w:p>
    <w:p>
      <w:pPr>
        <w:numPr>
          <w:ilvl w:val="0"/>
          <w:numId w:val="1004"/>
        </w:numPr>
      </w:pPr>
      <w:r>
        <w:t xml:space="preserve">в графе 5 должно быть указано 3 1 ,</w:t>
      </w:r>
    </w:p>
    <w:p>
      <w:pPr>
        <w:numPr>
          <w:ilvl w:val="0"/>
          <w:numId w:val="1004"/>
        </w:numPr>
      </w:pPr>
      <w:r>
        <w:t xml:space="preserve">должны быть заполнены графы 7, 8.</w:t>
      </w:r>
    </w:p>
    <w:p>
      <w:pPr>
        <w:numPr>
          <w:ilvl w:val="0"/>
          <w:numId w:val="1004"/>
        </w:numPr>
      </w:pPr>
      <w:r>
        <w:t xml:space="preserve">графы 6 не заполняется.</w:t>
      </w:r>
    </w:p>
    <w:p>
      <w:pPr>
        <w:pStyle w:val="FirstParagraph"/>
      </w:pPr>
      <w:r>
        <w:t xml:space="preserve">ИСКЛЮЧЕНИЕ: Данное требование не распространяется на отчет ПАО Сбербанк (рег. № 1481).</w:t>
      </w:r>
    </w:p>
    <w:p>
      <w:pPr>
        <w:numPr>
          <w:ilvl w:val="0"/>
          <w:numId w:val="1005"/>
        </w:numPr>
      </w:pPr>
      <w:r>
        <w:t xml:space="preserve">В Разделе 2 в любой строке должна быть заполнена или графа 6 (для кредитных организаций) или графы 7, 8 (для организаций). Одновременное заполнение в одной строке Раздела 2 графы 6 и граф 7, 8 не допускается.</w:t>
      </w:r>
    </w:p>
    <w:p>
      <w:pPr>
        <w:numPr>
          <w:ilvl w:val="0"/>
          <w:numId w:val="1005"/>
        </w:numPr>
      </w:pPr>
      <w:r>
        <w:t xml:space="preserve">В Разделе 2 не должно быть двух строк с одинаковыми показателями в графах 2-8 (исключить дублирование строк).</w:t>
      </w:r>
    </w:p>
    <w:p>
      <w:pPr>
        <w:pStyle w:val="FirstParagraph"/>
      </w:pPr>
      <w:r>
        <w:t xml:space="preserve">1 В соответствии с пунктом 7.2 Положения Банка России от 29.01.2018 № 630-П «О порядке ведения кассовых операций и правилах хранения, перевозки и инкассации банкнот и монеты Банка России в кредитных организациях на территории Российской Федерации» инкассаторские работники, не имеющие служебного оружия, должны осуществлять перевозку наличных денег, инкассацию наличных денег, кассовые работники должны осуществлять перевозку наличных денег с привлечением кредитной организацией в соответствии с Федеральным законом от 03.07.2016 года № 226-ФЗ «О войсках национальной гвардии Российской Федерации», Законом Российской Федерации от 11.03.1992 № 2487-I «О частной детективной и охранной деятельности в Российской Федерации» лиц, имеющих служебное оружие.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2026-09-27T11:01:28Z</dcterms:created>
  <dcterms:modified xsi:type="dcterms:W3CDTF">2026-09-27T11:01:28Z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