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c78a5abd089a2a06f01f10389650cd78fcec1a"/>
    <w:p>
      <w:pPr>
        <w:pStyle w:val="Heading1"/>
      </w:pPr>
      <w:r>
        <w:t xml:space="preserve">Отчетность по форме 0409264 «Сведения об электронных средствах платежа и операциях с их использованием»</w:t>
      </w:r>
    </w:p>
    <w:p>
      <w:pPr>
        <w:pStyle w:val="FirstParagraph"/>
      </w:pPr>
      <w:r>
        <w:t xml:space="preserve">Отчетность по форме 0409264 «Сведения об электронных средствах платежа и операциях с их использованием»</w:t>
      </w:r>
    </w:p>
    <w:p>
      <w:pPr>
        <w:pStyle w:val="BodyText"/>
      </w:pPr>
      <w:r>
        <w:t xml:space="preserve">Общие вопросы</w:t>
      </w:r>
    </w:p>
    <w:p>
      <w:pPr>
        <w:pStyle w:val="BodyText"/>
      </w:pPr>
      <w:r>
        <w:t xml:space="preserve">Относить ли номер банковского счёта, к которому привязана карта к реквизитам карты при составлении отчета 0409264?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Номер банковского счёта, к которому привязана карта, не относится к реквизитам карты при составлении отчета 0409264.</w:t>
      </w:r>
    </w:p>
    <w:p>
      <w:pPr>
        <w:pStyle w:val="BodyText"/>
      </w:pPr>
      <w:r>
        <w:t xml:space="preserve">Изменения в Указание Банка России № 6406-У с 01.01.26 для формы 0409264 будут применимы к данным за I квартал 2026 года, за IV квартал сдаются данные без изменений?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Да. Отчетность за IV квартал 2025 года сдается без изменений по действующей редакции 6406-У.</w:t>
      </w:r>
    </w:p>
    <w:p>
      <w:pPr>
        <w:pStyle w:val="BodyText"/>
      </w:pPr>
      <w:r>
        <w:t xml:space="preserve">Изменения вступают в силу с 01.01.2026 и применяться начинают с отчетности за I квартал 2026 года – 01.04.2026.</w:t>
      </w:r>
    </w:p>
    <w:p>
      <w:pPr>
        <w:pStyle w:val="BodyText"/>
      </w:pPr>
      <w:r>
        <w:t xml:space="preserve">За какой отчетный период должен быть предоставлен первый отчет (4 квартал 2023 или 1 квартал 2024)?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Указание Банка России от 10.04.2023 №6406-У «О формах, сроках, порядке составления и представления отчетности кредитных организаций (банковских групп) в Центральный банк Российской Федерации, а также о перечне информации о деятельности кредитных организаций (банковских групп)» вступает в силу с 01.01.2024г. Это подразумевает представление первого отчета по форме за 1й квартал 2024 года.</w:t>
      </w:r>
    </w:p>
    <w:p>
      <w:pPr>
        <w:pStyle w:val="BodyText"/>
      </w:pPr>
      <w:r>
        <w:t xml:space="preserve">Цитата из Порядка: «Данные в подразделе 1.1 раздела 1 группируются по уникальной (неповторяющейся) записи, представляющей собой совокупность значений, отраженных в графах 2 — 8 указанного подраздела». Вопрос: Уникальная неповторяющаяся запись присваивается клиенту (физическому лицу, юридическому лицу, индивидуальному предпринимателю, кредитной организации), которому выдано электронное средство платежа (ЭСП), или самому ЭСП?</w:t>
      </w:r>
    </w:p>
    <w:p>
      <w:pPr>
        <w:pStyle w:val="BodyText"/>
      </w:pPr>
      <w:r>
        <w:t xml:space="preserve">Обновлено: 21.12.2023</w:t>
      </w:r>
    </w:p>
    <w:p>
      <w:pPr>
        <w:pStyle w:val="BodyText"/>
      </w:pPr>
      <w:r>
        <w:t xml:space="preserve">Пояснение относительно уникальной (неповторяющейся) записи касается правила агрегирования (группировки) данных. В рамках подраздела 1.1 не предусмотрено представление сведений о каждом отдельном электронном средстве платежа, если только это не единственное ЭСП с набором кодов в графах 2Б8, который отличается от всех других наборов кодов, проставленных для остальных ЭСП.</w:t>
      </w:r>
    </w:p>
    <w:p>
      <w:pPr>
        <w:pStyle w:val="BodyText"/>
      </w:pPr>
      <w:r>
        <w:t xml:space="preserve">Агрегирование данных производится на основе наборов кодов, указанных в графах 2-8 для каждого отдельного ЭСП. Указанное требование означает, что электронные средства платежа с одинаковыми признаками, т.е. для которых значения кодов в графах 2-8 являются одинаковыми, «сворачиваются» в одну строку отчета, при этом количественные значения, проставленные для граф 9, 10 или 11 суммируются.</w:t>
      </w:r>
    </w:p>
    <w:p>
      <w:pPr>
        <w:pStyle w:val="BodyText"/>
      </w:pPr>
      <w:r>
        <w:t xml:space="preserve">Форма технической реализации указанных процедур в ПО — на усмотрение отчитывающейся кредитной организацией.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Отчитывающаяся КО выпустила всего 8 электронных средств платежа:</w:t>
      </w:r>
    </w:p>
    <w:p>
      <w:pPr>
        <w:pStyle w:val="BodyText"/>
      </w:pPr>
      <w:r>
        <w:t xml:space="preserve">2 кредитные карты платежной системы «Мир» физическим лицам, находящимся территории Рязанской области. Платежные карты выданы клиентам. Обе карты являются действующими на отчетную дату и открытыми в отчетном квартале. По первой карте совершались операции в течение отчетного квартала, по второй ни одной операции не совершалось (клиенты 1 и 2)</w:t>
      </w:r>
    </w:p>
    <w:p>
      <w:pPr>
        <w:pStyle w:val="BodyText"/>
      </w:pPr>
      <w:r>
        <w:t xml:space="preserve">1 расчетную (дебетовую) карту платежной системы «Мир» торговой компании, расположенной на территории Белгородской области, платежная карта была выдана на руки представителю компании. В отчетном квартале представитель компании совершал покупки с использованием этой карты. По состоянию на отчетную дату компания карту закрыла. (клиент 3)</w:t>
      </w:r>
    </w:p>
    <w:p>
      <w:pPr>
        <w:pStyle w:val="BodyText"/>
      </w:pPr>
      <w:r>
        <w:t xml:space="preserve">5 электронных кошельков «Интернет-кошелек». При этом 3 кошелька — неперсонифицированные ЭСП, без идентификации, а 2 кошелька — персонифицированные ЭСП, с полной идентификацией. Местонахождение держателей персонифицированных ЭСП — Псковская область. Все кошельки действуют на отчетную дату, при этом два клиента открыли их в отчетном квартале. По всем ЭСП осуществлялась оплата в торгово-сервисных предприятиях в отчетном квартале (клиенты 4-8).</w:t>
      </w:r>
    </w:p>
    <w:p>
      <w:pPr>
        <w:pStyle w:val="BodyText"/>
      </w:pPr>
      <w:r>
        <w:t xml:space="preserve">Для указанных ЭСП в процессе подготовки отчета заполняются следующие коды в графах 2-8 и значения в графах 9-11:</w:t>
      </w:r>
    </w:p>
    <w:p>
      <w:pPr>
        <w:pStyle w:val="BodyText"/>
      </w:pPr>
      <w:r>
        <w:t xml:space="preserve">Клиент 1</w:t>
      </w:r>
    </w:p>
    <w:p>
      <w:pPr>
        <w:pStyle w:val="BodyText"/>
      </w:pPr>
      <w:r>
        <w:t xml:space="preserve">61000</w:t>
      </w:r>
    </w:p>
    <w:p>
      <w:pPr>
        <w:pStyle w:val="BodyText"/>
      </w:pPr>
      <w:r>
        <w:t xml:space="preserve">8002</w:t>
      </w:r>
    </w:p>
    <w:p>
      <w:pPr>
        <w:pStyle w:val="BodyText"/>
      </w:pPr>
      <w:r>
        <w:t xml:space="preserve">МИР (НСПК)</w:t>
      </w:r>
    </w:p>
    <w:p>
      <w:pPr>
        <w:pStyle w:val="BodyText"/>
      </w:pPr>
      <w:r>
        <w:t xml:space="preserve">Клиент 2</w:t>
      </w:r>
    </w:p>
    <w:p>
      <w:pPr>
        <w:pStyle w:val="BodyText"/>
      </w:pPr>
      <w:r>
        <w:t xml:space="preserve">61000</w:t>
      </w:r>
    </w:p>
    <w:p>
      <w:pPr>
        <w:pStyle w:val="BodyText"/>
      </w:pPr>
      <w:r>
        <w:t xml:space="preserve">8002</w:t>
      </w:r>
    </w:p>
    <w:p>
      <w:pPr>
        <w:pStyle w:val="BodyText"/>
      </w:pPr>
      <w:r>
        <w:t xml:space="preserve">МИР (НСПК)</w:t>
      </w:r>
    </w:p>
    <w:p>
      <w:pPr>
        <w:pStyle w:val="BodyText"/>
      </w:pPr>
      <w:r>
        <w:t xml:space="preserve">Клиент 3</w:t>
      </w:r>
    </w:p>
    <w:p>
      <w:pPr>
        <w:pStyle w:val="BodyText"/>
      </w:pPr>
      <w:r>
        <w:t xml:space="preserve">14000</w:t>
      </w:r>
    </w:p>
    <w:p>
      <w:pPr>
        <w:pStyle w:val="BodyText"/>
      </w:pPr>
      <w:r>
        <w:t xml:space="preserve">8002</w:t>
      </w:r>
    </w:p>
    <w:p>
      <w:pPr>
        <w:pStyle w:val="BodyText"/>
      </w:pPr>
      <w:r>
        <w:t xml:space="preserve">МИР (НСПК)</w:t>
      </w:r>
    </w:p>
    <w:p>
      <w:pPr>
        <w:pStyle w:val="BodyText"/>
      </w:pPr>
      <w:r>
        <w:t xml:space="preserve">Клиент 4</w:t>
      </w:r>
    </w:p>
    <w:p>
      <w:pPr>
        <w:pStyle w:val="BodyText"/>
      </w:pPr>
      <w:r>
        <w:t xml:space="preserve">8418</w:t>
      </w:r>
    </w:p>
    <w:p>
      <w:pPr>
        <w:pStyle w:val="BodyText"/>
      </w:pPr>
      <w:r>
        <w:t xml:space="preserve">Интернет-кошелек</w:t>
      </w:r>
    </w:p>
    <w:p>
      <w:pPr>
        <w:pStyle w:val="BodyText"/>
      </w:pPr>
      <w:r>
        <w:t xml:space="preserve">Клиент 5</w:t>
      </w:r>
    </w:p>
    <w:p>
      <w:pPr>
        <w:pStyle w:val="BodyText"/>
      </w:pPr>
      <w:r>
        <w:t xml:space="preserve">8418</w:t>
      </w:r>
    </w:p>
    <w:p>
      <w:pPr>
        <w:pStyle w:val="BodyText"/>
      </w:pPr>
      <w:r>
        <w:t xml:space="preserve">Интернет-кошелек</w:t>
      </w:r>
    </w:p>
    <w:p>
      <w:pPr>
        <w:pStyle w:val="BodyText"/>
      </w:pPr>
      <w:r>
        <w:t xml:space="preserve">Клиент 6</w:t>
      </w:r>
    </w:p>
    <w:p>
      <w:pPr>
        <w:pStyle w:val="BodyText"/>
      </w:pPr>
      <w:r>
        <w:t xml:space="preserve">8418</w:t>
      </w:r>
    </w:p>
    <w:p>
      <w:pPr>
        <w:pStyle w:val="BodyText"/>
      </w:pPr>
      <w:r>
        <w:t xml:space="preserve">Интернет-кошелек</w:t>
      </w:r>
    </w:p>
    <w:p>
      <w:pPr>
        <w:pStyle w:val="BodyText"/>
      </w:pPr>
      <w:r>
        <w:t xml:space="preserve">Клиент 7</w:t>
      </w:r>
    </w:p>
    <w:p>
      <w:pPr>
        <w:pStyle w:val="BodyText"/>
      </w:pPr>
      <w:r>
        <w:t xml:space="preserve">58000</w:t>
      </w:r>
    </w:p>
    <w:p>
      <w:pPr>
        <w:pStyle w:val="BodyText"/>
      </w:pPr>
      <w:r>
        <w:t xml:space="preserve">8418</w:t>
      </w:r>
    </w:p>
    <w:p>
      <w:pPr>
        <w:pStyle w:val="BodyText"/>
      </w:pPr>
      <w:r>
        <w:t xml:space="preserve">Интернет-кошелек</w:t>
      </w:r>
    </w:p>
    <w:p>
      <w:pPr>
        <w:pStyle w:val="BodyText"/>
      </w:pPr>
      <w:r>
        <w:t xml:space="preserve">Клиент 8</w:t>
      </w:r>
    </w:p>
    <w:p>
      <w:pPr>
        <w:pStyle w:val="BodyText"/>
      </w:pPr>
      <w:r>
        <w:t xml:space="preserve">58000</w:t>
      </w:r>
    </w:p>
    <w:p>
      <w:pPr>
        <w:pStyle w:val="BodyText"/>
      </w:pPr>
      <w:r>
        <w:t xml:space="preserve">8418</w:t>
      </w:r>
    </w:p>
    <w:p>
      <w:pPr>
        <w:pStyle w:val="BodyText"/>
      </w:pPr>
      <w:r>
        <w:t xml:space="preserve">Интернет-кошелек</w:t>
      </w:r>
    </w:p>
    <w:p>
      <w:pPr>
        <w:pStyle w:val="BodyText"/>
      </w:pPr>
      <w:r>
        <w:t xml:space="preserve">Исходя из представленных данных, набор кодов в графах 2-8 совпадает для следующих групп ЭСП клиентов:</w:t>
      </w:r>
    </w:p>
    <w:p>
      <w:pPr>
        <w:pStyle w:val="BodyText"/>
      </w:pPr>
      <w:r>
        <w:t xml:space="preserve">для ЭСП клиентов 1 и 2</w:t>
      </w:r>
    </w:p>
    <w:p>
      <w:pPr>
        <w:pStyle w:val="BodyText"/>
      </w:pPr>
      <w:r>
        <w:t xml:space="preserve">для ЭСП клиентов 4, 5, 6</w:t>
      </w:r>
    </w:p>
    <w:p>
      <w:pPr>
        <w:pStyle w:val="BodyText"/>
      </w:pPr>
      <w:r>
        <w:t xml:space="preserve">для ЭСП клиентов 7 и 8</w:t>
      </w:r>
    </w:p>
    <w:p>
      <w:pPr>
        <w:pStyle w:val="BodyText"/>
      </w:pPr>
      <w:r>
        <w:t xml:space="preserve">По итогам агрегирования (группировки) данных в отчете должна быть представлена следующая информация:</w:t>
      </w:r>
    </w:p>
    <w:p>
      <w:pPr>
        <w:pStyle w:val="BodyText"/>
      </w:pPr>
      <w:r>
        <w:t xml:space="preserve">61000</w:t>
      </w:r>
    </w:p>
    <w:p>
      <w:pPr>
        <w:pStyle w:val="BodyText"/>
      </w:pPr>
      <w:r>
        <w:t xml:space="preserve">8002</w:t>
      </w:r>
    </w:p>
    <w:p>
      <w:pPr>
        <w:pStyle w:val="BodyText"/>
      </w:pPr>
      <w:r>
        <w:t xml:space="preserve">МИР (НСПК)</w:t>
      </w:r>
    </w:p>
    <w:p>
      <w:pPr>
        <w:pStyle w:val="BodyText"/>
      </w:pPr>
      <w:r>
        <w:t xml:space="preserve">14000</w:t>
      </w:r>
    </w:p>
    <w:p>
      <w:pPr>
        <w:pStyle w:val="BodyText"/>
      </w:pPr>
      <w:r>
        <w:t xml:space="preserve">8002</w:t>
      </w:r>
    </w:p>
    <w:p>
      <w:pPr>
        <w:pStyle w:val="BodyText"/>
      </w:pPr>
      <w:r>
        <w:t xml:space="preserve">МИР (НСПК)</w:t>
      </w:r>
    </w:p>
    <w:p>
      <w:pPr>
        <w:pStyle w:val="BodyText"/>
      </w:pPr>
      <w:r>
        <w:t xml:space="preserve">8418</w:t>
      </w:r>
    </w:p>
    <w:p>
      <w:pPr>
        <w:pStyle w:val="BodyText"/>
      </w:pPr>
      <w:r>
        <w:t xml:space="preserve">Интернет-кошелек</w:t>
      </w:r>
    </w:p>
    <w:p>
      <w:pPr>
        <w:pStyle w:val="BodyText"/>
      </w:pPr>
      <w:r>
        <w:t xml:space="preserve">58000</w:t>
      </w:r>
    </w:p>
    <w:p>
      <w:pPr>
        <w:pStyle w:val="BodyText"/>
      </w:pPr>
      <w:r>
        <w:t xml:space="preserve">8418</w:t>
      </w:r>
    </w:p>
    <w:p>
      <w:pPr>
        <w:pStyle w:val="BodyText"/>
      </w:pPr>
      <w:r>
        <w:t xml:space="preserve">Интернет-кошелек</w:t>
      </w:r>
    </w:p>
    <w:p>
      <w:pPr>
        <w:pStyle w:val="BodyText"/>
      </w:pPr>
      <w:r>
        <w:t xml:space="preserve">Аналогичный принцип агрегирования применяется для подраздела 1.2, раздела 2, подраздела 3.1 и раздела 4 отчета.</w:t>
      </w:r>
    </w:p>
    <w:p>
      <w:pPr>
        <w:pStyle w:val="BodyText"/>
      </w:pPr>
      <w:r>
        <w:t xml:space="preserve">Подлежат ли отражению в отчетности отмененные операции?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Отмененные операции не подлежат отражению в отчете.</w:t>
      </w:r>
    </w:p>
    <w:p>
      <w:pPr>
        <w:pStyle w:val="BodyText"/>
      </w:pPr>
      <w:r>
        <w:t xml:space="preserve">Должны ли включаться в отчет списания разовых комиссий, взыскиваемых по тарифам Банка (например, за перевод получателю; за снятие наличных денежных средств и т.п.)?</w:t>
      </w:r>
    </w:p>
    <w:p>
      <w:pPr>
        <w:pStyle w:val="BodyText"/>
      </w:pPr>
      <w:r>
        <w:t xml:space="preserve">Обновлено: 26.05.2025</w:t>
      </w:r>
    </w:p>
    <w:p>
      <w:pPr>
        <w:pStyle w:val="BodyText"/>
      </w:pPr>
      <w:r>
        <w:t xml:space="preserve">В Раздел 2 и подразделы 3.1 и 3.2 Раздела 3 суммы списания разовых комиссий, взыскиваемых по тарифам КО, включаться не должны. В раздел 4 суммы списанных комиссий включаются и указываются с кодом «1006».</w:t>
      </w:r>
    </w:p>
    <w:p>
      <w:pPr>
        <w:pStyle w:val="BodyText"/>
      </w:pPr>
      <w:r>
        <w:t xml:space="preserve">Включаются ли в отчет сведения об операциях по погашению кредита?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Сведения об операциях по погашению кредита включаются в случае, если указанные операции совершены с использованием ЭСП и(или) их реквизитов.</w:t>
      </w:r>
    </w:p>
    <w:p>
      <w:pPr>
        <w:pStyle w:val="BodyText"/>
      </w:pPr>
      <w:r>
        <w:t xml:space="preserve">Графа, которая не должна заполняться, должна оставаться пустой или в ней необходимо проставить какой-либо символ?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Графа должна оставаться пустой, если так предусмотрено Порядком составления отчетности по форме 0409264. Никаких символов в этом случае проставлять не требуется.</w:t>
      </w:r>
    </w:p>
    <w:p>
      <w:pPr>
        <w:pStyle w:val="BodyText"/>
      </w:pPr>
      <w:r>
        <w:t xml:space="preserve">С какими кодами вида операций необходимо отражать возвраты по трансграничным транзакциям?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Возвратные операции по трансграничным транзакциям в отчете отражаются только по операциям с ЭПС для перевода ЭДС, с указанием соответствующих кодами вида операций по увеличению остатка ЭДС.</w:t>
      </w:r>
    </w:p>
    <w:p>
      <w:pPr>
        <w:pStyle w:val="BodyText"/>
      </w:pPr>
      <w:r>
        <w:t xml:space="preserve">Раздел 1. подраздел 1.1.</w:t>
      </w:r>
    </w:p>
    <w:p>
      <w:pPr>
        <w:pStyle w:val="BodyText"/>
      </w:pPr>
      <w:r>
        <w:t xml:space="preserve">Как отображаются данные в подразделе 1.1 по графе 10 (количество ЭСП с использованием которых совершались операции с начала года) при смене клиентом места нахождения со сменой ОКАТО в течении отчётного периода.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Если в течении отчетного периода клиент сменил место с изменением кода ОКАТО, то на отчетную дату данные по такому клиенту должны быть включены в отчет по новому месту нахождения (новому ОКАТО).</w:t>
      </w:r>
    </w:p>
    <w:p>
      <w:pPr>
        <w:pStyle w:val="BodyText"/>
      </w:pPr>
      <w:r>
        <w:t xml:space="preserve">Подраздел 1.1. гр.6 (наличие материального носителя). Есть такая ситуация: карта клиенту выпущена, но не выдана. При этом реквизиты карты после выпуска доступны клиенту в ДБО (если оно есть) для совершения операций перевода на карту. Но при сборе данных по таким картам не представляется возможным проверять наличие ДБО у таких клиентов (с неполученными картами) и факт совершения операций именно по реквизитам карты (это отчет разработчика). Как быть с такими картами? Как их учитывать?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Учет ведется по состоянию карты (эмитирована/активна) Возможность совершения операций через ДБО подтверждает ее активность. Факт выдачи карты клиенту физически не является условием для признания ее активности.</w:t>
      </w:r>
    </w:p>
    <w:p>
      <w:pPr>
        <w:pStyle w:val="BodyText"/>
      </w:pPr>
      <w:r>
        <w:t xml:space="preserve">Карта выпущена и готова к выдаче, но не получена клиентом: Учитывается в графах 9-11, если по ее счету разрешены операции (в том числе через ДБО);</w:t>
      </w:r>
    </w:p>
    <w:p>
      <w:pPr>
        <w:pStyle w:val="BodyText"/>
      </w:pPr>
      <w:r>
        <w:t xml:space="preserve">Карта, которая выпущена, но по ней установлен полный запрет операций (включая зачисления) даже если она эмитирована: не отражаются в графе 10, но учитывается в графе 9 и в графе 11(если эмитирована в отчетном периоде);</w:t>
      </w:r>
    </w:p>
    <w:p>
      <w:pPr>
        <w:pStyle w:val="BodyText"/>
      </w:pPr>
      <w:r>
        <w:t xml:space="preserve">Следует ли отражать в подразделе 1.1. ЭСП, эмитированные кредитной организацией, но еще не выданные клиентам?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Нет, не следует. В графе 9 подраздела 1.1 раздела 1 указывается количество ЭСП, выданных отчитывающейся кредитной организацией ЭСП и действующих по состоянию на отчетную дату.</w:t>
      </w:r>
    </w:p>
    <w:p>
      <w:pPr>
        <w:pStyle w:val="BodyText"/>
      </w:pPr>
      <w:r>
        <w:t xml:space="preserve">Включается ли в раздел 1 информация об электронных средствах платежа в виде интернет-банка (интернет-клиента) кредитной организации?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Нет, не включается.</w:t>
      </w:r>
    </w:p>
    <w:p>
      <w:pPr>
        <w:pStyle w:val="BodyText"/>
      </w:pPr>
      <w:r>
        <w:t xml:space="preserve">Просьба разъяснить порядок заполнения граф «Категория клиента», «Код территории держателя ЭСП» подраздела 1.1 раздела 1 и раздела 2 формы 0409264 в части Таможенных карт (ТК).</w:t>
      </w:r>
    </w:p>
    <w:p>
      <w:pPr>
        <w:pStyle w:val="BodyText"/>
      </w:pPr>
      <w:r>
        <w:t xml:space="preserve">Обновлено: 26.05.2025</w:t>
      </w:r>
    </w:p>
    <w:p>
      <w:pPr>
        <w:pStyle w:val="BodyText"/>
      </w:pPr>
      <w:r>
        <w:t xml:space="preserve">По корпоративным картам, в том числе и таможенным картам, указывается код ОКАТО места нахождения (юридического адреса) юридического лица.</w:t>
      </w:r>
    </w:p>
    <w:p>
      <w:pPr>
        <w:pStyle w:val="BodyText"/>
      </w:pPr>
      <w:r>
        <w:t xml:space="preserve">В графе 2 подраздела 1.1 раздела 1 указывается категория клиента, заключившего договор с отчитывающейся кредитной организацией, предусматривающий осуществление операций с использованием ЭСП, в соответствии со следующими кодами: юридическое лицо, индивидуальный предприниматель, физическое лицо, кредитная организация. Что подразумевается под кредитной организацией? Карты, выданные для хозяйственной деятельности Банка?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Да, верно.</w:t>
      </w:r>
    </w:p>
    <w:p>
      <w:pPr>
        <w:pStyle w:val="BodyText"/>
      </w:pPr>
      <w:r>
        <w:t xml:space="preserve">В графе 3 подраздела 1.1 раздела 1 для физических лиц и ИП указывается код территории субъекта Российской Федерации по месту жительства или по месту пребывания держателя ЭСП: Есть ли приоритет? Например, место регистрации, в случае отсутствие – место пребывания? Если у клиента место регистрации за пределами территории Российской Федерации, а место жительства Российская Федерация, то какой ОКАТО указывать? «00000»?</w:t>
      </w:r>
    </w:p>
    <w:p>
      <w:pPr>
        <w:pStyle w:val="BodyText"/>
      </w:pPr>
      <w:r>
        <w:t xml:space="preserve">Обновлено: 26.05.2025</w:t>
      </w:r>
    </w:p>
    <w:p>
      <w:pPr>
        <w:pStyle w:val="BodyText"/>
      </w:pPr>
      <w:r>
        <w:t xml:space="preserve">Для физических лиц указывается код ОКАТО их фактического места пребывания (нахождения). В случае отсутствия у кредитной организации информации о фактическом месте пребывания (нахождения) клиента указывается код ОКАТО адреса места жительства (регистрации) клиента.</w:t>
      </w:r>
    </w:p>
    <w:p>
      <w:pPr>
        <w:pStyle w:val="BodyText"/>
      </w:pPr>
      <w:r>
        <w:t xml:space="preserve">Для юридических лиц указывается код ОКАТО места нахождения (юридического адреса) юридического лица.</w:t>
      </w:r>
    </w:p>
    <w:p>
      <w:pPr>
        <w:pStyle w:val="BodyText"/>
      </w:pPr>
      <w:r>
        <w:t xml:space="preserve">В отношении клиентов – нерезидентов РФ (физических лиц) также действует рекомендация указывать код ОКАТО его фактического места пребывания (нахождения). В случае отсутствия у кредитной организации информации о фактическом месте пребывания клиента указывается код «00000» за пределами РФ.</w:t>
      </w:r>
    </w:p>
    <w:p>
      <w:pPr>
        <w:pStyle w:val="BodyText"/>
      </w:pPr>
      <w:r>
        <w:t xml:space="preserve">Каким образом в графе 6 подраздела 1.1 раздела 1 необходимо указывать признак наличия материального носителя ЭСП, если ЭСП предполагает наличие материального носителя, но клиент его не получал, а использует только электронный вариант посредством бесконтактных сервисов?</w:t>
      </w:r>
    </w:p>
    <w:p>
      <w:pPr>
        <w:pStyle w:val="BodyText"/>
      </w:pPr>
      <w:r>
        <w:t xml:space="preserve">Обновлено: 26.05.2025</w:t>
      </w:r>
    </w:p>
    <w:p>
      <w:pPr>
        <w:pStyle w:val="BodyText"/>
      </w:pPr>
      <w:r>
        <w:t xml:space="preserve">В графе 6 подразделов 1.1 и 1.2 код «2» (Материальный носитель ЭСП не выпущен или материальный носитель ЭСП выпущен, но не выдан клиенту) указывается в том случае, если ЭСП, эмитированное кредитной организацией, предполагает наличие материального носителя, но клиент его не получал, а при совершении операций использует только реквизиты ЭСП или бесконтактные технологии (Pay-сервисы).</w:t>
      </w:r>
    </w:p>
    <w:p>
      <w:pPr>
        <w:pStyle w:val="BodyText"/>
      </w:pPr>
      <w:r>
        <w:t xml:space="preserve">В графах 7 и 8 подраздела 1.1 раздела 1 указываются соответственно код и наименование платежной системы, код и обозначение товарного знака в соответствии со справочной информацией о платежных системах и товарных знаках ЭСП. Что подразумевается под товарным знаком?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Товарный знак - это обозначение (бренд) ЭСП, который эмитирован КО вне рамок платежной системы.</w:t>
      </w:r>
    </w:p>
    <w:p>
      <w:pPr>
        <w:pStyle w:val="BodyText"/>
      </w:pPr>
      <w:r>
        <w:t xml:space="preserve">НКО выпустило ФЛ неперсонифицированное ЭСП с проведением упрощенной идентификации в январе, а в феврале тип ЭСП изменился на персонифицированное ЭСП (лицевой счет при этом не изменился). Как осуществляется заполнение граф 9 и 10 подраздела 1.1. раздела 1 в случае, если у клиента изменился тип ЭСП в отчетном периоде (квартале)?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Данные в указанных графах заполняются по состоянию на отчетную дату.</w:t>
      </w:r>
    </w:p>
    <w:p>
      <w:pPr>
        <w:pStyle w:val="BodyText"/>
      </w:pPr>
      <w:r>
        <w:t xml:space="preserve">В графах 9,10, 11 раздела 1 подраздела 1.1 нужно ли учитывать дополнительные ЭСП, привязанные к одному карточному счету физического лица, или только основные?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Да, учитывать необходимо.</w:t>
      </w:r>
    </w:p>
    <w:p>
      <w:pPr>
        <w:pStyle w:val="BodyText"/>
      </w:pPr>
      <w:r>
        <w:t xml:space="preserve">Физическое лицо – клиент НКО подал заявление о расторжении договора об использовании ЭСП (предоплаченной карты) (далее – Договор). Договор прекращается по истечении 45 дней после получения заявления о расторжении Договора от клиента (дата закрытия карточного счета равна дате прекращения Договора). До момента прекращения действия Договора могут осуществляться расчеты по операциям, совершенным с использованием предоплаченной карты до прекращения ее использования. Подлежит ли ЭСП (предоплаченная карта) отражению в графе 9 подраздела 1.1 раздела 1 как действующее, если по состоянию на отчетную дату Договор является действующим?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Да. Данные отражаются не по факту подачи заявления, а по факту окончания действия карты.</w:t>
      </w:r>
    </w:p>
    <w:p>
      <w:pPr>
        <w:pStyle w:val="BodyText"/>
      </w:pPr>
      <w:r>
        <w:t xml:space="preserve">Включаются ли в раздел 1 отчета сведения о картах с истекшим сроком действия, но продленным без перевыпуска карт?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отчет по форме включаются сведения о картах с продленным сроком.</w:t>
      </w:r>
    </w:p>
    <w:p>
      <w:pPr>
        <w:pStyle w:val="BodyText"/>
      </w:pPr>
      <w:r>
        <w:t xml:space="preserve">В графе 10 указывается количество карт, по которым совершались операции с начала отчетного года. Верно ли мы понимаем, что сведения по данной графе будут учитываться нарастающим итогом из квартала в квартал отчетного года?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Да, верно.</w:t>
      </w:r>
    </w:p>
    <w:p>
      <w:pPr>
        <w:pStyle w:val="BodyText"/>
      </w:pPr>
      <w:r>
        <w:t xml:space="preserve">В графе 11 подраздела 1.1 раздела 1 (количество ЭСП эмитированных в течение отчетного периода, единиц) необходимо ли учитывать перевыпущенные по сроку действия карты, у которых номер не изменился?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Нет, интересует только количество вновь выпущенных карт</w:t>
      </w:r>
    </w:p>
    <w:p>
      <w:pPr>
        <w:pStyle w:val="BodyText"/>
      </w:pPr>
      <w:r>
        <w:t xml:space="preserve">В графе 11 — количество карт, эмитированных в течение отчетного периода имеет значение статус/состояние карты? Нужно ли учитывать карты в состоянии закрытые/заблокированные на отчетную дату?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Если карту выпустили в отчетном квартале и в этом же периоде она была заблокирована, то показывается. Если карта выпущена в другом отчетном периоде, то она вообще не указывается в этом отчетном периоде, вне зависимости от того — действующая она или заблокированная.</w:t>
      </w:r>
    </w:p>
    <w:p>
      <w:pPr>
        <w:pStyle w:val="BodyText"/>
      </w:pPr>
      <w:r>
        <w:t xml:space="preserve">Что считать датой эмиссии ЭСП в графе 11 подраздела 1.1 раздела 1: создание номера новой карты во внутренней системе банка, создание материального носителя ЭСП, активация карты клиентом? Верно ли использовать дату активации карты клиентом, так как встроенный контроль в Дельте не позволяет указать эмиссию карты, если по ней не было операций с начала отчетного года или она не является действующей на отчетную дату?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Датой эмиссии ЭСП следует считать: для ЭСП с материальным носителем - дату выдачи его клиенту; для ЭСП без материального носителя - дату получения клиентом кредитной организации возможности использовать реквизиты ЭСП для совершения операций в приложении кредитной организации или в сети Интернет.</w:t>
      </w:r>
    </w:p>
    <w:p>
      <w:pPr>
        <w:pStyle w:val="BodyText"/>
      </w:pPr>
      <w:r>
        <w:t xml:space="preserve">Какие эмитированные ЭСП должны включаться в графу 11 подраздела 1 Раздела 1? Является ли эмиссией плановый перевыпуск карт или продление срока действия карт?</w:t>
      </w:r>
    </w:p>
    <w:p>
      <w:pPr>
        <w:pStyle w:val="BodyText"/>
      </w:pPr>
      <w:r>
        <w:t xml:space="preserve">Обновлено: 26.05.2025</w:t>
      </w:r>
    </w:p>
    <w:p>
      <w:pPr>
        <w:pStyle w:val="BodyText"/>
      </w:pPr>
      <w:r>
        <w:t xml:space="preserve">В отчетность по показателю «Количество ЭСП, эмитированных в течении отчетного периода» включаются сведения о платежных картах, выпущенных в рамках вновь заключаемых договоров. Сведения о перевыпущенных картах и о картах, по которым продлен срок действия, в отчетность не включаются.</w:t>
      </w:r>
    </w:p>
    <w:p>
      <w:pPr>
        <w:pStyle w:val="BodyText"/>
      </w:pPr>
      <w:r>
        <w:t xml:space="preserve">Раздел 2.</w:t>
      </w:r>
    </w:p>
    <w:p>
      <w:pPr>
        <w:pStyle w:val="BodyText"/>
      </w:pPr>
      <w:r>
        <w:t xml:space="preserve">Возник вопрос касательно отражения операций раздела 2 графы 8:</w:t>
      </w:r>
    </w:p>
    <w:p>
      <w:pPr>
        <w:pStyle w:val="BodyText"/>
      </w:pPr>
      <w:r>
        <w:t xml:space="preserve">Какой код следует указать (2, 5, 6, 99) в случае:</w:t>
      </w:r>
    </w:p>
    <w:p>
      <w:pPr>
        <w:pStyle w:val="BodyText"/>
      </w:pPr>
      <w:r>
        <w:t xml:space="preserve">если держатель карты проводит внутрибанковский/межбанковский перевод с целью пополнения инвестиционного счета в финансовых компаниях;</w:t>
      </w:r>
    </w:p>
    <w:p>
      <w:pPr>
        <w:pStyle w:val="BodyText"/>
      </w:pPr>
      <w:r>
        <w:t xml:space="preserve">погашения займов в МФО;</w:t>
      </w:r>
    </w:p>
    <w:p>
      <w:pPr>
        <w:pStyle w:val="BodyText"/>
      </w:pPr>
      <w:r>
        <w:t xml:space="preserve">перевод с карты на карту другой КО лицу с неизвестным правовым статусом – ФЛ или ЮЛ?</w:t>
      </w:r>
    </w:p>
    <w:p>
      <w:pPr>
        <w:pStyle w:val="BodyText"/>
      </w:pPr>
      <w:r>
        <w:t xml:space="preserve">Обновлено: 29.12.2025</w:t>
      </w:r>
    </w:p>
    <w:p>
      <w:pPr>
        <w:numPr>
          <w:ilvl w:val="0"/>
          <w:numId w:val="1001"/>
        </w:numPr>
      </w:pPr>
      <w:r>
        <w:t xml:space="preserve">Перевод с целью пополнения инвестиционного счета в финансовых компаниях. Используем код 5-если внутрибанковский перевод, код 6 если межбанковский перевод;</w:t>
      </w:r>
    </w:p>
    <w:p>
      <w:pPr>
        <w:numPr>
          <w:ilvl w:val="0"/>
          <w:numId w:val="1001"/>
        </w:numPr>
      </w:pPr>
      <w:r>
        <w:t xml:space="preserve">Погашение займов в МФО. Перевод денег ЮЛ в рамках договора займа –это оплата финансовых услуг, следовательно, указываем код 2;</w:t>
      </w:r>
    </w:p>
    <w:p>
      <w:pPr>
        <w:pStyle w:val="FirstParagraph"/>
      </w:pPr>
      <w:r>
        <w:t xml:space="preserve">Какие операции относятся к коду 2, а какие к коду 3 в Разделе 2 графы 12. Также интересует, какие платежные приложения позволяют проводить бесконтактное списание средств по коду 3, и можно ли привести примеры таких операций.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Код 3 добавлен на перспективу отражения операций с использованием PAY-сервисов с использованием платежных карт (ее реквизитов) без технологии NFC.</w:t>
      </w:r>
    </w:p>
    <w:p>
      <w:pPr>
        <w:pStyle w:val="BodyText"/>
      </w:pPr>
      <w:r>
        <w:t xml:space="preserve">Для интернет-операций выдаётся ошибка, если указываем код 2 (токен). Но в интернете возможна оплата токеном, такие операции есть.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Код 2 это не токен, это тип бесконтактной операции (платежные приложения NFC).</w:t>
      </w:r>
    </w:p>
    <w:p>
      <w:pPr>
        <w:pStyle w:val="BodyText"/>
      </w:pPr>
      <w:r>
        <w:t xml:space="preserve">Включаются ли в отчет сведения об операциях, совершенных с использованием системы быстрых платежей?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Нет, не включаются. В соответствии с абзацем 5 пункта 4 Порядка в раздел 2 не включаются операции клиентов, совершенные с использованием системы быстрых платежей, биометрических персональных данных клиентов, реквизитов перевода, представленных в виде кода (QR-код).</w:t>
      </w:r>
    </w:p>
    <w:p>
      <w:pPr>
        <w:pStyle w:val="BodyText"/>
      </w:pPr>
      <w:r>
        <w:t xml:space="preserve">Включаются ли в раздел 2 сведения об операциях, совершенных в устройствах отчитывающейся КО?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раздел 2 отчета включаются сведения обо всех операциях, совершенных на территории РФ и за ее пределами клиентами отчитывающейся кредитной организации с использованием расчетных и кредитных карт, выданных данной КО, во всех устройствах, в том числе и принадлежащих отчитывающейся кредитной организации.</w:t>
      </w:r>
    </w:p>
    <w:p>
      <w:pPr>
        <w:pStyle w:val="BodyText"/>
      </w:pPr>
      <w:r>
        <w:t xml:space="preserve">Каким образом отражать в разделе 2 операции оплаты с использованием банковской карты, на которые в дальнейшем был оформлен полный/частичный возврат?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Операции возврата в разделах 2 и 3 формы не учитываются. Отражаются только операции по списанию денежных средств</w:t>
      </w:r>
    </w:p>
    <w:p>
      <w:pPr>
        <w:pStyle w:val="BodyText"/>
      </w:pPr>
      <w:r>
        <w:t xml:space="preserve">В случае выдачи в ТСП наличных денежных средств при оплате товаров (работ, услуг) необходимо отражать эти операции как одну?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указанном случае в отчете должны быть показаны две операции – «оплата товаров (работ, услуг)» и «снятие наличных денежных средств».</w:t>
      </w:r>
    </w:p>
    <w:p>
      <w:pPr>
        <w:pStyle w:val="BodyText"/>
      </w:pPr>
      <w:r>
        <w:t xml:space="preserve">В графе 8 раздела 2 перевод в пользу ИП (индивидуального предпринимателя) должен учитываться с кодом вида операции 4 (внутрибанковский перевод в пользу физических лиц) или 5 (межбанковский перевод в пользу физических лиц), так же, как и перевод в пользу физического лица?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Перевод в пользу ИП - это оплата товаров, работ, услуг.</w:t>
      </w:r>
    </w:p>
    <w:p>
      <w:pPr>
        <w:pStyle w:val="BodyText"/>
      </w:pPr>
      <w:r>
        <w:t xml:space="preserve">Какими признаками следует руководствоваться при определении кода («3» - Обязательные платежи в пользу государства и «4» - Таможенные платежи) при заполнении графы 8? В поступающей информации от процессингового центра нет данных о счете получателя и КБК, поэтому для постановки кода «3» банк планирует использовать поле MCC с кодами «9311» (Налоговые платежи), «9222» (Штрафы). Вероятно, если они теоретически будут – то отнесутся к коду 3. Для постановки кода «4» (таможенные платежи) нет отдельного значения MCC и нет возможности определить такие платежи по другим признакам.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Таможенные платежи осуществляются по картам Таможенной ПС и Мультисервисной ПС. У ПС «МИР» Таможенная карта является отдельным продуктом.</w:t>
      </w:r>
    </w:p>
    <w:p>
      <w:pPr>
        <w:pStyle w:val="BodyText"/>
      </w:pPr>
      <w:r>
        <w:t xml:space="preserve">Можно ли при заполнении графы 8 отнести</w:t>
      </w:r>
      <w:r>
        <w:t xml:space="preserve"> </w:t>
      </w:r>
      <w:r>
        <w:t xml:space="preserve">к коду 99 (иное) следующие коды MCC:</w:t>
      </w:r>
    </w:p>
    <w:p>
      <w:pPr>
        <w:pStyle w:val="BodyText"/>
      </w:pPr>
      <w:r>
        <w:t xml:space="preserve">7995 Азартные игры</w:t>
      </w:r>
    </w:p>
    <w:p>
      <w:pPr>
        <w:pStyle w:val="BodyText"/>
      </w:pPr>
      <w:r>
        <w:t xml:space="preserve">8398 Благотворительные, общественные</w:t>
      </w:r>
      <w:r>
        <w:t xml:space="preserve"> </w:t>
      </w:r>
      <w:r>
        <w:t xml:space="preserve">организации, социальные службы</w:t>
      </w:r>
    </w:p>
    <w:p>
      <w:pPr>
        <w:pStyle w:val="BodyText"/>
      </w:pPr>
      <w:r>
        <w:t xml:space="preserve">8641 Гражданские, социальные и</w:t>
      </w:r>
      <w:r>
        <w:t xml:space="preserve"> </w:t>
      </w:r>
      <w:r>
        <w:t xml:space="preserve">братские ассоциации</w:t>
      </w:r>
    </w:p>
    <w:p>
      <w:pPr>
        <w:pStyle w:val="BodyText"/>
      </w:pPr>
      <w:r>
        <w:t xml:space="preserve">8651 Политические организации</w:t>
      </w:r>
    </w:p>
    <w:p>
      <w:pPr>
        <w:pStyle w:val="BodyText"/>
      </w:pPr>
      <w:r>
        <w:t xml:space="preserve">8661 Религиозные организации</w:t>
      </w:r>
    </w:p>
    <w:p>
      <w:pPr>
        <w:pStyle w:val="BodyText"/>
      </w:pPr>
      <w:r>
        <w:t xml:space="preserve">8664 Категория неизвестна</w:t>
      </w:r>
    </w:p>
    <w:p>
      <w:pPr>
        <w:pStyle w:val="BodyText"/>
      </w:pPr>
      <w:r>
        <w:t xml:space="preserve">9211 Судебные выплаты, включая</w:t>
      </w:r>
      <w:r>
        <w:t xml:space="preserve"> </w:t>
      </w:r>
      <w:r>
        <w:t xml:space="preserve">алименты и детскую поддержку</w:t>
      </w:r>
    </w:p>
    <w:p>
      <w:pPr>
        <w:pStyle w:val="BodyText"/>
      </w:pPr>
      <w:r>
        <w:t xml:space="preserve">9223 Платежи</w:t>
      </w:r>
      <w:r>
        <w:t xml:space="preserve"> </w:t>
      </w:r>
      <w:r>
        <w:t xml:space="preserve">по залогам и облигациям?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Да, эти операции относятся к коду 99.</w:t>
      </w:r>
    </w:p>
    <w:p>
      <w:pPr>
        <w:pStyle w:val="BodyText"/>
      </w:pPr>
      <w:r>
        <w:t xml:space="preserve">В каких случаях графа 9 раздела 2 может быть не заполнена?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Графа 9 раздела 2 заполняется в случае, если в графе 8 раздела 2 указан код вида операции «5» (Внутрибанковские переводы в пользу физических лиц) или «6» (Межбанковские переводы в пользу физических лиц).</w:t>
      </w:r>
    </w:p>
    <w:p>
      <w:pPr>
        <w:pStyle w:val="BodyText"/>
      </w:pPr>
      <w:r>
        <w:t xml:space="preserve">Какие источники</w:t>
      </w:r>
      <w:r>
        <w:t xml:space="preserve"> </w:t>
      </w:r>
      <w:r>
        <w:t xml:space="preserve">рекомендуется использовать для заполнения графы 9 раздела 2?</w:t>
      </w:r>
    </w:p>
    <w:p>
      <w:pPr>
        <w:pStyle w:val="BodyText"/>
      </w:pPr>
      <w:r>
        <w:t xml:space="preserve">ПРИМЕР :</w:t>
      </w:r>
      <w:r>
        <w:t xml:space="preserve"> </w:t>
      </w:r>
      <w:r>
        <w:t xml:space="preserve">клиент пополнил свой брокерский счет в другом банке (карты к данному счёту не</w:t>
      </w:r>
      <w:r>
        <w:t xml:space="preserve"> </w:t>
      </w:r>
      <w:r>
        <w:t xml:space="preserve">выпущено) в приложении другого банка со своей карты в нашем банке. Из</w:t>
      </w:r>
      <w:r>
        <w:t xml:space="preserve"> </w:t>
      </w:r>
      <w:r>
        <w:t xml:space="preserve">процессинга пришла информация о переводе с карты на карту чужого</w:t>
      </w:r>
      <w:r>
        <w:t xml:space="preserve"> </w:t>
      </w:r>
      <w:r>
        <w:t xml:space="preserve">банка, т.е. нет информации о том, что клиент указал именно счет. В итоге по</w:t>
      </w:r>
      <w:r>
        <w:t xml:space="preserve"> </w:t>
      </w:r>
      <w:r>
        <w:t xml:space="preserve">данной операции, как и операции перечисления на карту, в гр.9 р.2 указывается</w:t>
      </w:r>
      <w:r>
        <w:t xml:space="preserve"> </w:t>
      </w:r>
      <w:r>
        <w:t xml:space="preserve">код 1 – « Номер карты получателя» .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данном случае, в качестве источника для составления отчета, можно использовать данные клирингового сообщения, пришедшего из процессингового центра.</w:t>
      </w:r>
    </w:p>
    <w:p>
      <w:pPr>
        <w:pStyle w:val="BodyText"/>
      </w:pPr>
      <w:r>
        <w:t xml:space="preserve">Через сайт КО можно осуществить межбанковский и внутрибанковский перевод, без непосредственного логина в интернет-банк данной КО. В графе 11 раздела 2 данная операция должна отражаться с кодом способа совершения операции «6», как операция, совершенная посредством интернет-банкинга, или с кодом «99» Иное?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Должна отражаться как операция через Интернет-банкинг</w:t>
      </w:r>
    </w:p>
    <w:p>
      <w:pPr>
        <w:pStyle w:val="BodyText"/>
      </w:pPr>
      <w:r>
        <w:t xml:space="preserve">Раздел 3.</w:t>
      </w:r>
    </w:p>
    <w:p>
      <w:pPr>
        <w:pStyle w:val="BodyText"/>
      </w:pPr>
      <w:r>
        <w:t xml:space="preserve">Согласно абз.3 п. 5 Порядка составления формы в раздел 3 включаются операции: «по оплате товаров (работ, услуг), расчеты по которым с организациями торговли (услуг) (в том числе с интернет-магазинами) осуществляет отчитывающаяся кредитная организация &lt;….&gt;».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Операции с кодом 99, отраженные в графе 8 раздела 2, не подлежат включению в подраздел 3.1</w:t>
      </w:r>
    </w:p>
    <w:p>
      <w:pPr>
        <w:pStyle w:val="BodyText"/>
      </w:pPr>
      <w:r>
        <w:t xml:space="preserve">В раздел 3 входят операции через СБП?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Нет, операции, совершенные с использованием СБП, не являются операциями с использованием платежных карт.</w:t>
      </w:r>
    </w:p>
    <w:p>
      <w:pPr>
        <w:pStyle w:val="BodyText"/>
      </w:pPr>
      <w:r>
        <w:t xml:space="preserve">Включаются ли в раздел 3 операции с использованием платежных карт по перечислению денежных средств в целях увеличения остатка электронных денежных средств?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раздел 3 такие операции не включаются. Включаются только в раздел 2 отчета по форме 0409264.</w:t>
      </w:r>
    </w:p>
    <w:p>
      <w:pPr>
        <w:pStyle w:val="BodyText"/>
      </w:pPr>
      <w:r>
        <w:t xml:space="preserve">В раздел 3 входят операции, совершенные через MirPay, TinkoffPay, и тому подобные?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 входят.</w:t>
      </w:r>
    </w:p>
    <w:p>
      <w:pPr>
        <w:pStyle w:val="BodyText"/>
      </w:pPr>
      <w:r>
        <w:t xml:space="preserve">Кто является привлеченным эквайрером?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Привлеченный эквайрер – кредитная организация, не являющаяся участником платежной системы и привлеченная другой кредитной организацией (участником платежной системы) для исполнения своих функций эквайрера.</w:t>
      </w:r>
    </w:p>
    <w:p>
      <w:pPr>
        <w:pStyle w:val="BodyText"/>
      </w:pPr>
      <w:r>
        <w:t xml:space="preserve">Раздел 3. подраздел 3.1.</w:t>
      </w:r>
    </w:p>
    <w:p>
      <w:pPr>
        <w:pStyle w:val="BodyText"/>
      </w:pPr>
      <w:r>
        <w:t xml:space="preserve">Для операций Выдача наличных дано пояснение, что включаются операции в организациях торговли (услуг) независимо от основания возникновения права использования устройств, посредством которых совершена операция.</w:t>
      </w:r>
    </w:p>
    <w:p>
      <w:pPr>
        <w:pStyle w:val="BodyText"/>
      </w:pPr>
      <w:r>
        <w:t xml:space="preserve">Откуда для таких операций брать Код территории, на которой расположена инфраструктура, если у банка нет договора с этим ТСП? В авторизации и клиринге код территории отсутствует.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подразделе 3.1 отражаются операции, которые совершены посредством устройств КО, либо в ОТУ с которой у КО заключен договор.</w:t>
      </w:r>
    </w:p>
    <w:p>
      <w:pPr>
        <w:pStyle w:val="BodyText"/>
      </w:pPr>
      <w:r>
        <w:t xml:space="preserve">Правильно ли понимание порядка заполнения подраздела 3.1: указываются только операции, по которым расчеты с ТСП производит отчитывающийся банк, в том числе операции, по которым привлечен эквайрер?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подразделе 3.1 указываются только операции,</w:t>
      </w:r>
      <w:r>
        <w:t xml:space="preserve"> </w:t>
      </w:r>
      <w:r>
        <w:t xml:space="preserve">по которым расчеты с ТСП производит отчитывающийся банк. По операциям</w:t>
      </w:r>
      <w:r>
        <w:t xml:space="preserve"> </w:t>
      </w:r>
      <w:r>
        <w:t xml:space="preserve">привлеченного эквайрера отчитывается сам привлеченный эквайрер.</w:t>
      </w:r>
    </w:p>
    <w:p>
      <w:pPr>
        <w:pStyle w:val="BodyText"/>
      </w:pPr>
      <w:r>
        <w:t xml:space="preserve">КО, которая привлекла эквайрера, операции показывает в подразделе 3.2</w:t>
      </w:r>
    </w:p>
    <w:p>
      <w:pPr>
        <w:pStyle w:val="BodyText"/>
      </w:pPr>
      <w:r>
        <w:t xml:space="preserve">Отражаются ли в подразделе 3.1 раздела 3 сведения, если кредитная организация соответствует условиям ниже:</w:t>
      </w:r>
    </w:p>
    <w:p>
      <w:pPr>
        <w:numPr>
          <w:ilvl w:val="0"/>
          <w:numId w:val="1002"/>
        </w:numPr>
      </w:pPr>
      <w:r>
        <w:t xml:space="preserve">касса кредитной организации не оборудована устройствами, принимающими платежные карты;</w:t>
      </w:r>
    </w:p>
    <w:p>
      <w:pPr>
        <w:numPr>
          <w:ilvl w:val="0"/>
          <w:numId w:val="1002"/>
        </w:numPr>
      </w:pPr>
      <w:r>
        <w:t xml:space="preserve">получение наличных денежных средств держателями платежных карт в кассах кредитной организации осуществляется по расходному кассовому ордеру (по паспорту определяются реквизиты счета клиента);</w:t>
      </w:r>
    </w:p>
    <w:p>
      <w:pPr>
        <w:numPr>
          <w:ilvl w:val="0"/>
          <w:numId w:val="1002"/>
        </w:numPr>
      </w:pPr>
      <w:r>
        <w:t xml:space="preserve">кроме касс других способов совершения операций в инфраструктуре кредитной организации нет (Организация торговли (услуг) (кроме интернет-магазина), Интернет-магазин, Терминал безналичной оплаты, Банкомат, Иное).</w:t>
      </w:r>
    </w:p>
    <w:p>
      <w:pPr>
        <w:pStyle w:val="FirstParagraph"/>
      </w:pPr>
      <w:r>
        <w:t xml:space="preserve">Обновлено: 20.12.2023</w:t>
      </w:r>
    </w:p>
    <w:p>
      <w:pPr>
        <w:pStyle w:val="BodyText"/>
      </w:pPr>
      <w:r>
        <w:t xml:space="preserve">При указанных условиях КО должна направить сообщение «Данные по подразделу 3.1 отсутствуют».</w:t>
      </w:r>
    </w:p>
    <w:p>
      <w:pPr>
        <w:pStyle w:val="BodyText"/>
      </w:pPr>
      <w:r>
        <w:t xml:space="preserve">Необходимо ли отражать операции, совершенные через Интернет привлеченным эквайрером, в подразделе 3.1 раздела 3 отчета?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Кредитная организация которая привлекла другую кредитную организацию для исполнения своих функций эквайрера (далее - привлеченный эквайрер), сведения об операциях по оплате товаров (работ, услуг), расчеты по которым с организациями торговли (услуг) (в том числе с интернет-магазинами) осуществляет кредитная организация - привлеченный эквайрер, в позраздел 3.1 раздела 3 не включает.</w:t>
      </w:r>
    </w:p>
    <w:p>
      <w:pPr>
        <w:pStyle w:val="BodyText"/>
      </w:pPr>
      <w:r>
        <w:t xml:space="preserve">Что подразумевается под ОКАТО регистрации интернет-магазина? (графа 2 подраздела 3.1 раздела 3)?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Для интернет-магазина (юридического лица) необходимо указывать код ОКАТО по месту регистрации юридического адреса.</w:t>
      </w:r>
    </w:p>
    <w:p>
      <w:pPr>
        <w:pStyle w:val="BodyText"/>
      </w:pPr>
      <w:r>
        <w:t xml:space="preserve">В графе 6 подраздела 3.1 раздела 3 указывается вид операции с использованием кода</w:t>
      </w:r>
      <w:r>
        <w:t xml:space="preserve"> </w:t>
      </w:r>
      <w:r>
        <w:t xml:space="preserve">«Обязательные платежи в пользу государства». Включаются Платежи на счета</w:t>
      </w:r>
      <w:r>
        <w:t xml:space="preserve"> </w:t>
      </w:r>
      <w:r>
        <w:t xml:space="preserve">органов Федерального казначейства (например, оплата налогов, штрафов, сборов,</w:t>
      </w:r>
      <w:r>
        <w:t xml:space="preserve"> </w:t>
      </w:r>
      <w:r>
        <w:t xml:space="preserve">государственной пошлины). Предварительно выделили MCC 9311 (Налоги, сборы,</w:t>
      </w:r>
      <w:r>
        <w:t xml:space="preserve"> </w:t>
      </w:r>
      <w:r>
        <w:t xml:space="preserve">пени, штрафы, таможенные платежи) и 9222 (Штрафы).</w:t>
      </w:r>
    </w:p>
    <w:p>
      <w:pPr>
        <w:pStyle w:val="BodyText"/>
      </w:pPr>
      <w:r>
        <w:t xml:space="preserve">Все ли</w:t>
      </w:r>
      <w:r>
        <w:t xml:space="preserve"> </w:t>
      </w:r>
      <w:r>
        <w:t xml:space="preserve">MCC учтены банком? Есть ли список необходимых к отображению в отчетности MCC?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Нет, списка МСС нет. У платежных систем перечень МСС обновляется, и у разных платежных систем перечень МСС-кодов может различаться.</w:t>
      </w:r>
    </w:p>
    <w:p>
      <w:pPr>
        <w:pStyle w:val="BodyText"/>
      </w:pPr>
      <w:r>
        <w:t xml:space="preserve">Верно ли что в графе 6 раздела 3 подраздела 3.1 таможенные платежи не включаются ни в одну категорию кода вида операции?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Да, Таможенные платежи отражаются только во 2 разделе.</w:t>
      </w:r>
    </w:p>
    <w:p>
      <w:pPr>
        <w:pStyle w:val="BodyText"/>
      </w:pPr>
      <w:r>
        <w:t xml:space="preserve">П.5.1.5. в графе 7 подраздела 3.1 ставим код 3 в следующих случаях, верно:</w:t>
      </w:r>
    </w:p>
    <w:p>
      <w:pPr>
        <w:numPr>
          <w:ilvl w:val="0"/>
          <w:numId w:val="1003"/>
        </w:numPr>
      </w:pPr>
      <w:r>
        <w:t xml:space="preserve">если платеж за коммунальные услуги, связь и т.п. совершен в терминале</w:t>
      </w:r>
      <w:r>
        <w:t xml:space="preserve"> </w:t>
      </w:r>
      <w:r>
        <w:t xml:space="preserve">самообслуживания;</w:t>
      </w:r>
    </w:p>
    <w:p>
      <w:pPr>
        <w:numPr>
          <w:ilvl w:val="0"/>
          <w:numId w:val="1003"/>
        </w:numPr>
      </w:pPr>
      <w:r>
        <w:t xml:space="preserve">если платеж за топливо совершен на автоматической АЗС;</w:t>
      </w:r>
    </w:p>
    <w:p>
      <w:pPr>
        <w:numPr>
          <w:ilvl w:val="0"/>
          <w:numId w:val="1003"/>
        </w:numPr>
      </w:pPr>
      <w:r>
        <w:t xml:space="preserve">если</w:t>
      </w:r>
      <w:r>
        <w:t xml:space="preserve"> </w:t>
      </w:r>
      <w:r>
        <w:t xml:space="preserve">покупка совершена в вендинговом аппарате?</w:t>
      </w:r>
    </w:p>
    <w:p>
      <w:pPr>
        <w:pStyle w:val="FirstParagraph"/>
      </w:pPr>
      <w:r>
        <w:t xml:space="preserve">Обновлено: 20.12.2023</w:t>
      </w:r>
    </w:p>
    <w:p>
      <w:pPr>
        <w:pStyle w:val="BodyText"/>
      </w:pPr>
      <w:r>
        <w:t xml:space="preserve">При совершении всех указанных операций операций в графе 7 подраздела 3.1 раздела 3 указывается код способа совершения операция «3» (терминал безналичной оплаты).</w:t>
      </w:r>
    </w:p>
    <w:p>
      <w:pPr>
        <w:pStyle w:val="BodyText"/>
      </w:pPr>
      <w:r>
        <w:t xml:space="preserve">Какой код способа совершения операции необходимо указывать в графе 7 подраздела 3.1 или графе 4 подраздела 3.2 раздела 3, если операция совершена в сети Интернет на сайте ЮЛ-клиента отчитывающейся кредитной организации, который осуществляет деятельность по распространению (продаже) лотерейных билетов или деятельность связана с переводом ставок букмекерских контор и тотализаторов?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Если исходить из того, что продажа лотерейных билетов или деятельность, связанная с переводом ставок букмекерских контор и тотализаторов, является оказанием услуг, то в том случае, если ЮЛ зарегистрировано как ТСП, то способ совершения операции указывается как «Интернет-магазин», если нет, то указывается «Иное».</w:t>
      </w:r>
    </w:p>
    <w:p>
      <w:pPr>
        <w:pStyle w:val="BodyText"/>
      </w:pPr>
      <w:r>
        <w:t xml:space="preserve">Просьба пояснить, какие операции следует отражать с кодом 99 в графе 7?</w:t>
      </w:r>
    </w:p>
    <w:p>
      <w:pPr>
        <w:pStyle w:val="BodyText"/>
      </w:pPr>
      <w:r>
        <w:t xml:space="preserve">Обновлено: 26.05.2025</w:t>
      </w:r>
    </w:p>
    <w:p>
      <w:pPr>
        <w:pStyle w:val="BodyText"/>
      </w:pPr>
      <w:r>
        <w:t xml:space="preserve">С кодом 99 в графе 7 включаются безналичные операции (кроме таможенных платежей, переводов в пользу физических лиц), совершенные с использованием карт в инфраструктуре КО, которые не включены в подраздел 3.1 раздела 1 с другими кодами.</w:t>
      </w:r>
    </w:p>
    <w:p>
      <w:pPr>
        <w:pStyle w:val="BodyText"/>
      </w:pPr>
      <w:r>
        <w:t xml:space="preserve">Раздел 3. подраздел 3.2.</w:t>
      </w:r>
    </w:p>
    <w:p>
      <w:pPr>
        <w:pStyle w:val="BodyText"/>
      </w:pPr>
      <w:r>
        <w:t xml:space="preserve">Правильно ли понимание порядка заполнения подраздела 3.2: У Банка1 заключен договор с Банком2 на обслуживание интернет-операций, по которому Банк1 заключает договоры с интернет-магазинами и проводит расчеты по совершенным операциям, а Банк2 отправляет в платежную систему данные по совершенным транзакциям. Банк1 выплачивает комиссионное вознаграждение Банку2 , являющегося посредником в платежной системе для Банка1 . Вопрос заключается в следующем: какая из кредитных организаций является привлеченным эквайрером и какие подразделы раздела 3 заполняет каждая из указанных КО?</w:t>
      </w:r>
    </w:p>
    <w:p>
      <w:pPr>
        <w:pStyle w:val="BodyText"/>
      </w:pPr>
      <w:r>
        <w:t xml:space="preserve">Обновлено: 20.12.2023</w:t>
      </w:r>
    </w:p>
    <w:p>
      <w:pPr>
        <w:pStyle w:val="BodyText"/>
      </w:pPr>
      <w:r>
        <w:t xml:space="preserve">В указанном примере привлеченным эквайрером является Банк1 . При этом заполнение раздела 1 будет выглядеть следующим образом: Банк1 заполняет подраздел 3.1 раздела 3, а Банк2 — заполняет подраздел 3.1 в части своих операций и подраздел 3.2 в части операций Интернет-эквайринга Банка1 .</w:t>
      </w:r>
    </w:p>
    <w:p>
      <w:pPr>
        <w:pStyle w:val="BodyText"/>
      </w:pPr>
      <w:r>
        <w:t xml:space="preserve">Раздел 4.</w:t>
      </w:r>
    </w:p>
    <w:p>
      <w:pPr>
        <w:pStyle w:val="BodyText"/>
      </w:pPr>
      <w:r>
        <w:t xml:space="preserve">Следует ли указывать «операции по возврату» в разделах 2-3 формы отчетности 0409264? Попадает ли раздел 4 под данное требование?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Форма 0409264 построена по принципу отражения операций по списанию денежных средств.</w:t>
      </w:r>
    </w:p>
    <w:p>
      <w:pPr>
        <w:pStyle w:val="BodyText"/>
      </w:pPr>
      <w:r>
        <w:t xml:space="preserve">Возвраты в нее не включаются.</w:t>
      </w:r>
    </w:p>
    <w:p>
      <w:pPr>
        <w:pStyle w:val="BodyText"/>
      </w:pPr>
      <w:r>
        <w:t xml:space="preserve">Клиенты Банка – физические лица осуществляют переводы с использованием ЭДС (не предоплаченная карта) в пользу юридических лиц с использованием QR-кода. (QR-код – двумерный тип штрихкода, который содержит информацию о Реквизитах Перевода в виде закодированных данных). Данные операции осуществляются без участия платежных систем.</w:t>
      </w:r>
    </w:p>
    <w:p>
      <w:pPr>
        <w:pStyle w:val="BodyText"/>
      </w:pPr>
      <w:r>
        <w:t xml:space="preserve">Необходимо ли включать операции, совершенные с использованием QR-кода в разделе 4 ф.0409264.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Да</w:t>
      </w:r>
    </w:p>
    <w:p>
      <w:pPr>
        <w:pStyle w:val="BodyText"/>
      </w:pPr>
      <w:r>
        <w:t xml:space="preserve">Если в результате пополнения ЭСП превышен допустимый лимит остатка, сумма превышения отводится на счета учета «перелимита», то в какую сумму следует отразить в графе 11 раздела 4 отчетной формы 0409264: полную сумму операции пополнения или сумму пополнения за минусом «перелимита»?</w:t>
      </w:r>
    </w:p>
    <w:p>
      <w:pPr>
        <w:pStyle w:val="BodyText"/>
      </w:pPr>
      <w:r>
        <w:t xml:space="preserve">Обновлено: 29.12.2025</w:t>
      </w:r>
    </w:p>
    <w:p>
      <w:pPr>
        <w:pStyle w:val="BodyText"/>
      </w:pPr>
      <w:r>
        <w:t xml:space="preserve">В графе 11 следует указывать сумму, фактически зачисленную на ЭСП (т.е сумму пополнения за минусом суммы превышения).</w:t>
      </w:r>
    </w:p>
    <w:p>
      <w:pPr>
        <w:pStyle w:val="BodyText"/>
      </w:pPr>
      <w:r>
        <w:t xml:space="preserve">Следует ли включать в Раздел 4 отчета данные о возникновении/погашении технического овердрафта по предоплаченной карте?</w:t>
      </w:r>
    </w:p>
    <w:p>
      <w:pPr>
        <w:pStyle w:val="BodyText"/>
      </w:pPr>
      <w:r>
        <w:t xml:space="preserve">Обновлено: 26.05.2025</w:t>
      </w:r>
    </w:p>
    <w:p>
      <w:pPr>
        <w:pStyle w:val="BodyText"/>
      </w:pPr>
      <w:r>
        <w:t xml:space="preserve">Данные о возникновении/погашении технического овердрафта в отчетность не включаются.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2026-09-27T11:01:31Z</dcterms:created>
  <dcterms:modified xsi:type="dcterms:W3CDTF">2026-09-27T11:01:31Z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