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4e73b66716b27a951d10bf6187919d508b3f4db"/>
    <w:p>
      <w:pPr>
        <w:pStyle w:val="Heading1"/>
      </w:pPr>
      <w:r>
        <w:t xml:space="preserve">Отчетность по форме 0409302 «Сведения о привлеченных средствах»</w:t>
      </w:r>
    </w:p>
    <w:p>
      <w:pPr>
        <w:pStyle w:val="FirstParagraph"/>
      </w:pPr>
      <w:r>
        <w:t xml:space="preserve">Отчетность по форме 0409302 «Сведения о привлеченных средствах»</w:t>
      </w:r>
    </w:p>
    <w:p>
      <w:pPr>
        <w:pStyle w:val="BodyText"/>
      </w:pPr>
      <w:r>
        <w:t xml:space="preserve">Какой код ОКАТО следует указывать в отчете по форме 0409302 при привлечении средств в г. Байконуре?</w:t>
      </w:r>
    </w:p>
    <w:p>
      <w:pPr>
        <w:pStyle w:val="BodyText"/>
      </w:pPr>
      <w:r>
        <w:t xml:space="preserve">Обновлено: 26.07.2021</w:t>
      </w:r>
    </w:p>
    <w:p>
      <w:pPr>
        <w:pStyle w:val="BodyText"/>
      </w:pPr>
      <w:r>
        <w:t xml:space="preserve">В случае, если депозит привлечен в г. Байконуре (административно-территориальной единице Республики Казахстан), его следует отражать в форме 0409302 по условному коду 99999 вне зависимости от статуса резидентства клиента.</w:t>
      </w:r>
    </w:p>
    <w:p>
      <w:pPr>
        <w:pStyle w:val="BodyText"/>
      </w:pPr>
      <w:r>
        <w:t xml:space="preserve">Как правильно следует отражать привлеченные денежные средства, если клиент изначально обратился и был идентифицирован дистанционным сотрудником банка вне мест нахождения обособленных структурных подразделений банка, (удаленные рабочие места, мини офисы и т.д.)?</w:t>
      </w:r>
    </w:p>
    <w:p>
      <w:pPr>
        <w:pStyle w:val="BodyText"/>
      </w:pPr>
      <w:r>
        <w:t xml:space="preserve">Обновлено: 11.05.2021</w:t>
      </w:r>
    </w:p>
    <w:p>
      <w:pPr>
        <w:pStyle w:val="BodyText"/>
      </w:pPr>
      <w:r>
        <w:t xml:space="preserve">В случае, если клиент изначально обратился и был идентифицирован в удаленной точке внутреннего структурного подразделения кредитной организации, то привлеченные денежные средства данного клиента следует отразить в форме 0409302 по коду ОКАТО точки обслуживания, который определяется по дополнительному адресу нахождения обособленного структурного подразделения банка.</w:t>
      </w:r>
    </w:p>
    <w:p>
      <w:pPr>
        <w:pStyle w:val="BodyText"/>
      </w:pPr>
      <w:r>
        <w:t xml:space="preserve">Как правильно определить «место привлечения денежных средств» и соответственно показать код ОКАТО в отчетности, если клиенты первоначально обращаются к банковскому платежному агенту, с которым кредитной организацией заключен договор и аккредитованному в соответствии с Федеральным законом от 6 апреля 2011 года № 63-ФЗ «Об электронной подписи», а не во внутреннее структурное подразделение отчитывающейся кредитной организации?</w:t>
      </w:r>
    </w:p>
    <w:p>
      <w:pPr>
        <w:pStyle w:val="BodyText"/>
      </w:pPr>
      <w:r>
        <w:t xml:space="preserve">Обновлено: 11.05.2021</w:t>
      </w:r>
    </w:p>
    <w:p>
      <w:pPr>
        <w:pStyle w:val="BodyText"/>
      </w:pPr>
      <w:r>
        <w:t xml:space="preserve">В случае, если клиент изначально обратился к банковскому платежному агенту, аккредитованному в соответствии с Федеральным законом от 06.04.2011 № 63-ФЗ «Об электронной подписи», на основании которого последнему будет поручено проведение идентификации клиентов — физических лиц (в соответствии с Федеральным законом от 07.08.2001 № 115- ФЗ «О противодействии легализации (отмыванию) доходов, полученных преступным путем, и финансированию терроризма»), а не во внутреннее структурное подразделение кредитной организации, то привлеченные денежные средства данного клиента следует отразить в форме 0409302 по ОКАТО места нахождения платежного агента, осуществившего идентификацию клиента.</w:t>
      </w:r>
    </w:p>
    <w:p>
      <w:pPr>
        <w:pStyle w:val="BodyText"/>
      </w:pPr>
      <w:r>
        <w:t xml:space="preserve">Следует ли включать в Отчет операции по привлечению средств клиентов, отражающие обеспечительный взнос по договору аренды?</w:t>
      </w:r>
    </w:p>
    <w:p>
      <w:pPr>
        <w:pStyle w:val="BodyText"/>
      </w:pPr>
      <w:r>
        <w:t xml:space="preserve">Обновлено: 08.02.2021</w:t>
      </w:r>
    </w:p>
    <w:p>
      <w:pPr>
        <w:pStyle w:val="BodyText"/>
      </w:pPr>
      <w:r>
        <w:t xml:space="preserve">Нет, не следует.</w:t>
      </w:r>
    </w:p>
    <w:p>
      <w:pPr>
        <w:pStyle w:val="BodyText"/>
      </w:pPr>
      <w:r>
        <w:t xml:space="preserve">По какому коду ОКАТО следует указывать информацию о новом интернет-вкладе клиента, первичная идентификация которого проводилась в закрытом на отчетную дату внутреннем структурном подразделении (ВСП) банка, а обслуживание остатков ранее открытых вкладов перенесено в другое ВСП?</w:t>
      </w:r>
    </w:p>
    <w:p>
      <w:pPr>
        <w:pStyle w:val="BodyText"/>
      </w:pPr>
      <w:r>
        <w:t xml:space="preserve">Обновлено: 08.02.2021</w:t>
      </w:r>
    </w:p>
    <w:p>
      <w:pPr>
        <w:pStyle w:val="BodyText"/>
      </w:pPr>
      <w:r>
        <w:t xml:space="preserve">Следует указывать ОКАТО филиала или внутреннего структурного подразделения банка, в которое перенесено обслуживание ранее открытых счетов, вкладов и документов по идентификации клиента. Одновременно следует учитывать, что ранее открытые вклады продолжают отражаться по первоначальному коду ОКАТО (без изменения кода территории) вплоть до момента закрытия договора.</w:t>
      </w:r>
    </w:p>
    <w:p>
      <w:pPr>
        <w:pStyle w:val="BodyText"/>
      </w:pPr>
      <w:r>
        <w:t xml:space="preserve">Следует ли отражать информацию о привлеченных средствах зарегистрированного в соответствии с законодательством Российской Федерации индивидуального предпринимателя, являющегося иностранным гражданином?</w:t>
      </w:r>
    </w:p>
    <w:p>
      <w:pPr>
        <w:pStyle w:val="BodyText"/>
      </w:pPr>
      <w:r>
        <w:t xml:space="preserve">Обновлено: 17.04.2020</w:t>
      </w:r>
    </w:p>
    <w:p>
      <w:pPr>
        <w:pStyle w:val="BodyText"/>
      </w:pPr>
      <w:r>
        <w:t xml:space="preserve">В случае, если гражданин иностранного государства зарегистрирован в соответствии с требованиями законодательства Российской Федерации как индивидуальный предприниматель, то в целях валютного контроля указанный субъект предпринимательской деятельности будет считаться резидентом, в связи с чем следует отражать соответствующую информацию в составе средств индивидуальных предпринимателей-резидентов.</w:t>
      </w:r>
    </w:p>
    <w:p>
      <w:pPr>
        <w:pStyle w:val="BodyText"/>
      </w:pPr>
      <w:r>
        <w:t xml:space="preserve">Следует ли уточнять код ОКАТО места привлечения при переносе обслуживания остатков, в том числе в случае закрытия внутреннего структурного подразделения (ВСП) Банка?</w:t>
      </w:r>
    </w:p>
    <w:p>
      <w:pPr>
        <w:pStyle w:val="BodyText"/>
      </w:pPr>
      <w:r>
        <w:t xml:space="preserve">Обновлено: 17.04.2020</w:t>
      </w:r>
    </w:p>
    <w:p>
      <w:pPr>
        <w:pStyle w:val="BodyText"/>
      </w:pPr>
      <w:r>
        <w:t xml:space="preserve">В соответствии с Порядком составления и представления отчетности по форме 0409302 данные Отчета формируются в разрезе объектов административно-территориального деления по кодам ОКАТО путем группировки средств по месту их привлечения, в связи с чем код ОКАТО при переносе обслуживания остатков не подлежит корректировке. Данный подход распространяется на все строки Отчета (не только депозиты клиентов).</w:t>
      </w:r>
    </w:p>
    <w:p>
      <w:pPr>
        <w:pStyle w:val="BodyText"/>
      </w:pPr>
      <w:r>
        <w:t xml:space="preserve">Следует ли включать в Отчет информацию о привлечении средств от кредитных организаций?</w:t>
      </w:r>
    </w:p>
    <w:p>
      <w:pPr>
        <w:pStyle w:val="BodyText"/>
      </w:pPr>
      <w:r>
        <w:t xml:space="preserve">Обновлено: 17.04.2020</w:t>
      </w:r>
    </w:p>
    <w:p>
      <w:pPr>
        <w:pStyle w:val="BodyText"/>
      </w:pPr>
      <w:r>
        <w:t xml:space="preserve">Не следует. Все строки формы должны содержать сведения о средствах клиентов (резидентов и нерезидентов), не являющихся кредитными организациями.</w:t>
      </w:r>
    </w:p>
    <w:p>
      <w:pPr>
        <w:pStyle w:val="BodyText"/>
      </w:pPr>
      <w:r>
        <w:t xml:space="preserve">В каких единицах и какой разрядности следует указывать остатки по форме 0409302?</w:t>
      </w:r>
    </w:p>
    <w:p>
      <w:pPr>
        <w:pStyle w:val="BodyText"/>
      </w:pPr>
      <w:r>
        <w:t xml:space="preserve">Обновлено: 17.04.2020</w:t>
      </w:r>
    </w:p>
    <w:p>
      <w:pPr>
        <w:pStyle w:val="BodyText"/>
      </w:pPr>
      <w:r>
        <w:t xml:space="preserve">С отчетной даты 01.02.2019 данные следует указывать в единицах валюты с точностью до двух знаков после запятой. Пересчет в рублевый эквивалент не осуществляется.</w:t>
      </w:r>
    </w:p>
    <w:p>
      <w:pPr>
        <w:pStyle w:val="BodyText"/>
      </w:pPr>
      <w:r>
        <w:t xml:space="preserve">На сайте Банка России используются файлы cookie</w:t>
      </w:r>
    </w:p>
    <w:p>
      <w:pPr>
        <w:pStyle w:val="BodyText"/>
      </w:pPr>
      <w:r>
        <w:t xml:space="preserve">Оставаясь на www.cbr.ru , вы принимаете пользовательское соглашение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2026-09-27T11:01:31Z</dcterms:created>
  <dcterms:modified xsi:type="dcterms:W3CDTF">2026-09-27T11:01:31Z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