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1c0fb70961111f41578fea43eaedee480d76f3"/>
    <w:p>
      <w:pPr>
        <w:pStyle w:val="Heading1"/>
      </w:pPr>
      <w:r>
        <w:t xml:space="preserve">Отчетность по форме 0409310 «Сведения о предметах залога, принятых кредитными организациями в качестве обеспечения по ссудам»</w:t>
      </w:r>
    </w:p>
    <w:p>
      <w:pPr>
        <w:pStyle w:val="FirstParagraph"/>
      </w:pPr>
      <w:r>
        <w:t xml:space="preserve">Отчетность по форме 0409310 «Сведения о предметах залога, принятых кредитными организациями в качестве обеспечения по ссудам»</w:t>
      </w:r>
    </w:p>
    <w:p>
      <w:pPr>
        <w:pStyle w:val="BodyText"/>
      </w:pPr>
      <w:r>
        <w:t xml:space="preserve">Общие вопросы (технического характера)</w:t>
      </w:r>
    </w:p>
    <w:p>
      <w:pPr>
        <w:pStyle w:val="BodyText"/>
      </w:pPr>
      <w:r>
        <w:t xml:space="preserve">Где можно получить перечень и описание алгоритмов проверок качества данных формы отчетности?</w:t>
      </w:r>
    </w:p>
    <w:p>
      <w:pPr>
        <w:pStyle w:val="BodyText"/>
      </w:pPr>
      <w:r>
        <w:t xml:space="preserve">Обновлено: 08.02.2024</w:t>
      </w:r>
    </w:p>
    <w:p>
      <w:pPr>
        <w:pStyle w:val="BodyText"/>
      </w:pPr>
      <w:r>
        <w:t xml:space="preserve">На официальном сайте Банка России в разделе «Информация для отчитывающихся организаций» .</w:t>
      </w:r>
    </w:p>
    <w:p>
      <w:pPr>
        <w:pStyle w:val="BodyText"/>
      </w:pPr>
      <w:r>
        <w:t xml:space="preserve">Где размещается xsd-схема для формирования регламентного отчета по форме 0409310?</w:t>
      </w:r>
    </w:p>
    <w:p>
      <w:pPr>
        <w:pStyle w:val="BodyText"/>
      </w:pPr>
      <w:r>
        <w:t xml:space="preserve">Обновлено: 08.02.2024</w:t>
      </w:r>
    </w:p>
    <w:p>
      <w:pPr>
        <w:pStyle w:val="BodyText"/>
      </w:pPr>
      <w:r>
        <w:t xml:space="preserve">На официальном сайте Банка России в разделе «Технические ресурсы» .</w:t>
      </w:r>
    </w:p>
    <w:p>
      <w:pPr>
        <w:pStyle w:val="BodyText"/>
      </w:pPr>
      <w:r>
        <w:t xml:space="preserve">Общие вопросы (применительно к субъектам)</w:t>
      </w:r>
    </w:p>
    <w:p>
      <w:pPr>
        <w:pStyle w:val="BodyText"/>
      </w:pPr>
      <w:r>
        <w:t xml:space="preserve">Правильно ли мы понимаем, что в случае, если по двум разным договорам залога лицо, являющееся залогодателем, выступает по одному договору залога физическим лицом, а по второму договору залога — индивидуальным предпринимателем без образования юридического лица, то значение графы «Идентификационный код субъекта» будет различным для каждого из договоров залога, значение графы «Тип физлица» будет:</w:t>
      </w:r>
    </w:p>
    <w:p>
      <w:pPr>
        <w:pStyle w:val="BodyText"/>
      </w:pPr>
      <w:r>
        <w:t xml:space="preserve">в первом случае 1 — физическое лицо,</w:t>
      </w:r>
    </w:p>
    <w:p>
      <w:pPr>
        <w:pStyle w:val="BodyText"/>
      </w:pPr>
      <w:r>
        <w:t xml:space="preserve">во втором случае 2 — индивидуальный предприниматель.</w:t>
      </w:r>
    </w:p>
    <w:p>
      <w:pPr>
        <w:pStyle w:val="BodyText"/>
      </w:pPr>
      <w:r>
        <w:t xml:space="preserve">Обновлено: 01.10.2020</w:t>
      </w:r>
    </w:p>
    <w:p>
      <w:pPr>
        <w:pStyle w:val="BodyText"/>
      </w:pPr>
      <w:r>
        <w:t xml:space="preserve">Да, правильно.</w:t>
      </w:r>
    </w:p>
    <w:p>
      <w:pPr>
        <w:pStyle w:val="BodyText"/>
      </w:pPr>
      <w:r>
        <w:t xml:space="preserve">Физическому лицу и индивидуальному предпринимателю (например, Иванов Иван Иванович и ИП Иванов И.И.) должны быть присвоены разные идентификационные коды.</w:t>
      </w:r>
    </w:p>
    <w:p>
      <w:pPr>
        <w:pStyle w:val="BodyText"/>
      </w:pPr>
      <w:r>
        <w:t xml:space="preserve">Определение вида субъекта (физическое лицо либо индивидуальный предприниматель) осуществляется на основании сведений, указанных в договоре залога.</w:t>
      </w:r>
    </w:p>
    <w:p>
      <w:pPr>
        <w:pStyle w:val="BodyText"/>
      </w:pPr>
      <w:r>
        <w:t xml:space="preserve">Общие вопросы (прочие)</w:t>
      </w:r>
    </w:p>
    <w:p>
      <w:pPr>
        <w:pStyle w:val="BodyText"/>
      </w:pPr>
      <w:r>
        <w:t xml:space="preserve">В форму отчетности 0409310 не требуется выгружать данные по обеспечению в виде гарантийных депозитов?</w:t>
      </w:r>
    </w:p>
    <w:p>
      <w:pPr>
        <w:pStyle w:val="BodyText"/>
      </w:pPr>
      <w:r>
        <w:t xml:space="preserve">Обновлено: 16.08.2021</w:t>
      </w:r>
    </w:p>
    <w:p>
      <w:pPr>
        <w:pStyle w:val="BodyText"/>
      </w:pPr>
      <w:r>
        <w:t xml:space="preserve">Верно.</w:t>
      </w:r>
    </w:p>
    <w:p>
      <w:pPr>
        <w:pStyle w:val="BodyText"/>
      </w:pPr>
      <w:r>
        <w:t xml:space="preserve">В Отчет подлежат включению сведения о предметах залога, принятых кредитными организациями в качестве обеспечения по ссудам (о недвижимых и движимых и вещах, имущественных правах).</w:t>
      </w:r>
    </w:p>
    <w:p>
      <w:pPr>
        <w:pStyle w:val="BodyText"/>
      </w:pPr>
      <w:r>
        <w:t xml:space="preserve">Сведения об обеспечении, отличном от залога (в том числе о гарантийных депозитах), не подлежат включению в Отчет.</w:t>
      </w:r>
    </w:p>
    <w:p>
      <w:pPr>
        <w:pStyle w:val="BodyText"/>
      </w:pPr>
      <w:r>
        <w:t xml:space="preserve">Какие события могут привести к необходимости заполнения раздела 6 формы 0409310 (примеры ситуаций, следствием которых может явиться изменение идентификационного кода предмета залога или идентификационного кода субъекта или договора залога)?</w:t>
      </w:r>
    </w:p>
    <w:p>
      <w:pPr>
        <w:pStyle w:val="BodyText"/>
      </w:pPr>
      <w:r>
        <w:t xml:space="preserve">Обновлено: 29.01.2021</w:t>
      </w:r>
    </w:p>
    <w:p>
      <w:pPr>
        <w:pStyle w:val="BodyText"/>
      </w:pPr>
      <w:r>
        <w:t xml:space="preserve">Причиной изменения идентификационных кодов может быть выявление кредитной организацией операционной ошибки. Также идентификационные коды могут быть изменены новым поставщиком программного обеспечения в случае его смены кредитной организацией.</w:t>
      </w:r>
    </w:p>
    <w:p>
      <w:pPr>
        <w:pStyle w:val="BodyText"/>
      </w:pPr>
      <w:r>
        <w:t xml:space="preserve">Обращаем внимание, что идентификационные коды не должны изменяться при отсутствии объективных причин.</w:t>
      </w:r>
    </w:p>
    <w:p>
      <w:pPr>
        <w:pStyle w:val="BodyText"/>
      </w:pPr>
      <w:r>
        <w:t xml:space="preserve">Правильно ли мы понимаем, что в отчетную форму не нужно включать информацию о договорах залога, которые были заключены и прекращены в течение одного месяца (отчетного месяца)?</w:t>
      </w:r>
    </w:p>
    <w:p>
      <w:pPr>
        <w:pStyle w:val="BodyText"/>
      </w:pPr>
      <w:r>
        <w:t xml:space="preserve">Обновлено: 26.11.2020</w:t>
      </w:r>
    </w:p>
    <w:p>
      <w:pPr>
        <w:pStyle w:val="BodyText"/>
      </w:pPr>
      <w:r>
        <w:t xml:space="preserve">Да, правильно.</w:t>
      </w:r>
    </w:p>
    <w:p>
      <w:pPr>
        <w:pStyle w:val="BodyText"/>
      </w:pPr>
      <w:r>
        <w:t xml:space="preserve">Допустимо ли самостоятельно искать какую-либо информацию для подготовки данной отчетной формы или все должно быть получено от клиента и заверено им?</w:t>
      </w:r>
    </w:p>
    <w:p>
      <w:pPr>
        <w:pStyle w:val="BodyText"/>
      </w:pPr>
      <w:r>
        <w:t xml:space="preserve">Обновлено: 26.11.2020</w:t>
      </w:r>
    </w:p>
    <w:p>
      <w:pPr>
        <w:pStyle w:val="BodyText"/>
      </w:pPr>
      <w:r>
        <w:t xml:space="preserve">Допустимо.</w:t>
      </w:r>
    </w:p>
    <w:p>
      <w:pPr>
        <w:pStyle w:val="BodyText"/>
      </w:pPr>
      <w:r>
        <w:t xml:space="preserve">Для составления Отчета кредитная организация вправе использовать сведения, публикуемые на официальных сайтах организаций в сети «Интернет», либо информацию их общепризнанных источников (например, сведения, содержащиеся в выписках из Единого государственного реестра недвижимости, Единого государственного реестра прав на воздушные суда и сделок с ними).</w:t>
      </w:r>
    </w:p>
    <w:p>
      <w:pPr>
        <w:pStyle w:val="BodyText"/>
      </w:pPr>
      <w:r>
        <w:t xml:space="preserve">Правильно ли мы понимаем, что информацию по договорам залога, заключенным до 1 июля 2021 года, при заключении дополнительных соглашений к договорам залога после 1 июля 2021 года (при условии, что речь не идет о реструктуризации), необходимо отражать в отчетности начиная с 1 июля 2025 года?</w:t>
      </w:r>
    </w:p>
    <w:p>
      <w:pPr>
        <w:pStyle w:val="BodyText"/>
      </w:pPr>
      <w:r>
        <w:t xml:space="preserve">Обновлено: 01.10.2020</w:t>
      </w:r>
    </w:p>
    <w:p>
      <w:pPr>
        <w:pStyle w:val="BodyText"/>
      </w:pPr>
      <w:r>
        <w:t xml:space="preserve">Да, правильно.</w:t>
      </w:r>
    </w:p>
    <w:p>
      <w:pPr>
        <w:pStyle w:val="BodyText"/>
      </w:pPr>
      <w:r>
        <w:t xml:space="preserve">Дополнительно отмечаем, что представление информации по таким договорам залога ранее 1 июля 2025 года не запрещено.</w:t>
      </w:r>
    </w:p>
    <w:p>
      <w:pPr>
        <w:pStyle w:val="BodyText"/>
      </w:pPr>
      <w:r>
        <w:t xml:space="preserve">Просим конкретизировать порядок заполнения информации о кредитных договорах, в отношении которых оформлен один договор обеспечения для нескольких кредитных договоров. В частности, необходимо ли в отчетности отражать связь договора залога со всеми кредитными договорами, если один из них погашен в отчетном периоде?</w:t>
      </w:r>
    </w:p>
    <w:p>
      <w:pPr>
        <w:pStyle w:val="BodyText"/>
      </w:pPr>
      <w:r>
        <w:t xml:space="preserve">Обновлено: 01.10.2020</w:t>
      </w:r>
    </w:p>
    <w:p>
      <w:pPr>
        <w:pStyle w:val="BodyText"/>
      </w:pPr>
      <w:r>
        <w:t xml:space="preserve">В подразделе 1.1 Отчета необходимо отразить связь договора залога со всеми действующими на отчетную дату договорами о предоставлении ссуды, исполнение обязательств по которым обеспечено данным залогом.</w:t>
      </w:r>
    </w:p>
    <w:p>
      <w:pPr>
        <w:pStyle w:val="BodyText"/>
      </w:pPr>
      <w:r>
        <w:t xml:space="preserve">Если один из кредитных договоров не является действующим на отчетную дату (например, заемщиком в отчетном месяце исполнены обязательства по кредитному договору), сведения о таком договоре в отчетности по форме 0409310 не указываются, связь с указанным кредитным договором исключается.</w:t>
      </w:r>
    </w:p>
    <w:p>
      <w:pPr>
        <w:pStyle w:val="BodyText"/>
      </w:pPr>
      <w:r>
        <w:t xml:space="preserve">Согласно Порядку, информация о стоимости представляется в разделе 2 в разрезе переданных в залог объектов и групп переданных в залог объектов.</w:t>
      </w:r>
    </w:p>
    <w:p>
      <w:pPr>
        <w:pStyle w:val="BodyText"/>
      </w:pPr>
      <w:r>
        <w:t xml:space="preserve">В случае, если стоимость определена в целом для группы переданных в залог объектов, которым присвоено более одного идентификационного кода предмета залога, в графе 2 раздела 2 и в графе 5 подраздела 4.1 формы 0409310 также указывается идентификационный код группы.</w:t>
      </w:r>
    </w:p>
    <w:p>
      <w:pPr>
        <w:pStyle w:val="BodyText"/>
      </w:pPr>
      <w:r>
        <w:t xml:space="preserve">Каким образом корректно отразить в Отчете данные о стоимости группы объектов?</w:t>
      </w:r>
    </w:p>
    <w:p>
      <w:pPr>
        <w:pStyle w:val="BodyText"/>
      </w:pPr>
      <w:r>
        <w:t xml:space="preserve">Обновлено: 02.02.2026</w:t>
      </w:r>
    </w:p>
    <w:p>
      <w:pPr>
        <w:pStyle w:val="BodyText"/>
      </w:pPr>
      <w:r>
        <w:t xml:space="preserve">В большей части разделов и подразделов Отчета требуется представление сведений о заложенном имуществе в разрезе объектов.</w:t>
      </w:r>
    </w:p>
    <w:p>
      <w:pPr>
        <w:pStyle w:val="BodyText"/>
      </w:pPr>
      <w:r>
        <w:t xml:space="preserve">Вместе с тем стоимость может быть определена в целом для нескольких объектов (группы объектов), например, для складского комплекса, представляющего собой несколько зданий на земельном участке.</w:t>
      </w:r>
    </w:p>
    <w:p>
      <w:pPr>
        <w:pStyle w:val="BodyText"/>
      </w:pPr>
      <w:r>
        <w:t xml:space="preserve">В рассматриваемом случае в разделе 2 Отчета:</w:t>
      </w:r>
    </w:p>
    <w:p>
      <w:pPr>
        <w:pStyle w:val="BodyText"/>
      </w:pPr>
      <w:r>
        <w:t xml:space="preserve">группе объектов присваивается идентификационный код группы, который указывается в графе 2; графа 1 не заполняется;</w:t>
      </w:r>
    </w:p>
    <w:p>
      <w:pPr>
        <w:pStyle w:val="BodyText"/>
      </w:pPr>
      <w:r>
        <w:t xml:space="preserve">стоимость указывается для группы объектов в целом.</w:t>
      </w:r>
    </w:p>
    <w:p>
      <w:pPr>
        <w:pStyle w:val="BodyText"/>
      </w:pPr>
      <w:r>
        <w:t xml:space="preserve">При этом для объектов, составляющих группу:</w:t>
      </w:r>
    </w:p>
    <w:p>
      <w:pPr>
        <w:pStyle w:val="BodyText"/>
      </w:pPr>
      <w:r>
        <w:t xml:space="preserve">в графе 1 подраздела 4.1 Отчета («Идентификационный код предмета залога») указываются разные значения, а в графе 5 («Идентификационный код группы») – одинаковые;</w:t>
      </w:r>
    </w:p>
    <w:p>
      <w:pPr>
        <w:pStyle w:val="BodyText"/>
      </w:pPr>
      <w:r>
        <w:t xml:space="preserve">сведения указываются в подразделах 4.2–4.22 Отчета соответственно.</w:t>
      </w:r>
    </w:p>
    <w:p>
      <w:pPr>
        <w:pStyle w:val="BodyText"/>
      </w:pPr>
      <w:r>
        <w:t xml:space="preserve">Если вид стоимости различается (например, для группы в целом определена рыночная стоимость, а для каждого из отдельных объектов – кадастровая), в разделе 2 Отчета указывается стоимость группы и стоимости отдельных объектов.</w:t>
      </w:r>
    </w:p>
    <w:p>
      <w:pPr>
        <w:pStyle w:val="BodyText"/>
      </w:pPr>
      <w:r>
        <w:t xml:space="preserve">Раздел 2</w:t>
      </w:r>
    </w:p>
    <w:p>
      <w:pPr>
        <w:pStyle w:val="BodyText"/>
      </w:pPr>
      <w:r>
        <w:t xml:space="preserve">Как включаются объекты залога в группу раздела 2? Правильно ли банки понимают, что, если у каждого предмета залога в рамках договора залога есть своя стоимость, то включать его в группу не нужно?</w:t>
      </w:r>
    </w:p>
    <w:p>
      <w:pPr>
        <w:pStyle w:val="BodyText"/>
      </w:pPr>
      <w:r>
        <w:t xml:space="preserve">Обновлено: 26.11.2020</w:t>
      </w:r>
    </w:p>
    <w:p>
      <w:pPr>
        <w:pStyle w:val="BodyText"/>
      </w:pPr>
      <w:r>
        <w:t xml:space="preserve">Верно.</w:t>
      </w:r>
    </w:p>
    <w:p>
      <w:pPr>
        <w:pStyle w:val="BodyText"/>
      </w:pPr>
      <w:r>
        <w:t xml:space="preserve">Включение нескольких предметов залога в группу предполагается только в случае, когда стоимость определена в целом для группы переданных в залог объектов (например, в кредитную организацию представлен отчет об оценке, в котором оценщиком определена только общая стоимость объекта оценки, представляющего собой комплекс объектов недвижимости).</w:t>
      </w:r>
    </w:p>
    <w:p>
      <w:pPr>
        <w:pStyle w:val="BodyText"/>
      </w:pPr>
      <w:r>
        <w:t xml:space="preserve">Если для нескольких объектов (которым присвоены идентификационные коды предмета залога) стоимость определена отдельно, в разделе 2 Отчета указывается стоимость каждого объекта.</w:t>
      </w:r>
    </w:p>
    <w:p>
      <w:pPr>
        <w:pStyle w:val="BodyText"/>
      </w:pPr>
      <w:r>
        <w:t xml:space="preserve">Раздел 3</w:t>
      </w:r>
    </w:p>
    <w:p>
      <w:pPr>
        <w:pStyle w:val="BodyText"/>
      </w:pPr>
      <w:r>
        <w:t xml:space="preserve">Необходимо ли передавать информацию для ТМЦ по адресу хранения или по коду ФИАС?</w:t>
      </w:r>
    </w:p>
    <w:p>
      <w:pPr>
        <w:pStyle w:val="BodyText"/>
      </w:pPr>
      <w:r>
        <w:t xml:space="preserve">Обновлено: 02.02.2026</w:t>
      </w:r>
    </w:p>
    <w:p>
      <w:pPr>
        <w:pStyle w:val="BodyText"/>
      </w:pPr>
      <w:r>
        <w:t xml:space="preserve">В составе раздела 3 Отчета отражается информация об адресах в пределах места нахождения вещей, переданных в залог, указанных в подразделах:</w:t>
      </w:r>
    </w:p>
    <w:p>
      <w:pPr>
        <w:pStyle w:val="BodyText"/>
      </w:pPr>
      <w:r>
        <w:t xml:space="preserve">4.2 (объекты недвижимости) и</w:t>
      </w:r>
    </w:p>
    <w:p>
      <w:pPr>
        <w:pStyle w:val="BodyText"/>
      </w:pPr>
      <w:r>
        <w:t xml:space="preserve">4.4 (машины (несамоходные) и оборудование).</w:t>
      </w:r>
    </w:p>
    <w:p>
      <w:pPr>
        <w:pStyle w:val="BodyText"/>
      </w:pPr>
      <w:r>
        <w:t xml:space="preserve">Достаточно ли заполнить графу 11 при отсутствии сведений для раздельного заполнения граф 4–10?</w:t>
      </w:r>
    </w:p>
    <w:p>
      <w:pPr>
        <w:pStyle w:val="BodyText"/>
      </w:pPr>
      <w:r>
        <w:t xml:space="preserve">Обновлено: 02.02.2026</w:t>
      </w:r>
    </w:p>
    <w:p>
      <w:pPr>
        <w:pStyle w:val="BodyText"/>
      </w:pPr>
      <w:r>
        <w:t xml:space="preserve">Да, достаточно. Например, если в залоге у кредитной организации находится объект недвижимости, расположенный за пределами Российской Федерации, в разделе 3 Отчета:</w:t>
      </w:r>
    </w:p>
    <w:p>
      <w:pPr>
        <w:pStyle w:val="BodyText"/>
      </w:pPr>
      <w:r>
        <w:t xml:space="preserve">должны быть заполнены графы 1, 2 (в которой указывается код, отличный от кода 643) и 11;</w:t>
      </w:r>
    </w:p>
    <w:p>
      <w:pPr>
        <w:pStyle w:val="BodyText"/>
      </w:pPr>
      <w:r>
        <w:t xml:space="preserve">не заполняются графы 3-10.</w:t>
      </w:r>
    </w:p>
    <w:p>
      <w:pPr>
        <w:pStyle w:val="BodyText"/>
      </w:pPr>
      <w:r>
        <w:t xml:space="preserve">Дополнительно обращаем внимание на следующее.</w:t>
      </w:r>
    </w:p>
    <w:p>
      <w:pPr>
        <w:pStyle w:val="BodyText"/>
      </w:pPr>
      <w:r>
        <w:t xml:space="preserve">В графе 3 раздела 3 указывается уникальный номер адреса объекта адресации в государственном адресном реестре федеральной информационной адресной системы длиной 36 символов (далее – код ФИАС), при этом графы 4-11 не заполняются.</w:t>
      </w:r>
    </w:p>
    <w:p>
      <w:pPr>
        <w:pStyle w:val="BodyText"/>
      </w:pPr>
      <w:r>
        <w:t xml:space="preserve">При отсутствии кода ФИАС (до требуемого уровня) следует заполнить графы 4-11 раздела 3. При этом графы 4-10 раздела 3 должны быть заполнены, если адрес (адрес места нахождения) предмета залога предусматривает наличие требуемых сведений. Например, при указании информации об адресе здания или земельного участка не может быть заполнена графа 10 «Номер квартиры (офиса, помещения, комнаты правления)», поскольку данная графа заполняется для помещений, т.е. в данном случае сведения для заполнения графы 10 раздела 3 отсутствуют.</w:t>
      </w:r>
    </w:p>
    <w:p>
      <w:pPr>
        <w:pStyle w:val="BodyText"/>
      </w:pPr>
      <w:r>
        <w:t xml:space="preserve">Подраздел 4.1</w:t>
      </w:r>
    </w:p>
    <w:p>
      <w:pPr>
        <w:pStyle w:val="BodyText"/>
      </w:pPr>
      <w:r>
        <w:t xml:space="preserve">Если договор залога предусматривает залог всего движимого имущества залогодателя в любое время, в том числе в будущем, являющегося хозяйственной совокупностью с изменяющимся составом для определенного вида деятельности, ограниченного конкретной территорией, необходимо отражать в Форме 0409310 аналогично залогу всего имущества залогодателя (подраздел 4.1, графа 3, код 21), при этом разделы 2, 3 и подразделы 4.2 – 4.22 Формы отчетности не заполняются?</w:t>
      </w:r>
    </w:p>
    <w:p>
      <w:pPr>
        <w:pStyle w:val="BodyText"/>
      </w:pPr>
      <w:r>
        <w:t xml:space="preserve">Обновлено: 31.01.2025</w:t>
      </w:r>
    </w:p>
    <w:p>
      <w:pPr>
        <w:pStyle w:val="BodyText"/>
      </w:pPr>
      <w:r>
        <w:t xml:space="preserve">Верно.</w:t>
      </w:r>
    </w:p>
    <w:p>
      <w:pPr>
        <w:pStyle w:val="BodyText"/>
      </w:pPr>
      <w:r>
        <w:t xml:space="preserve">Просьба пояснить, существуют ли требования к параметрам, которые вы предъявляете к «бланковым» залогам?</w:t>
      </w:r>
    </w:p>
    <w:p>
      <w:pPr>
        <w:pStyle w:val="BodyText"/>
      </w:pPr>
      <w:r>
        <w:t xml:space="preserve">Обновлено: 08.02.2024</w:t>
      </w:r>
    </w:p>
    <w:p>
      <w:pPr>
        <w:pStyle w:val="BodyText"/>
      </w:pPr>
      <w:r>
        <w:t xml:space="preserve">Согласно Порядку, обеспечение относится к «бланковому залогу» в случае, если оно не учитывается кредитной организацией при формировании резерва на возможные потери по ссудам в соответствии:</w:t>
      </w:r>
    </w:p>
    <w:p>
      <w:pPr>
        <w:pStyle w:val="BodyText"/>
      </w:pPr>
      <w:r>
        <w:t xml:space="preserve">с Положением Банка России № 590-П;</w:t>
      </w:r>
    </w:p>
    <w:p>
      <w:pPr>
        <w:pStyle w:val="BodyText"/>
      </w:pPr>
      <w:r>
        <w:t xml:space="preserve">с внутренними моделями кредитной организации.</w:t>
      </w:r>
    </w:p>
    <w:p>
      <w:pPr>
        <w:pStyle w:val="BodyText"/>
      </w:pPr>
      <w:r>
        <w:t xml:space="preserve">Иные критерии отнесения обеспечения к «бланковому залогу» не предусмотрены.</w:t>
      </w:r>
    </w:p>
    <w:p>
      <w:pPr>
        <w:pStyle w:val="BodyText"/>
      </w:pPr>
      <w:r>
        <w:t xml:space="preserve">При указании признака обеспечения следует руководствоваться следующим комментарием: «В целях настоящего Отчета обеспечение относится к „бланковому залогу“, в случае если оно не учитывается кредитной организацией при формировании резерва на возможные потери по ссудам в соответствии с Положением № 590-П и внутренними моделями кредитной организации». Просьба разъяснить, что подразумевается под «внутренними моделями кредитной организации».</w:t>
      </w:r>
    </w:p>
    <w:p>
      <w:pPr>
        <w:pStyle w:val="BodyText"/>
      </w:pPr>
      <w:r>
        <w:t xml:space="preserve">Обновлено: 01.10.2020</w:t>
      </w:r>
    </w:p>
    <w:p>
      <w:pPr>
        <w:pStyle w:val="BodyText"/>
      </w:pPr>
      <w:r>
        <w:t xml:space="preserve">Это любые внутренние модели кредитной организации (в частности, модели оценки рисков), в соответствии с которыми залог учитывается при расчете показателей (например, степени обеспеченности).</w:t>
      </w:r>
    </w:p>
    <w:p>
      <w:pPr>
        <w:pStyle w:val="BodyText"/>
      </w:pPr>
      <w:r>
        <w:t xml:space="preserve">Графа 3 «Заложенное имущество» подраздела 4.1. формы 0409310 содержит код 21 «Все имущество либо определенная часть имущества залогодателя».</w:t>
      </w:r>
    </w:p>
    <w:p>
      <w:pPr>
        <w:pStyle w:val="BodyText"/>
      </w:pPr>
      <w:r>
        <w:t xml:space="preserve">Просим уточнить, что понимается под определением (видом заложенного имущества) «все имущество залогодателя».</w:t>
      </w:r>
    </w:p>
    <w:p>
      <w:pPr>
        <w:pStyle w:val="BodyText"/>
      </w:pPr>
      <w:r>
        <w:t xml:space="preserve">Обновлено: 31.01.2025</w:t>
      </w:r>
    </w:p>
    <w:p>
      <w:pPr>
        <w:pStyle w:val="BodyText"/>
      </w:pPr>
      <w:r>
        <w:t xml:space="preserve">В соответствии со статьей 339 Гражданского кодекса Российской Федерации в договоре залога, залогодателем по которому является лицо, осуществляющее предпринимательскую деятельность, предмет залога может быть описан любым способом, позволяющим идентифицировать имущество в качестве предмета залога на момент обращения взыскания, в том числе путем указания на залог всего имущества залогодателя или определенной части его имущества.</w:t>
      </w:r>
    </w:p>
    <w:p>
      <w:pPr>
        <w:pStyle w:val="BodyText"/>
      </w:pPr>
      <w:r>
        <w:t xml:space="preserve">В данном случае в графе 3 подраздела 4.1 указывается код 21 «Все имущество либо определенная часть имущества залогодателя», а разделы 2, 3 и подразделы 4.2–4.22 Отчета в отношении такого предмета залога не заполняются.</w:t>
      </w:r>
    </w:p>
    <w:p>
      <w:pPr>
        <w:pStyle w:val="BodyText"/>
      </w:pPr>
      <w:r>
        <w:t xml:space="preserve">Подраздел 4.2</w:t>
      </w:r>
    </w:p>
    <w:p>
      <w:pPr>
        <w:pStyle w:val="BodyText"/>
      </w:pPr>
      <w:r>
        <w:t xml:space="preserve">В залог приняты доли в праве общей долевой собственности, которые в сумме дают 100%. Корректно ли в этом случае все доли указывать как один предмета залога или каждая из переданных долей в отчете должна отражаться отдельно?</w:t>
      </w:r>
    </w:p>
    <w:p>
      <w:pPr>
        <w:pStyle w:val="BodyText"/>
      </w:pPr>
      <w:r>
        <w:t xml:space="preserve">Обновлено: 16.08.2021</w:t>
      </w:r>
    </w:p>
    <w:p>
      <w:pPr>
        <w:pStyle w:val="BodyText"/>
      </w:pPr>
      <w:r>
        <w:t xml:space="preserve">Каждой из переданных в залог долей в праве общей долевой собственности присваивается отдельный идентификационный код предмета залога.</w:t>
      </w:r>
    </w:p>
    <w:p>
      <w:pPr>
        <w:pStyle w:val="BodyText"/>
      </w:pPr>
      <w:r>
        <w:t xml:space="preserve">В залог передан земельный участок, в ЕГРН площадь указана как 1934 +/- 770кв. м. Как следует в таком случае заполнить графу 10 подраздела 4.2 отчета?</w:t>
      </w:r>
    </w:p>
    <w:p>
      <w:pPr>
        <w:pStyle w:val="BodyText"/>
      </w:pPr>
      <w:r>
        <w:t xml:space="preserve">Обновлено: 02.02.2026</w:t>
      </w:r>
    </w:p>
    <w:p>
      <w:pPr>
        <w:pStyle w:val="BodyText"/>
      </w:pPr>
      <w:r>
        <w:t xml:space="preserve">Если в ЕГРН содержатся сведения о площади земельного участка в м2 в формате «число X +/- число Y»:</w:t>
      </w:r>
    </w:p>
    <w:p>
      <w:pPr>
        <w:pStyle w:val="BodyText"/>
      </w:pPr>
      <w:r>
        <w:t xml:space="preserve">в графе 10 «Площадь, кв. м» подраздела 4.2 указывается площадь в м2 (без указания единиц измерения площади), т.е. число X;</w:t>
      </w:r>
    </w:p>
    <w:p>
      <w:pPr>
        <w:pStyle w:val="BodyText"/>
      </w:pPr>
      <w:r>
        <w:t xml:space="preserve">в графе 16 «Площадь в неструктурированном виде» подраздела 4.2 площадь приводится в свободной текстовой форме (с указанием единиц измерения площади), т.е. текст «X +/- Y м2».</w:t>
      </w:r>
    </w:p>
    <w:p>
      <w:pPr>
        <w:pStyle w:val="BodyText"/>
      </w:pPr>
      <w:r>
        <w:t xml:space="preserve">Если у предмета залога (объекта недвижимости) изменилось назначение (например, перевод жилого помещения в нежилое), должен ли такому предмету залога быть присвоен новый идентификационный код предмета залога?</w:t>
      </w:r>
    </w:p>
    <w:p>
      <w:pPr>
        <w:pStyle w:val="BodyText"/>
      </w:pPr>
      <w:r>
        <w:t xml:space="preserve">Обновлено: 16.08.2021</w:t>
      </w:r>
    </w:p>
    <w:p>
      <w:pPr>
        <w:pStyle w:val="BodyText"/>
      </w:pPr>
      <w:r>
        <w:t xml:space="preserve">Идентификационный код предмета залога в данном случае не изменяется.</w:t>
      </w:r>
    </w:p>
    <w:p>
      <w:pPr>
        <w:pStyle w:val="BodyText"/>
      </w:pPr>
      <w:r>
        <w:t xml:space="preserve">Вопросы по графе 5 подраздела 4.2:</w:t>
      </w:r>
    </w:p>
    <w:p>
      <w:pPr>
        <w:pStyle w:val="BodyText"/>
      </w:pPr>
      <w:r>
        <w:t xml:space="preserve">К какой категории следует отнести «таунхаус»?</w:t>
      </w:r>
    </w:p>
    <w:p>
      <w:pPr>
        <w:pStyle w:val="BodyText"/>
      </w:pPr>
      <w:r>
        <w:t xml:space="preserve">Как определить назначение объекта недвижимости (жилое здание, жилое строение либо иное назначение)?</w:t>
      </w:r>
    </w:p>
    <w:p>
      <w:pPr>
        <w:pStyle w:val="BodyText"/>
      </w:pPr>
      <w:r>
        <w:t xml:space="preserve">Обновлено: 29.01.2021</w:t>
      </w:r>
    </w:p>
    <w:p>
      <w:pPr>
        <w:pStyle w:val="BodyText"/>
      </w:pPr>
      <w:r>
        <w:t xml:space="preserve">Назначение объекта недвижимости (здания, помещения) указывается в выписке из Единого государственного реестра недвижимости.</w:t>
      </w:r>
    </w:p>
    <w:p>
      <w:pPr>
        <w:pStyle w:val="BodyText"/>
      </w:pPr>
      <w:r>
        <w:t xml:space="preserve">Вопросы по графе 7 подраздела 4.2:</w:t>
      </w:r>
    </w:p>
    <w:p>
      <w:pPr>
        <w:pStyle w:val="BodyText"/>
      </w:pPr>
      <w:r>
        <w:t xml:space="preserve">К какой группе относится двухэтажный многоквартирный дом?</w:t>
      </w:r>
    </w:p>
    <w:p>
      <w:pPr>
        <w:pStyle w:val="BodyText"/>
      </w:pPr>
      <w:r>
        <w:t xml:space="preserve">Что подразумевается под «Объектами коттеджного типа» в группе «Объекты временного проживания» (код 5)?</w:t>
      </w:r>
    </w:p>
    <w:p>
      <w:pPr>
        <w:pStyle w:val="BodyText"/>
      </w:pPr>
      <w:r>
        <w:t xml:space="preserve">Обновлено: 08.02.2024</w:t>
      </w:r>
    </w:p>
    <w:p>
      <w:pPr>
        <w:pStyle w:val="BodyText"/>
      </w:pPr>
      <w:r>
        <w:t xml:space="preserve">Классификация, предусмотренная для заполнения графы 7 подраздела 4.2 «Функциональная группа», разработана на основе группировки, содержащейся в Методических указаниях о государственной кадастровой оценке [прим. утверждены приказом Росреестра от 04.08.2021 № П/0336].</w:t>
      </w:r>
    </w:p>
    <w:p>
      <w:pPr>
        <w:pStyle w:val="BodyText"/>
      </w:pPr>
      <w:r>
        <w:t xml:space="preserve">Полагаем, что в рассматриваемом случае (двухэтажный многоквартирный дом) в графе 7 подраздела 4.2 Отчета следует указать код 1.</w:t>
      </w:r>
    </w:p>
    <w:p>
      <w:pPr>
        <w:pStyle w:val="BodyText"/>
      </w:pPr>
      <w:r>
        <w:t xml:space="preserve">В соответствии с Порядком составления и представления отчетности по форме 0409310 к объектам временного проживания (код 5) относятся в том числе гостиницы, объекты коттеджного типа, апарт-отели, мотели, общежития, а также объекты рекреационно-оздоровительного значения (пансионаты, санатории). В частности, код 5 следует указывать для зданий, входящих в состав гостиниц, отелей коттеджного типа (пример — здание коттеджного отеля).</w:t>
      </w:r>
    </w:p>
    <w:p>
      <w:pPr>
        <w:pStyle w:val="BodyText"/>
      </w:pPr>
      <w:r>
        <w:t xml:space="preserve">Просим дать ссылку на нормативный документ или привести определение понятия кода 8 «Предприятие как имущественный комплекс», предусмотренного в графе 2 подраздела 4.2.</w:t>
      </w:r>
    </w:p>
    <w:p>
      <w:pPr>
        <w:pStyle w:val="BodyText"/>
      </w:pPr>
      <w:r>
        <w:t xml:space="preserve">Обновлено: 31.01.2025</w:t>
      </w:r>
    </w:p>
    <w:p>
      <w:pPr>
        <w:pStyle w:val="BodyText"/>
      </w:pPr>
      <w:r>
        <w:t xml:space="preserve">В графе 2 подраздела 4.2 код 8 «Предприятие как имущественный комплекс» указывается, только если объектом залога является предприятие как имущественный комплекс. Данное понятие определено в статье 132 Гражданского кодекса Российской Федерации.</w:t>
      </w:r>
    </w:p>
    <w:p>
      <w:pPr>
        <w:pStyle w:val="BodyText"/>
      </w:pPr>
      <w:r>
        <w:t xml:space="preserve">Что ЦБ подразумевает под видом код 7 «Единый недвижимый комплекс»? Данный вид необходимо применять, только если весь комплекс попадает в залог, или только один из объектов комплекса может классифицироваться как данный вид? Нужна ли в таком случае детализация по видам объекта (в данной структуре формы это не предусмотрено)?</w:t>
      </w:r>
    </w:p>
    <w:p>
      <w:pPr>
        <w:pStyle w:val="BodyText"/>
      </w:pPr>
      <w:r>
        <w:t xml:space="preserve">Обновлено: 01.10.2020</w:t>
      </w:r>
    </w:p>
    <w:p>
      <w:pPr>
        <w:pStyle w:val="BodyText"/>
      </w:pPr>
      <w:r>
        <w:t xml:space="preserve">В графе 2 подраздела 4.2 код 7 «Единый недвижимый комплекс» указывается, только если объектом залога является весь единый недвижимый комплекс. Данное понятие определено в статье 133.1 Гражданского кодекса Российской Федерации.</w:t>
      </w:r>
    </w:p>
    <w:p>
      <w:pPr>
        <w:pStyle w:val="BodyText"/>
      </w:pPr>
      <w:r>
        <w:t xml:space="preserve">Обращаем внимание, что в соответствии с данной статьей право собственности на совокупность объектов, составляющих единый недвижимый комплекс, в едином государственном реестре прав на недвижимое имущество зарегистрировано в целом как одна недвижимая вещь.</w:t>
      </w:r>
    </w:p>
    <w:p>
      <w:pPr>
        <w:pStyle w:val="BodyText"/>
      </w:pPr>
      <w:r>
        <w:t xml:space="preserve">В рассматриваемом случае детализация (то есть представление в Отчете сведений об объектах, входящих в состав единого недвижимого комплекса) не требуется.</w:t>
      </w:r>
    </w:p>
    <w:p>
      <w:pPr>
        <w:pStyle w:val="BodyText"/>
      </w:pPr>
      <w:r>
        <w:t xml:space="preserve">К какой функциональной группе графы 7 подраздела 4.2 следует относить апартаменты и АЗС?</w:t>
      </w:r>
    </w:p>
    <w:p>
      <w:pPr>
        <w:pStyle w:val="BodyText"/>
      </w:pPr>
      <w:r>
        <w:t xml:space="preserve">Обновлено: 08.02.2024</w:t>
      </w:r>
    </w:p>
    <w:p>
      <w:pPr>
        <w:pStyle w:val="BodyText"/>
      </w:pPr>
      <w:r>
        <w:t xml:space="preserve">Графа 7 подраздела 4.2 заполняется только для зданий или зданий, строительство которых не завершено. Соответственно, если в залог переданы апартаменты (то есть помещения), данная графа не заполняется.</w:t>
      </w:r>
    </w:p>
    <w:p>
      <w:pPr>
        <w:pStyle w:val="BodyText"/>
      </w:pPr>
      <w:r>
        <w:t xml:space="preserve">Классификация, предусмотренная для заполнения данной графы, разработана на основе группировки, содержащейся в Методических указаниях о государственной кадастровой оценке (Приложение № 2) [прим. утверждены приказом Росреестра от 04.08.2021 № П/0336].</w:t>
      </w:r>
    </w:p>
    <w:p>
      <w:pPr>
        <w:pStyle w:val="BodyText"/>
      </w:pPr>
      <w:r>
        <w:t xml:space="preserve">Здания, входящие в состав автозаправочных станций (АЗС), следует относить к коду 3 «Объекты коммерческого назначения, предназначенные для оказания услуг населению».</w:t>
      </w:r>
    </w:p>
    <w:p>
      <w:pPr>
        <w:pStyle w:val="BodyText"/>
      </w:pPr>
      <w:r>
        <w:t xml:space="preserve">Отражение информации по апартаментам осуществляется аналогично нежилым помещениям в подразделе 4.2.</w:t>
      </w:r>
    </w:p>
    <w:p>
      <w:pPr>
        <w:pStyle w:val="BodyText"/>
      </w:pPr>
      <w:r>
        <w:t xml:space="preserve">Просим уточнить, в какой код графы 7 подраздела 4.2 следует относить нефтебазы.</w:t>
      </w:r>
    </w:p>
    <w:p>
      <w:pPr>
        <w:pStyle w:val="BodyText"/>
      </w:pPr>
      <w:r>
        <w:t xml:space="preserve">Обновлено: 01.10.2020</w:t>
      </w:r>
    </w:p>
    <w:p>
      <w:pPr>
        <w:pStyle w:val="BodyText"/>
      </w:pPr>
      <w:r>
        <w:t xml:space="preserve">Данная графа заполняется только в отношении зданий и зданий, строительство которых не завершено. В отношении иных объектов недвижимости данная графа не заполняется.</w:t>
      </w:r>
    </w:p>
    <w:p>
      <w:pPr>
        <w:pStyle w:val="BodyText"/>
      </w:pPr>
      <w:r>
        <w:t xml:space="preserve">Если в состав нефтебазы как комплекса объектов входит здание, оно может быть отнесено:</w:t>
      </w:r>
    </w:p>
    <w:p>
      <w:pPr>
        <w:pStyle w:val="BodyText"/>
      </w:pPr>
      <w:r>
        <w:t xml:space="preserve">к функциональной группе «Объекты производственного назначения» (например, складское здание);</w:t>
      </w:r>
    </w:p>
    <w:p>
      <w:pPr>
        <w:pStyle w:val="BodyText"/>
      </w:pPr>
      <w:r>
        <w:t xml:space="preserve">к функциональной группе «Административные и бытовые объекты» (например, административный корпус).</w:t>
      </w:r>
    </w:p>
    <w:p>
      <w:pPr>
        <w:pStyle w:val="BodyText"/>
      </w:pPr>
      <w:r>
        <w:t xml:space="preserve">Просим уточнить, в какой код графы 7 подраздела 4.2 следует относить детские сады.</w:t>
      </w:r>
    </w:p>
    <w:p>
      <w:pPr>
        <w:pStyle w:val="BodyText"/>
      </w:pPr>
      <w:r>
        <w:t xml:space="preserve">Обновлено: 21.10.2020</w:t>
      </w:r>
    </w:p>
    <w:p>
      <w:pPr>
        <w:pStyle w:val="BodyText"/>
      </w:pPr>
      <w:r>
        <w:t xml:space="preserve">Здания детских садов следует относить к функциональной группе «Иное».</w:t>
      </w:r>
    </w:p>
    <w:p>
      <w:pPr>
        <w:pStyle w:val="BodyText"/>
      </w:pPr>
      <w:r>
        <w:t xml:space="preserve">К каким типам назначения может быть применима функциональная группа «5 Объекты временного проживания» для вида объекта «Здание»? Может ли данная функциональная группа быть выбрана для нежилого здания, жилого дома, многоквартирного дома?</w:t>
      </w:r>
    </w:p>
    <w:p>
      <w:pPr>
        <w:pStyle w:val="BodyText"/>
      </w:pPr>
      <w:r>
        <w:t xml:space="preserve">Например, к объектам временного проживания относятся в том числе гостиницы, отели, которые могут располагаться в нежилом здании, жилом доме, многоквартирном доме и занимать как все помещение, так и его часть.</w:t>
      </w:r>
    </w:p>
    <w:p>
      <w:pPr>
        <w:pStyle w:val="BodyText"/>
      </w:pPr>
      <w:r>
        <w:t xml:space="preserve">Обновлено: 31.01.2025</w:t>
      </w:r>
    </w:p>
    <w:p>
      <w:pPr>
        <w:pStyle w:val="BodyText"/>
      </w:pPr>
      <w:r>
        <w:t xml:space="preserve">Классификация, предусмотренная для заполнения графы 7 подраздела 4.2 «Функциональная группа», разработана на основе группировки, содержащейся в Методических указаниях о государственной кадастровой оценке (далее — Методические рекомендации) [прим. утверждены приказом Росреестра от 04.08.2021 № П/0336].</w:t>
      </w:r>
    </w:p>
    <w:p>
      <w:pPr>
        <w:pStyle w:val="BodyText"/>
      </w:pPr>
      <w:r>
        <w:t xml:space="preserve">Графа 7 подраздела 4.2 заполняется только для зданий или зданий, строительство которых не завершено.</w:t>
      </w:r>
    </w:p>
    <w:p>
      <w:pPr>
        <w:pStyle w:val="BodyText"/>
      </w:pPr>
      <w:r>
        <w:t xml:space="preserve">Варианты назначений для зданий предусмотрены в статье 8 Федерального закона от 13.07.2015 № 218-ФЗ «О государственной регистрации недвижимости».</w:t>
      </w:r>
    </w:p>
    <w:p>
      <w:pPr>
        <w:pStyle w:val="BodyText"/>
      </w:pPr>
      <w:r>
        <w:t xml:space="preserve">Назначение здания указывается в выписке из Единого государственного реестра недвижимости.</w:t>
      </w:r>
    </w:p>
    <w:p>
      <w:pPr>
        <w:pStyle w:val="BodyText"/>
      </w:pPr>
      <w:r>
        <w:t xml:space="preserve">Отнесение здания (зданий, строительство которых не завершено) к одной из функциональных групп осуществляется на основе суждения кредитной организации, при формировании которого целесообразно руководствоваться примерами отнесения объектов к различным функциональным группам, приведенными в Методических рекомендациях (Приложение № 2).</w:t>
      </w:r>
    </w:p>
    <w:p>
      <w:pPr>
        <w:pStyle w:val="BodyText"/>
      </w:pPr>
      <w:r>
        <w:t xml:space="preserve">Может ли быть выбрано две функциональные группы для одного вида объекта?</w:t>
      </w:r>
    </w:p>
    <w:p>
      <w:pPr>
        <w:pStyle w:val="BodyText"/>
      </w:pPr>
      <w:r>
        <w:t xml:space="preserve">Например, если это дом культурного наследия, который можно отнести к «Объекту культуры и искусства», и одновременно жилой дом, который можно отнести к «Домам средне- и многоэтажной жилой застройки».</w:t>
      </w:r>
    </w:p>
    <w:p>
      <w:pPr>
        <w:pStyle w:val="BodyText"/>
      </w:pPr>
      <w:r>
        <w:t xml:space="preserve">Обновлено: 08.02.2024</w:t>
      </w:r>
    </w:p>
    <w:p>
      <w:pPr>
        <w:pStyle w:val="BodyText"/>
      </w:pPr>
      <w:r>
        <w:t xml:space="preserve">Для каждого объекта предусмотрен выбор только одной функциональной группы.</w:t>
      </w:r>
    </w:p>
    <w:p>
      <w:pPr>
        <w:pStyle w:val="BodyText"/>
      </w:pPr>
      <w:r>
        <w:t xml:space="preserve">В рассматриваемом случае (здание, являющееся объектом культурного наследия) в графе 7 подраздела 4.2 Отчета следует указать код 9 «Объекты культуры и искусства» (по аналогии с объектами подгруппы «Памятники архитектурные, монументы» (см. Методические рекомендации о государственной кадастровой оценке) [прим. утверждены приказом Росреестра от 04.08.2021 № П/0336].</w:t>
      </w:r>
    </w:p>
    <w:p>
      <w:pPr>
        <w:pStyle w:val="BodyText"/>
      </w:pPr>
      <w:r>
        <w:t xml:space="preserve">К какому виду права в графе 13 подраздела 4.2 следует отнести «Хозяйственное ведение», «Доля в праве аренды», «Оперативное управление»?</w:t>
      </w:r>
    </w:p>
    <w:p>
      <w:pPr>
        <w:pStyle w:val="BodyText"/>
      </w:pPr>
      <w:r>
        <w:t xml:space="preserve">Обновлено: 02.02.2026</w:t>
      </w:r>
    </w:p>
    <w:p>
      <w:pPr>
        <w:pStyle w:val="BodyText"/>
      </w:pPr>
      <w:r>
        <w:t xml:space="preserve">В силу абзаца пятого пункта 1 статьи 216 Гражданского кодекса Российской Федерации право хозяйственного ведения и право оперативного управления относятся к вещным правам лиц, не являющихся собственниками.</w:t>
      </w:r>
    </w:p>
    <w:p>
      <w:pPr>
        <w:pStyle w:val="BodyText"/>
      </w:pPr>
      <w:r>
        <w:t xml:space="preserve">В соответствии с Указанием Банка России от 17.04.2025 № 7047-У в справочнике графы 13 подраздела 4.2 были предусмотрены специальные коды:</w:t>
      </w:r>
    </w:p>
    <w:p>
      <w:pPr>
        <w:pStyle w:val="BodyText"/>
      </w:pPr>
      <w:r>
        <w:t xml:space="preserve">код 3 «Право оперативного управления»</w:t>
      </w:r>
    </w:p>
    <w:p>
      <w:pPr>
        <w:pStyle w:val="BodyText"/>
      </w:pPr>
      <w:r>
        <w:t xml:space="preserve">код 4 «Право хозяйственного ведения».</w:t>
      </w:r>
    </w:p>
    <w:p>
      <w:pPr>
        <w:pStyle w:val="BodyText"/>
      </w:pPr>
      <w:r>
        <w:t xml:space="preserve">В случае если в залог передано право аренды объекта недвижимости, в графе 13 подраздела 4.2 указывается (в зависимости от ситуации):</w:t>
      </w:r>
    </w:p>
    <w:p>
      <w:pPr>
        <w:pStyle w:val="BodyText"/>
      </w:pPr>
      <w:r>
        <w:t xml:space="preserve">код 2 «Право аренды» либо</w:t>
      </w:r>
    </w:p>
    <w:p>
      <w:pPr>
        <w:pStyle w:val="BodyText"/>
      </w:pPr>
      <w:r>
        <w:t xml:space="preserve">код 2.1 «Право аренды (с множественностью лиц на стороне арендатора)».</w:t>
      </w:r>
    </w:p>
    <w:p>
      <w:pPr>
        <w:pStyle w:val="BodyText"/>
      </w:pPr>
      <w:r>
        <w:t xml:space="preserve">Подраздел 4.3</w:t>
      </w:r>
    </w:p>
    <w:p>
      <w:pPr>
        <w:pStyle w:val="BodyText"/>
      </w:pPr>
      <w:r>
        <w:t xml:space="preserve">Существуют самодвижущиеся технические изделия конструктивно и функционально являющиеся транспортными средствами или самоходными машинами с объёмом двигателя менее 50 куб. см и максимальной скоростью менее 50 км. ч., на которые паспорта не выдаются, и соответственно, категория таких транспортных средств и самоходных машин не определена (например, экскурсионные электромобили, минитракторы, складская техника, самодвижущиеся газонокосилки, электроскутеры, гужевые повозки и т.д.)</w:t>
      </w:r>
    </w:p>
    <w:p>
      <w:pPr>
        <w:pStyle w:val="BodyText"/>
      </w:pPr>
      <w:r>
        <w:t xml:space="preserve">В каком подразделе раздела 4 необходимо отражать данные транспортные средства?</w:t>
      </w:r>
    </w:p>
    <w:p>
      <w:pPr>
        <w:pStyle w:val="BodyText"/>
      </w:pPr>
      <w:r>
        <w:t xml:space="preserve">Обновлено: 08.02.2024</w:t>
      </w:r>
    </w:p>
    <w:p>
      <w:pPr>
        <w:pStyle w:val="BodyText"/>
      </w:pPr>
      <w:r>
        <w:t xml:space="preserve">Согласно Порядку, в подраздел 4.3 Отчета включаются сведения:</w:t>
      </w:r>
    </w:p>
    <w:p>
      <w:pPr>
        <w:pStyle w:val="BodyText"/>
      </w:pPr>
      <w:r>
        <w:t xml:space="preserve">о транспортном средстве, если на него оформлен паспорт транспортного средства;</w:t>
      </w:r>
    </w:p>
    <w:p>
      <w:pPr>
        <w:pStyle w:val="BodyText"/>
      </w:pPr>
      <w:r>
        <w:t xml:space="preserve">о самоходной машине, если на нее оформлен паспорт самоходной машины.</w:t>
      </w:r>
    </w:p>
    <w:p>
      <w:pPr>
        <w:pStyle w:val="BodyText"/>
      </w:pPr>
      <w:r>
        <w:t xml:space="preserve">Дополнительно отмечаем следующее.</w:t>
      </w:r>
    </w:p>
    <w:p>
      <w:pPr>
        <w:pStyle w:val="BodyText"/>
      </w:pPr>
      <w:r>
        <w:t xml:space="preserve">Если в документах отсутствуют сведения для заполнения граф 2–11 подраздела 4.3 Отчета (например, в строке «Идентификационный номер (VIN)» внесена запись «отсутствует»), соответствующие графы Отчета не заполняются.</w:t>
      </w:r>
    </w:p>
    <w:p>
      <w:pPr>
        <w:pStyle w:val="BodyText"/>
      </w:pPr>
      <w:r>
        <w:t xml:space="preserve">Сведения о других транспортных средствах отражаются в прочих подразделах раздела 4 Отчета (в том числе в подразделе 4.22 «Сведения о прочих движимых вещах (объекты)»).</w:t>
      </w:r>
    </w:p>
    <w:p>
      <w:pPr>
        <w:pStyle w:val="BodyText"/>
      </w:pPr>
      <w:r>
        <w:t xml:space="preserve">Если в паспорте транспортного средства и регистрационных документах отсутствует информация о категории транспортного средства в классификации технического регламента (L, M1, M2, M3, N, O), а указана категория транспортного средства в соответствии с Конвенцией о дорожном движении (A, B, C, D, прицеп), то графа 2 подраздела 4.3 в отношении транспортного средства (кроме самоходной машины) не заполняется?</w:t>
      </w:r>
    </w:p>
    <w:p>
      <w:pPr>
        <w:pStyle w:val="BodyText"/>
      </w:pPr>
      <w:r>
        <w:t xml:space="preserve">Обновлено: 08.02.2024</w:t>
      </w:r>
    </w:p>
    <w:p>
      <w:pPr>
        <w:pStyle w:val="BodyText"/>
      </w:pPr>
      <w:r>
        <w:t xml:space="preserve">Верно.</w:t>
      </w:r>
    </w:p>
    <w:p>
      <w:pPr>
        <w:pStyle w:val="BodyText"/>
      </w:pPr>
      <w:r>
        <w:t xml:space="preserve">Графа 2 подраздела 4.3 Отчета «Категория» не заполняется, если:</w:t>
      </w:r>
    </w:p>
    <w:p>
      <w:pPr>
        <w:pStyle w:val="BodyText"/>
      </w:pPr>
      <w:r>
        <w:t xml:space="preserve">в документах отсутствуют сведения о присвоении транспортному средству одной из следующих категорий: L, M1, M2, M3, N, O;</w:t>
      </w:r>
    </w:p>
    <w:p>
      <w:pPr>
        <w:pStyle w:val="BodyText"/>
      </w:pPr>
      <w:r>
        <w:t xml:space="preserve">в документах отсутствуют сведения о присвоении самоходной машине одной из следующих категорий: А, B, C, D, E, F.</w:t>
      </w:r>
    </w:p>
    <w:p>
      <w:pPr>
        <w:pStyle w:val="BodyText"/>
      </w:pPr>
      <w:r>
        <w:t xml:space="preserve">При этом:</w:t>
      </w:r>
    </w:p>
    <w:p>
      <w:pPr>
        <w:pStyle w:val="BodyText"/>
      </w:pPr>
      <w:r>
        <w:t xml:space="preserve">если транспортному средству присвоена категория L1, L2 L3, L4, L5, L6 или L7, в графе 2 подраздела 4.3 Отчета указывается код 1 (категория L);</w:t>
      </w:r>
    </w:p>
    <w:p>
      <w:pPr>
        <w:pStyle w:val="BodyText"/>
      </w:pPr>
      <w:r>
        <w:t xml:space="preserve">если транспортному средству присвоена категория N1, N2 или N3, в графе 2 подраздела 4.3 Отчета указывается код 5 (категория N);</w:t>
      </w:r>
    </w:p>
    <w:p>
      <w:pPr>
        <w:pStyle w:val="BodyText"/>
      </w:pPr>
      <w:r>
        <w:t xml:space="preserve">если транспортному средству присвоена категория О1, О2, О3 или О4, в графе 2 подраздела 4.3 Отчета указывается код 6 (категория О).</w:t>
      </w:r>
    </w:p>
    <w:p>
      <w:pPr>
        <w:pStyle w:val="BodyText"/>
      </w:pPr>
      <w:r>
        <w:t xml:space="preserve">В случае, если в ПСМ отсутствуют слова идентификационный номер / VIN / PIN, а указан заводской № машины (рамы), то графа 4 (идентификационный номер самоходной машины) не заполняется, при этом должна быть заполнена графа 8 (номер шасси (рамы) подраздела 4.3?</w:t>
      </w:r>
    </w:p>
    <w:p>
      <w:pPr>
        <w:pStyle w:val="BodyText"/>
      </w:pPr>
      <w:r>
        <w:t xml:space="preserve">Обновлено: 16.08.2021</w:t>
      </w:r>
    </w:p>
    <w:p>
      <w:pPr>
        <w:pStyle w:val="BodyText"/>
      </w:pPr>
      <w:r>
        <w:t xml:space="preserve">Верно.</w:t>
      </w:r>
    </w:p>
    <w:p>
      <w:pPr>
        <w:pStyle w:val="BodyText"/>
      </w:pPr>
      <w:r>
        <w:t xml:space="preserve">Паспорт транспортного средства, являющийся источником данных для граф 6, 7 подраздела 4.3, содержит единое поле «Марка, модель ТС», разделение которого отдельно на марку и модель затруднительно и не всегда очевидно, например — СМАРТ ФОРТУ COUPE CDI, или RENAUT LAGUNA, или KAWASAKI GP211DG-2. Также бывают случаи, когда в ПТС указано: «Нет данных», «Не присвоен» и так далее. Просим подтвердить возможность указания в графах 6, 7 одинакового значения или внести изменения в макет формы, оставив единую графу «Марка, модель».</w:t>
      </w:r>
    </w:p>
    <w:p>
      <w:pPr>
        <w:pStyle w:val="BodyText"/>
      </w:pPr>
      <w:r>
        <w:t xml:space="preserve">Обновлено: 08.02.2024</w:t>
      </w:r>
    </w:p>
    <w:p>
      <w:pPr>
        <w:pStyle w:val="BodyText"/>
      </w:pPr>
      <w:r>
        <w:t xml:space="preserve">Не считаем целесообразным.</w:t>
      </w:r>
    </w:p>
    <w:p>
      <w:pPr>
        <w:pStyle w:val="BodyText"/>
      </w:pPr>
      <w:r>
        <w:t xml:space="preserve">Полагаем возможным при заполнении данных граф руководствоваться положениями документов (нормативные и иные акты, международные соглашения и так далее), размещенных в открытых источниках.</w:t>
      </w:r>
    </w:p>
    <w:p>
      <w:pPr>
        <w:pStyle w:val="BodyText"/>
      </w:pPr>
      <w:r>
        <w:t xml:space="preserve">Например, в приложении 26 к Решению Комиссии Таможенного союза от 20.09.2010 № 378 «О классификаторах, используемых для заполнения таможенных документов» приведен классификатор марок дорожных транспортных средств. Данный классификатор содержит в том числе марки SMART (код 577), RENAULT (код 518) и KAWASAKI (код 325).</w:t>
      </w:r>
    </w:p>
    <w:p>
      <w:pPr>
        <w:pStyle w:val="BodyText"/>
      </w:pPr>
      <w:r>
        <w:t xml:space="preserve">Кроме того, Минпромторг России в соответствии с приказом от 28.02.2014 № 316 ежегодно не позднее 31 марта обеспечивает размещение перечня легковых автомобилей средней стоимостью от 10 млн руб. на своем официальном сайте в сети Интернет. В данном перечне также указаны марки и модели легковых автомобилей.</w:t>
      </w:r>
    </w:p>
    <w:p>
      <w:pPr>
        <w:pStyle w:val="BodyText"/>
      </w:pPr>
      <w:r>
        <w:t xml:space="preserve">В случае если в паспорте транспортного средства, паспорте самоходной машины отсутствует информация о марке или модели транспортного средства (самоходной машины), соответствующие графы не заполняются.</w:t>
      </w:r>
    </w:p>
    <w:p>
      <w:pPr>
        <w:pStyle w:val="BodyText"/>
      </w:pPr>
      <w:r>
        <w:t xml:space="preserve">Подраздел 4.4</w:t>
      </w:r>
    </w:p>
    <w:p>
      <w:pPr>
        <w:pStyle w:val="BodyText"/>
      </w:pPr>
      <w:r>
        <w:t xml:space="preserve">Просим дать разъяснения по порядку отражения в форме 0409310 принятого в залог посевного комплекса. В договоре залога указано, что посевной комплекс состоит из сеялок в количестве 3-х штук, и указаны заводские номера каждой из сеялок, при этом посевному комплексу в целом присвоен единый инвентарный номер, т.к. принят на баланс одной строкой.</w:t>
      </w:r>
    </w:p>
    <w:p>
      <w:pPr>
        <w:pStyle w:val="BodyText"/>
      </w:pPr>
      <w:r>
        <w:t xml:space="preserve">Вариант 1. Отражаем в отчете одной строкой посевной комплекс.</w:t>
      </w:r>
    </w:p>
    <w:p>
      <w:pPr>
        <w:pStyle w:val="BodyText"/>
      </w:pPr>
      <w:r>
        <w:t xml:space="preserve">Вариант 2. Отражаем в отчете 3 строками, т.к. у сеялок указаны заводские номера и присваиваем им отдельные идентификационные коды предмета залога.</w:t>
      </w:r>
    </w:p>
    <w:p>
      <w:pPr>
        <w:pStyle w:val="BodyText"/>
      </w:pPr>
      <w:r>
        <w:t xml:space="preserve">Обновлено: 16.08.2021</w:t>
      </w:r>
    </w:p>
    <w:p>
      <w:pPr>
        <w:pStyle w:val="BodyText"/>
      </w:pPr>
      <w:r>
        <w:t xml:space="preserve">Поскольку в договоре залога указанное оборудование перечислено попозиционно, верным является вариант 2.</w:t>
      </w:r>
    </w:p>
    <w:p>
      <w:pPr>
        <w:pStyle w:val="BodyText"/>
      </w:pPr>
      <w:r>
        <w:t xml:space="preserve">Возможно ли указать в одной графе несколько заводских или инвентарных номеров оборудования?</w:t>
      </w:r>
    </w:p>
    <w:p>
      <w:pPr>
        <w:pStyle w:val="BodyText"/>
      </w:pPr>
      <w:r>
        <w:t xml:space="preserve">Обновлено: 16.08.2021</w:t>
      </w:r>
    </w:p>
    <w:p>
      <w:pPr>
        <w:pStyle w:val="BodyText"/>
      </w:pPr>
      <w:r>
        <w:t xml:space="preserve">Указание нескольких заводских либо инвентарных номеров в одной графе является некорректным.</w:t>
      </w:r>
    </w:p>
    <w:p>
      <w:pPr>
        <w:pStyle w:val="BodyText"/>
      </w:pPr>
      <w:r>
        <w:t xml:space="preserve">Если по дополнительному оборудованию иных параметров, кроме заводского/инвентарного номера, нет, достаточно ли будет такой информации в отчете?</w:t>
      </w:r>
    </w:p>
    <w:p>
      <w:pPr>
        <w:pStyle w:val="BodyText"/>
      </w:pPr>
      <w:r>
        <w:t xml:space="preserve">Согласно текущим требованиям, в разделе 4.4 Отчета «Сведения о машинах и оборудовании» необходимо также указывать модель, марку, год выпуска и так далее. Такие сведения по дополнительному оборудованию не могут быть предоставлены залогодателем.</w:t>
      </w:r>
    </w:p>
    <w:p>
      <w:pPr>
        <w:pStyle w:val="BodyText"/>
      </w:pPr>
      <w:r>
        <w:t xml:space="preserve">Обновлено: 01.10.2020</w:t>
      </w:r>
    </w:p>
    <w:p>
      <w:pPr>
        <w:pStyle w:val="BodyText"/>
      </w:pPr>
      <w:r>
        <w:t xml:space="preserve">С учетом того, что для отчетности по форме 0409310 предусмотрена комфортная для кредитных организаций этапность представления сведений о предметах залога (до 01.07.2022 информация представляется только по договорам залога, заключенным с 01.07.2021), полагаем, что кредитной организацией у заемщика должна быть запрошена техническая и технологическая документация на машины, оборудование (паспорт оборудования, эксплуатационные документы, технологические инструкции и иные документы), позволяющая установить данные характеристики, в том числе для целей определения стоимости заложенных объектов.</w:t>
      </w:r>
    </w:p>
    <w:p>
      <w:pPr>
        <w:pStyle w:val="BodyText"/>
      </w:pPr>
      <w:r>
        <w:t xml:space="preserve">В случае если в технической и технологической документации отсутствует информация о годе выпуска, марке либо модели машин, оборудования, соответствующие графы подраздела 4.4 Отчета не заполняются.</w:t>
      </w:r>
    </w:p>
    <w:p>
      <w:pPr>
        <w:pStyle w:val="BodyText"/>
      </w:pPr>
      <w:r>
        <w:t xml:space="preserve">Подраздел 4.5</w:t>
      </w:r>
    </w:p>
    <w:p>
      <w:pPr>
        <w:pStyle w:val="BodyText"/>
      </w:pPr>
      <w:r>
        <w:t xml:space="preserve">Правильно ли мы понимаем, что в графе 4 подраздела 4.5 под номером планера воздушного судна следует понимать заводской (серийный) номер, присваиваемый судну предприятием-изготовителем?</w:t>
      </w:r>
    </w:p>
    <w:p>
      <w:pPr>
        <w:pStyle w:val="BodyText"/>
      </w:pPr>
      <w:r>
        <w:t xml:space="preserve">Обновлено: 26.11.2020</w:t>
      </w:r>
    </w:p>
    <w:p>
      <w:pPr>
        <w:pStyle w:val="BodyText"/>
      </w:pPr>
      <w:r>
        <w:t xml:space="preserve">В графе 4 подраздела 4.5 указывается номер планера воздушного судна, присвоенный изготовителем.</w:t>
      </w:r>
    </w:p>
    <w:p>
      <w:pPr>
        <w:pStyle w:val="BodyText"/>
      </w:pPr>
      <w:r>
        <w:t xml:space="preserve">Сведения о номере планера воздушного судна могут быть получены из выписки из Единого государственного реестра прав на воздушные суда и сделок с ними.</w:t>
      </w:r>
    </w:p>
    <w:p>
      <w:pPr>
        <w:pStyle w:val="BodyText"/>
      </w:pPr>
      <w:r>
        <w:t xml:space="preserve">Подраздел 4.6</w:t>
      </w:r>
    </w:p>
    <w:p>
      <w:pPr>
        <w:pStyle w:val="BodyText"/>
      </w:pPr>
      <w:r>
        <w:t xml:space="preserve">Правильно ли мы понимаем, что в графе 2 подраздела 4.6 к коду 5 «Плавучие сооружения, не являющиеся судами» относятся: Специальные плавсредства (углубители дна, плавучие доки, плавкраны, ледоколы, научно-исследовательские суда, спасательные, пожарные, военные суда и так далее)?</w:t>
      </w:r>
    </w:p>
    <w:p>
      <w:pPr>
        <w:pStyle w:val="BodyText"/>
      </w:pPr>
      <w:r>
        <w:t xml:space="preserve">Обновлено: 26.11.2020</w:t>
      </w:r>
    </w:p>
    <w:p>
      <w:pPr>
        <w:pStyle w:val="BodyText"/>
      </w:pPr>
      <w:r>
        <w:t xml:space="preserve">Информация в подразделе 4.6 Отчета отражается в разрезе плавучих сооружений (которые могут как являться судами, так и не являться ими).</w:t>
      </w:r>
    </w:p>
    <w:p>
      <w:pPr>
        <w:pStyle w:val="BodyText"/>
      </w:pPr>
      <w:r>
        <w:t xml:space="preserve">В статье 3 Кодекса внутреннего водного транспорта Российской Федерации от 07.03.2001 № 24-ФЗ определено понятие «судно»: самоходное или несамоходное плавучее сооружение, предназначенное для использования в целях судоходства, в том числе судно смешанного (река — море) плавания, паром, дноуглубительный и дноочистительный снаряды, плавучий кран и другие технические сооружения подобного рода.</w:t>
      </w:r>
    </w:p>
    <w:p>
      <w:pPr>
        <w:pStyle w:val="BodyText"/>
      </w:pPr>
      <w:r>
        <w:t xml:space="preserve">В данной статье в определении понятия «плавучий объект» приведены примеры плавучих сооружений, не являющихся судами (дебаркадер, плавучий (находящийся на воде) дом, гостиница, ресторан, понтон, плот, наплавной мост, плавучий причал и другое техническое сооружение подобного рода).</w:t>
      </w:r>
    </w:p>
    <w:p>
      <w:pPr>
        <w:pStyle w:val="BodyText"/>
      </w:pPr>
      <w:r>
        <w:t xml:space="preserve">Просим дать ссылку на нормативный документ или привести определение понятия кода 4 «Суда, используемые для иных целей», предусмотренного в графе 2 подраздела 4.6.</w:t>
      </w:r>
    </w:p>
    <w:p>
      <w:pPr>
        <w:pStyle w:val="BodyText"/>
      </w:pPr>
      <w:r>
        <w:t xml:space="preserve">Обновлено: 01.10.2020</w:t>
      </w:r>
    </w:p>
    <w:p>
      <w:pPr>
        <w:pStyle w:val="BodyText"/>
      </w:pPr>
      <w:r>
        <w:t xml:space="preserve">Классификация судов по видам их использования разработана с учетом положений статьи 2 Кодекса торгового мореплавания Российской Федерации от 30.04.1999 № 81-ФЗ (см. определение понятия «торговое мореплавание») и статьи 3 Кодекса внутреннего водного транспорта Российской Федерации от 07.03.2001 № 24-ФЗ (см. определение понятия «судоходство»).</w:t>
      </w:r>
    </w:p>
    <w:p>
      <w:pPr>
        <w:pStyle w:val="BodyText"/>
      </w:pPr>
      <w:r>
        <w:t xml:space="preserve">К группе «Суда, используемые для иных целей» (код 4) относятся суда, которые не отнесены к иным группам (коды 1–3), например используемые для проведения морских ресурсных исследований, поисковых и спасательных операций.</w:t>
      </w:r>
    </w:p>
    <w:p>
      <w:pPr>
        <w:pStyle w:val="BodyText"/>
      </w:pPr>
      <w:r>
        <w:t xml:space="preserve">Какой из «судовых документов» является документом, подтверждающим класс судна?</w:t>
      </w:r>
    </w:p>
    <w:p>
      <w:pPr>
        <w:pStyle w:val="BodyText"/>
      </w:pPr>
      <w:r>
        <w:t xml:space="preserve">Обновлено: 26.11.2020</w:t>
      </w:r>
    </w:p>
    <w:p>
      <w:pPr>
        <w:pStyle w:val="BodyText"/>
      </w:pPr>
      <w:r>
        <w:t xml:space="preserve">Информация о классе судна указывается в свидетельстве о классификации судна.</w:t>
      </w:r>
    </w:p>
    <w:p>
      <w:pPr>
        <w:pStyle w:val="BodyText"/>
      </w:pPr>
      <w:r>
        <w:t xml:space="preserve">Отмечаем, что графа 5 подраздела 4.6 Отчета заполняется только для судов, которым не присвоен номер IMO.</w:t>
      </w:r>
    </w:p>
    <w:p>
      <w:pPr>
        <w:pStyle w:val="BodyText"/>
      </w:pPr>
      <w:r>
        <w:t xml:space="preserve">Подраздел 4.7</w:t>
      </w:r>
    </w:p>
    <w:p>
      <w:pPr>
        <w:pStyle w:val="BodyText"/>
      </w:pPr>
      <w:r>
        <w:t xml:space="preserve">Правильно ли мы понимаем, что в графе 4 подраздела 4.7:</w:t>
      </w:r>
    </w:p>
    <w:p>
      <w:pPr>
        <w:pStyle w:val="BodyText"/>
      </w:pPr>
      <w:r>
        <w:t xml:space="preserve">под кодом 2 «Самоходная единица специального железнодорожного подвижного состава» следует понимать специальная железнодорожная техника (путевые машины, ж/д краны, лаборатории и прочее);</w:t>
      </w:r>
    </w:p>
    <w:p>
      <w:pPr>
        <w:pStyle w:val="BodyText"/>
      </w:pPr>
      <w:r>
        <w:t xml:space="preserve">под кодом 4 «Грузовой вагон» следует понимать: полувагоны, цистерны для перевозки нефтепродуктов, цистерны для перевозки газа, крытые вагоны, хопперы, платформы, прочие вагоны для перевозки грузов?</w:t>
      </w:r>
    </w:p>
    <w:p>
      <w:pPr>
        <w:pStyle w:val="BodyText"/>
      </w:pPr>
      <w:r>
        <w:t xml:space="preserve">Просим дать ссылку на нормативный документ или привести определение следующих понятий, предусмотренных в графе 4 подраздела 4.7:</w:t>
      </w:r>
    </w:p>
    <w:p>
      <w:pPr>
        <w:pStyle w:val="BodyText"/>
      </w:pPr>
      <w:r>
        <w:t xml:space="preserve">код 3 «Вагон моторвагонного подвижного состава»;</w:t>
      </w:r>
    </w:p>
    <w:p>
      <w:pPr>
        <w:pStyle w:val="BodyText"/>
      </w:pPr>
      <w:r>
        <w:t xml:space="preserve">код 5 «Пассажирский вагон локомотивной тяги»;</w:t>
      </w:r>
    </w:p>
    <w:p>
      <w:pPr>
        <w:pStyle w:val="BodyText"/>
      </w:pPr>
      <w:r>
        <w:t xml:space="preserve">код 6 «Вагон высокоскоростного железнодорожного подвижного состава»;</w:t>
      </w:r>
    </w:p>
    <w:p>
      <w:pPr>
        <w:pStyle w:val="BodyText"/>
      </w:pPr>
      <w:r>
        <w:t xml:space="preserve">код 7 «Несамоходная единица специального железнодорожного подвижного состава».</w:t>
      </w:r>
    </w:p>
    <w:p>
      <w:pPr>
        <w:pStyle w:val="BodyText"/>
      </w:pPr>
      <w:r>
        <w:t xml:space="preserve">Обновлено: 02.02.2026</w:t>
      </w:r>
    </w:p>
    <w:p>
      <w:pPr>
        <w:pStyle w:val="BodyText"/>
      </w:pPr>
      <w:r>
        <w:t xml:space="preserve">Классификация типов единиц железнодорожного подвижного состава разработана на основе статьи 2 Федерального закона от 10.01.2003 № 17-ФЗ «О железнодорожном транспорте в Российской Федерации», в соответствии с которым к железнодорожному подвижному составу относятся:</w:t>
      </w:r>
    </w:p>
    <w:p>
      <w:pPr>
        <w:pStyle w:val="BodyText"/>
      </w:pPr>
      <w:r>
        <w:t xml:space="preserve">локомотивы (код 1 графы 4 подраздела 4.7 Отчета);</w:t>
      </w:r>
    </w:p>
    <w:p>
      <w:pPr>
        <w:pStyle w:val="BodyText"/>
      </w:pPr>
      <w:r>
        <w:t xml:space="preserve">грузовые вагоны (код 4 графы 4 подраздела 4.7 Отчета);</w:t>
      </w:r>
    </w:p>
    <w:p>
      <w:pPr>
        <w:pStyle w:val="BodyText"/>
      </w:pPr>
      <w:r>
        <w:t xml:space="preserve">пассажирские вагоны локомотивной тяги (код 5 графы 4 подраздела 4.7 Отчета);</w:t>
      </w:r>
    </w:p>
    <w:p>
      <w:pPr>
        <w:pStyle w:val="BodyText"/>
      </w:pPr>
      <w:r>
        <w:t xml:space="preserve">моторвагонный подвижной состав (код 3 графы 4 подраздела 4.7 Отчета);</w:t>
      </w:r>
    </w:p>
    <w:p>
      <w:pPr>
        <w:pStyle w:val="BodyText"/>
      </w:pPr>
      <w:r>
        <w:t xml:space="preserve">иной предназначенный для обеспечения осуществления перевозок и функционирования инфраструктуры железнодорожный подвижной состав (коды 2 и 7 графы 4 подраздела 4.7 Отчета).</w:t>
      </w:r>
    </w:p>
    <w:p>
      <w:pPr>
        <w:pStyle w:val="BodyText"/>
      </w:pPr>
      <w:r>
        <w:t xml:space="preserve">Полагаем допустимым при заполнении подраздела 4.7 Отчета руководствоваться определениями, указанными в Решении Комиссии Таможенного союза от 15.07.2011 № 710 «О принятии технических регламентов Таможенного союза «О безопасности железнодорожного подвижного состава», «О безопасности высокоскоростного железнодорожного транспорта» и «О безопасности инфраструктуры железнодорожного транспорта»:</w:t>
      </w:r>
    </w:p>
    <w:p>
      <w:pPr>
        <w:pStyle w:val="BodyText"/>
      </w:pPr>
      <w:r>
        <w:t xml:space="preserve">грузовые вагоны – вагоны, предназначенные для перевозки грузов;</w:t>
      </w:r>
    </w:p>
    <w:p>
      <w:pPr>
        <w:pStyle w:val="BodyText"/>
      </w:pPr>
      <w:r>
        <w:t xml:space="preserve">высокоскоростной железнодорожный подвижной состав – железнодорожный подвижной состав, состоящий из моторных и немоторных вагонов и предназначенный для перевозки пассажиров и (или) багажа, а также почтовых отправлений со скоростью более 200 км/ч.</w:t>
      </w:r>
    </w:p>
    <w:p>
      <w:pPr>
        <w:pStyle w:val="BodyText"/>
      </w:pPr>
      <w:r>
        <w:t xml:space="preserve">В ряде документов РЖД (например, в распоряжениях от 24.01.2017 № 130р, от 01.06.2018 № 1126/р) определены понятия грузовых вагонов, специального железнодорожного подвижного состава, а также приведены примеры:</w:t>
      </w:r>
    </w:p>
    <w:p>
      <w:pPr>
        <w:pStyle w:val="BodyText"/>
      </w:pPr>
      <w:r>
        <w:t xml:space="preserve">грузовых вагонов: крытые вагоны, полувагоны, платформы, вагоны-цистерны, вагоны бункерного типа, изотермические вагоны, зерновозы, контейнеровозы;</w:t>
      </w:r>
    </w:p>
    <w:p>
      <w:pPr>
        <w:pStyle w:val="BodyText"/>
      </w:pPr>
      <w:r>
        <w:t xml:space="preserve">самоходных подвижных единиц на железнодорожном ходу (код 2 графы 4 подраздела 4.7 Отчета): мотовозы, дрезины, специальные автомотрисы, железнодорожно-строительные машины с автономным двигателем и тяговым приводом, а также транспортеры;</w:t>
      </w:r>
    </w:p>
    <w:p>
      <w:pPr>
        <w:pStyle w:val="BodyText"/>
      </w:pPr>
      <w:r>
        <w:t xml:space="preserve">несамоходных подвижных единиц на железнодорожном ходу (код 7 графы 4 подраздела 4.7 Отчета): железнодорожно-строительные машины без тягового привода, прицепы и специальный железнодорожный подвижной состав, включаемый в хозяйственные поезда и предназначенный для производства работ по содержанию, обслуживанию и ремонту сооружений и устройств железных дорог, в том числе специальные вагоны грузового и пассажирского типа.</w:t>
      </w:r>
    </w:p>
    <w:p>
      <w:pPr>
        <w:pStyle w:val="BodyText"/>
      </w:pPr>
      <w:r>
        <w:t xml:space="preserve">Допустимо ли в графе 2 подраздела 4.7 указывать сетевой номер в случае отсутствия у железнодорожного подвижного состава заводского номера?</w:t>
      </w:r>
    </w:p>
    <w:p>
      <w:pPr>
        <w:pStyle w:val="BodyText"/>
      </w:pPr>
      <w:r>
        <w:t xml:space="preserve">Обновлено: 01.10.2020</w:t>
      </w:r>
    </w:p>
    <w:p>
      <w:pPr>
        <w:pStyle w:val="BodyText"/>
      </w:pPr>
      <w:r>
        <w:t xml:space="preserve">Не допустимо.</w:t>
      </w:r>
    </w:p>
    <w:p>
      <w:pPr>
        <w:pStyle w:val="BodyText"/>
      </w:pPr>
      <w:r>
        <w:t xml:space="preserve">Заводской номер единицы железнодорожного подвижного состава (локомотива, вагона и так далее) указывается в графе 2 подраздела 4.7, если такой номер был присвоен изготовителем. В случае отсутствия у единицы железнодорожного подвижного состава заводского номера данная графа не заполняется. В случае если в залог передан вагон, его сетевой номер (8-значный) (при наличии) указывается в графе 6 подраздела 4.7.</w:t>
      </w:r>
    </w:p>
    <w:p>
      <w:pPr>
        <w:pStyle w:val="BodyText"/>
      </w:pPr>
      <w:r>
        <w:t xml:space="preserve">Подраздел 4.12</w:t>
      </w:r>
    </w:p>
    <w:p>
      <w:pPr>
        <w:pStyle w:val="BodyText"/>
      </w:pPr>
      <w:r>
        <w:t xml:space="preserve">В графе 3 подраздела 4.12 под номером документа, удостоверяющего исключительное право на результат интеллектуальной деятельности, подразумевается номер свидетельства на товарный знак (знак обслуживания), присваиваемый Государственным реестром товарных знаков и знаков обслуживания РФ?</w:t>
      </w:r>
    </w:p>
    <w:p>
      <w:pPr>
        <w:pStyle w:val="BodyText"/>
      </w:pPr>
      <w:r>
        <w:t xml:space="preserve">Обновлено: 01.10.2020</w:t>
      </w:r>
    </w:p>
    <w:p>
      <w:pPr>
        <w:pStyle w:val="BodyText"/>
      </w:pPr>
      <w:r>
        <w:t xml:space="preserve">Верно.</w:t>
      </w:r>
    </w:p>
    <w:p>
      <w:pPr>
        <w:pStyle w:val="BodyText"/>
      </w:pPr>
      <w:r>
        <w:t xml:space="preserve">Подраздел 4.13</w:t>
      </w:r>
    </w:p>
    <w:p>
      <w:pPr>
        <w:pStyle w:val="BodyText"/>
      </w:pPr>
      <w:r>
        <w:t xml:space="preserve">Договор залога прав по договору банковского счета заключен в иностранной валюте. В графе 4 подраздела 4.13 размер денежной суммы должен быть указан в рублях?</w:t>
      </w:r>
    </w:p>
    <w:p>
      <w:pPr>
        <w:pStyle w:val="BodyText"/>
      </w:pPr>
      <w:r>
        <w:t xml:space="preserve">Обновлено: 08.02.2024</w:t>
      </w:r>
    </w:p>
    <w:p>
      <w:pPr>
        <w:pStyle w:val="BodyText"/>
      </w:pPr>
      <w:r>
        <w:t xml:space="preserve">Если договором залога предусмотрено, что предметом залога являются права залогодателя по договору банковского счета в отношении твердой денежной суммы, размер которой в договоре залога указан в иностранной валюте, в графе 4 подраздела 4.13 Отчета размер денежной суммы указывается в рублевом эквиваленте (руб. коп.), определяемом по официальному курсу иностранной валюты по отношению к рублю, установленному Банком России на соответствующую отчетную дату.</w:t>
      </w:r>
    </w:p>
    <w:p>
      <w:pPr>
        <w:pStyle w:val="BodyText"/>
      </w:pPr>
      <w:r>
        <w:t xml:space="preserve">Если договор залога заключен с условием о залоге прав в отношении всей денежной суммы, находящейся на залоговом счете в любой момент в течение времени действия договора, графа 4 подраздела 4.13 не заполняется.</w:t>
      </w:r>
    </w:p>
    <w:p>
      <w:pPr>
        <w:pStyle w:val="BodyText"/>
      </w:pPr>
      <w:r>
        <w:t xml:space="preserve">Подраздел 4.14</w:t>
      </w:r>
    </w:p>
    <w:p>
      <w:pPr>
        <w:pStyle w:val="BodyText"/>
      </w:pPr>
      <w:r>
        <w:t xml:space="preserve">Каким образом учитывать залог долей в УК в следующих ситуациях:</w:t>
      </w:r>
    </w:p>
    <w:p>
      <w:pPr>
        <w:pStyle w:val="BodyText"/>
      </w:pPr>
      <w:r>
        <w:t xml:space="preserve">Залогодатель Иванов А.А. передает в залог долю в размере 10%, затем тот же залогодатель Иванов А.А. передает в залог еще долю в размере 90% в УК ООО «Компания». В данном случае требуется внесение двух объектов залога с разным ID или это является одним объектом залога с единым ID?</w:t>
      </w:r>
    </w:p>
    <w:p>
      <w:pPr>
        <w:pStyle w:val="BodyText"/>
      </w:pPr>
      <w:r>
        <w:t xml:space="preserve">Залогодатель Иванов А.А. передает в залог долю в размере 10%, затем тот же залогодатель Иванов А.А. передает в залог еще долю в размере 90% в УК ООО «Компания». В дальнейшем залогодатель Иванов А.А. передает совокупные 100% долей в УК в качестве последующего залога. В данном случае требуется внесение трех объектов залога с разным ID или это является одним объектом залога с единым ID?</w:t>
      </w:r>
    </w:p>
    <w:p>
      <w:pPr>
        <w:pStyle w:val="BodyText"/>
      </w:pPr>
      <w:r>
        <w:t xml:space="preserve">Залогодатель Иванов А.А. передает в залог долю в размере 10% , затем залогодатель Петров А.А. передает в залог еще долю в размере 90% в УК ООО «Компания». В данном случае требуется внесение двух объектов залога с разным ID или это является одним объектом залога с единым ID?</w:t>
      </w:r>
    </w:p>
    <w:p>
      <w:pPr>
        <w:pStyle w:val="BodyText"/>
      </w:pPr>
      <w:r>
        <w:t xml:space="preserve">Обновлено: 26.11.2020</w:t>
      </w:r>
    </w:p>
    <w:p>
      <w:pPr>
        <w:pStyle w:val="BodyText"/>
      </w:pPr>
      <w:r>
        <w:t xml:space="preserve">В случае, если в залог передана доля в уставном капитале общества с ограниченной ответственностью (далее — ООО), такому предмету залога присваивается отдельный идентификационный код предмета залога.</w:t>
      </w:r>
    </w:p>
    <w:p>
      <w:pPr>
        <w:pStyle w:val="BodyText"/>
      </w:pPr>
      <w:r>
        <w:t xml:space="preserve">Соответственно:</w:t>
      </w:r>
    </w:p>
    <w:p>
      <w:pPr>
        <w:pStyle w:val="BodyText"/>
      </w:pPr>
      <w:r>
        <w:t xml:space="preserve">в ситуациях 1 и 3 кредитная организация в подразделе 4.14 Отчета отражает сведения о двух объектах: двух долях в уставном капитале ООО (в размере 10% и 90%), которым кредитная организация присваивает различные идентификационные коды предмета залога;</w:t>
      </w:r>
    </w:p>
    <w:p>
      <w:pPr>
        <w:pStyle w:val="BodyText"/>
      </w:pPr>
      <w:r>
        <w:t xml:space="preserve">в ситуации 2 кредитная организация в подразделе 4.14 Отчета отражает сведения о трех объектах: трех долях в уставном капитале ООО (в размере 10%, 90% и 100%), которым кредитная организация присваивает различные идентификационные коды предмета залога.</w:t>
      </w:r>
    </w:p>
    <w:p>
      <w:pPr>
        <w:pStyle w:val="BodyText"/>
      </w:pPr>
      <w:r>
        <w:t xml:space="preserve">Подраздел 4.15</w:t>
      </w:r>
    </w:p>
    <w:p>
      <w:pPr>
        <w:pStyle w:val="BodyText"/>
      </w:pPr>
      <w:r>
        <w:t xml:space="preserve">Правильно ли мы понимаем, что сведения в графах 1 и 2 подраздела 4.15 могут быть идентичными для каждого принятого в залог векселя?</w:t>
      </w:r>
    </w:p>
    <w:p>
      <w:pPr>
        <w:pStyle w:val="BodyText"/>
      </w:pPr>
      <w:r>
        <w:t xml:space="preserve">Обновлено: 02.02.2026</w:t>
      </w:r>
    </w:p>
    <w:p>
      <w:pPr>
        <w:pStyle w:val="BodyText"/>
      </w:pPr>
      <w:r>
        <w:t xml:space="preserve">Верно. Для каждого принятого в залог векселя Идентификационный код предмета залога и Идентификационный код векселя могут совпадать.</w:t>
      </w:r>
    </w:p>
    <w:p>
      <w:pPr>
        <w:pStyle w:val="BodyText"/>
      </w:pPr>
      <w:r>
        <w:t xml:space="preserve">В соответствии с Порядком составления и представления отчетности в подразделе 4.15 «Сведения о векселях» отчетности по форме 0409310 отражается информация в разрезе векселей, принятых в залог. Согласно Порядку в графе 3 подраздела 4.15 указывается тип векселя: процентный или дисконтный.</w:t>
      </w:r>
    </w:p>
    <w:p>
      <w:pPr>
        <w:pStyle w:val="BodyText"/>
      </w:pPr>
      <w:r>
        <w:t xml:space="preserve">У банка в залоге есть векселя, которые нельзя классифицировать как процентные или дисконтные, они являются расчетными, то есть начисление процентов по ним не предусмотрено и реализация производится по номиналу. Банк классифицирует их как беспроцентные.</w:t>
      </w:r>
    </w:p>
    <w:p>
      <w:pPr>
        <w:pStyle w:val="BodyText"/>
      </w:pPr>
      <w:r>
        <w:t xml:space="preserve">В связи с вышеизложенным как банку следует заполнять подраздел 4.15 «Сведения о векселях» отчетности по форме 0409310?</w:t>
      </w:r>
    </w:p>
    <w:p>
      <w:pPr>
        <w:pStyle w:val="BodyText"/>
      </w:pPr>
      <w:r>
        <w:t xml:space="preserve">Обновлено: 31.01.2025</w:t>
      </w:r>
    </w:p>
    <w:p>
      <w:pPr>
        <w:pStyle w:val="BodyText"/>
      </w:pPr>
      <w:r>
        <w:t xml:space="preserve">Для указанных векселей в графе 3 «Тип векселя» подраздела 4.15 Отчета указывается код 2 («Дисконтный»).</w:t>
      </w:r>
    </w:p>
    <w:p>
      <w:pPr>
        <w:pStyle w:val="BodyText"/>
      </w:pPr>
      <w:r>
        <w:t xml:space="preserve">Подраздел 4.16</w:t>
      </w:r>
    </w:p>
    <w:p>
      <w:pPr>
        <w:pStyle w:val="BodyText"/>
      </w:pPr>
      <w:r>
        <w:t xml:space="preserve">Каким образом учитывать залог акций в следующих ситуациях:</w:t>
      </w:r>
    </w:p>
    <w:p>
      <w:pPr>
        <w:pStyle w:val="BodyText"/>
      </w:pPr>
      <w:r>
        <w:t xml:space="preserve">Залогодатель Иванов А.А. передает в залог 10 акций, затем тот же залогодатель Иванов А.А. передает в залог еще 90 акций ОАО «Компания». В данном случае требуется внесение двух объектов залога с разным ID или это является одним объектом залога с единым ID?</w:t>
      </w:r>
    </w:p>
    <w:p>
      <w:pPr>
        <w:pStyle w:val="BodyText"/>
      </w:pPr>
      <w:r>
        <w:t xml:space="preserve">Залогодатель Иванов А.А. передает в залог 10 акций, затем тот же залогодатель Иванов А.А. передает в залог еще 90 акций в ОАО «Компания». В дальнейшем залогодатель Иванов А.А. передает совокупные 100 акций в качестве последующего залога. В данном случае требуется внесение трех объектов залога с разным ID или это является одним объектом залога с единым ID?</w:t>
      </w:r>
    </w:p>
    <w:p>
      <w:pPr>
        <w:pStyle w:val="BodyText"/>
      </w:pPr>
      <w:r>
        <w:t xml:space="preserve">Залогодатель Иванов А.А. передает в залог 10 акций, затем залогодатель Петров А.А. передает в залог еще 90 акций ОАО «Компания». В данном случае требуется внесение двух объектов залога с разным ID или это является одним объектом залога с единым ID?</w:t>
      </w:r>
    </w:p>
    <w:p>
      <w:pPr>
        <w:pStyle w:val="BodyText"/>
      </w:pPr>
      <w:r>
        <w:t xml:space="preserve">Обновлено: 31.01.2025</w:t>
      </w:r>
    </w:p>
    <w:p>
      <w:pPr>
        <w:pStyle w:val="BodyText"/>
      </w:pPr>
      <w:r>
        <w:t xml:space="preserve">В случае, если в залог переданы акции эмитента (в любом количестве), такому предмету залога присваивается отдельный идентификационный код предмета залога.</w:t>
      </w:r>
    </w:p>
    <w:p>
      <w:pPr>
        <w:pStyle w:val="BodyText"/>
      </w:pPr>
      <w:r>
        <w:t xml:space="preserve">Соответственно:</w:t>
      </w:r>
    </w:p>
    <w:p>
      <w:pPr>
        <w:pStyle w:val="BodyText"/>
      </w:pPr>
      <w:r>
        <w:t xml:space="preserve">в ситуациях 1 и 3 кредитная организация в подразделе 4.16 Отчета отражает сведения о двух объектах: двух пакетах акций (10 и 90 шт.), которым кредитная организация присваивает различные идентификационные коды предмета залога;</w:t>
      </w:r>
    </w:p>
    <w:p>
      <w:pPr>
        <w:pStyle w:val="BodyText"/>
      </w:pPr>
      <w:r>
        <w:t xml:space="preserve">в ситуации 2 кредитная организация в подразделе 4.16 Отчета отражает сведения о трех объектах: трех пакетах акций (в размере 10, 90 и 100 шт.), которым кредитная организация присваивает различные идентификационные коды предмета залога.</w:t>
      </w:r>
    </w:p>
    <w:p>
      <w:pPr>
        <w:pStyle w:val="BodyText"/>
      </w:pPr>
      <w:r>
        <w:t xml:space="preserve">Правильно ли мы понимаем, что если выпуску ценных бумаг присвоен Государственный регистрационный номер, то значения граф 5 и 6 подраздела 4.16 должны быть заполнены и будут иметь одинаковые значения. В противном случае графы 5 и 6 могут быть не заполнены.</w:t>
      </w:r>
    </w:p>
    <w:p>
      <w:pPr>
        <w:pStyle w:val="BodyText"/>
      </w:pPr>
      <w:r>
        <w:t xml:space="preserve">Обновлено: 31.01.2025</w:t>
      </w:r>
    </w:p>
    <w:p>
      <w:pPr>
        <w:pStyle w:val="BodyText"/>
      </w:pPr>
      <w:r>
        <w:t xml:space="preserve">Не правильно.</w:t>
      </w:r>
    </w:p>
    <w:p>
      <w:pPr>
        <w:pStyle w:val="BodyText"/>
      </w:pPr>
      <w:r>
        <w:t xml:space="preserve">В рассматриваемом случае подлежит заполнению графа 5 «Регистрационный номер выпуска ценных бумаг» и не заполняется графа 6 «Идентификационный номер выпуска ценных бумаг».</w:t>
      </w:r>
    </w:p>
    <w:p>
      <w:pPr>
        <w:pStyle w:val="BodyText"/>
      </w:pPr>
      <w:r>
        <w:t xml:space="preserve">Просим уточнить, к какому виду 310-й формы следует относить некотируемые акции нерезидентов – к прочим ценным бумагам или эмиссионным?</w:t>
      </w:r>
    </w:p>
    <w:p>
      <w:pPr>
        <w:pStyle w:val="BodyText"/>
      </w:pPr>
      <w:r>
        <w:t xml:space="preserve">Обновлено: 02.02.2026</w:t>
      </w:r>
    </w:p>
    <w:p>
      <w:pPr>
        <w:pStyle w:val="BodyText"/>
      </w:pPr>
      <w:r>
        <w:t xml:space="preserve">Указанием Банка России от 17.04.2025 № 7047-У внесено следующее изменение: в графе 2 подраздела 4.16 указывается тип ценной бумаги с использованием кодов, применяемых в целях заполнения графы 12 подраздела 1.1 раздела 1 отчетности по форме 0409711 «Отчет по ценным бумагам и цифровым правам», указанных в подпункте 2.1.13 пункта 2.1 Порядка составления и представления отчетности по форме 0409711.</w:t>
      </w:r>
    </w:p>
    <w:p>
      <w:pPr>
        <w:pStyle w:val="BodyText"/>
      </w:pPr>
      <w:r>
        <w:t xml:space="preserve">Справочник формы 0409711 для акций нерезидентов предусматривает ряд кодов.</w:t>
      </w:r>
    </w:p>
    <w:p>
      <w:pPr>
        <w:pStyle w:val="BodyText"/>
      </w:pPr>
      <w:r>
        <w:t xml:space="preserve">Решение об отнесении акций нерезидента к тому или иному коду отчитывающаяся кредитная организация принимает самостоятельно с учетом информации о категории акций (обыкновенные, привилегированные) и об эмитенте.</w:t>
      </w:r>
    </w:p>
    <w:p>
      <w:pPr>
        <w:pStyle w:val="BodyText"/>
      </w:pPr>
      <w:r>
        <w:t xml:space="preserve">Подраздел 4.19</w:t>
      </w:r>
    </w:p>
    <w:p>
      <w:pPr>
        <w:pStyle w:val="BodyText"/>
      </w:pPr>
      <w:r>
        <w:t xml:space="preserve">Правильно ли мы понимаем, что в подразделе 4.19 для закладных графа 3 не заполняется, а в графе 4 указывается номер регистрации ипотеки? Верно ли, что если предметом ипотеки является несколько объектов недвижимости, то в графе 4 указывается номер регистрации ипотеки первого указанного в закладной объекта недвижимости (аналогично требованиям к форме 0409711)?</w:t>
      </w:r>
    </w:p>
    <w:p>
      <w:pPr>
        <w:pStyle w:val="BodyText"/>
      </w:pPr>
      <w:r>
        <w:t xml:space="preserve">Обновлено: 01.10.2020</w:t>
      </w:r>
    </w:p>
    <w:p>
      <w:pPr>
        <w:pStyle w:val="BodyText"/>
      </w:pPr>
      <w:r>
        <w:t xml:space="preserve">Верно (в соответствии с пунктом 1.1 статьи 14 Федерального закона от 16.07.1998 № 102-ФЗ «Об ипотеке (залоге недвижимости)»).</w:t>
      </w:r>
    </w:p>
    <w:p>
      <w:pPr>
        <w:pStyle w:val="BodyText"/>
      </w:pPr>
      <w:r>
        <w:t xml:space="preserve">Подраздел 4.20</w:t>
      </w:r>
    </w:p>
    <w:p>
      <w:pPr>
        <w:pStyle w:val="BodyText"/>
      </w:pPr>
      <w:r>
        <w:t xml:space="preserve">В обеспечение кредитного договора, предоставленного на финансирование лизинговой деятельности заемщика, в Банке заключен договор залога, согласно которому залогодатель уступает Банку все денежные требования, вытекающие из договоров лизинга, заключенных между залогодателем (лизингодателем) и его контрагентами (лизингополучателями).</w:t>
      </w:r>
    </w:p>
    <w:p>
      <w:pPr>
        <w:pStyle w:val="BodyText"/>
      </w:pPr>
      <w:r>
        <w:t xml:space="preserve">Правильно ли мы понимаем, что указанный договор залога подлежит отражению в подразделе 4.20 «Сведения о прочих имущественных правах (требованиях) ф. 0409310 с указанием в гр. 2 вида «право требования»?</w:t>
      </w:r>
    </w:p>
    <w:p>
      <w:pPr>
        <w:pStyle w:val="BodyText"/>
      </w:pPr>
      <w:r>
        <w:t xml:space="preserve">Обновлено: 08.02.2024</w:t>
      </w:r>
    </w:p>
    <w:p>
      <w:pPr>
        <w:pStyle w:val="BodyText"/>
      </w:pPr>
      <w:r>
        <w:t xml:space="preserve">Сведения об указанных имущественных правах подлежат отражению в подразделе 4.20 Отчета. При этом в графе 2 указывается код 2.</w:t>
      </w:r>
    </w:p>
    <w:p>
      <w:pPr>
        <w:pStyle w:val="BodyText"/>
      </w:pPr>
      <w:r>
        <w:t xml:space="preserve">Информация в подразделе 4.20 отражается в разрезе имущественных прав (требований). Правам (требованиям), вытекающим из обязательств, возникших из нескольких договоров, должны быть присвоены несколько идентификационных кодов предмета залога.</w:t>
      </w:r>
    </w:p>
    <w:p>
      <w:pPr>
        <w:pStyle w:val="BodyText"/>
      </w:pPr>
      <w:r>
        <w:t xml:space="preserve">Таким образом, в рассматриваемом случае в подразделе 1.3 Отчета должна быть указана связь одного договора залога с переданными в залог правами (требованиями), вытекающими из обязательств, возникших из нескольких договоров лизинга (которым, соответственно, присвоено несколько идентификационных кодов предметов залога).</w:t>
      </w:r>
    </w:p>
    <w:p>
      <w:pPr>
        <w:pStyle w:val="BodyText"/>
      </w:pPr>
      <w:r>
        <w:t xml:space="preserve">Подраздел 4.21</w:t>
      </w:r>
    </w:p>
    <w:p>
      <w:pPr>
        <w:pStyle w:val="BodyText"/>
      </w:pPr>
      <w:r>
        <w:t xml:space="preserve">Если в залог по кредитному договору принято, в частности, несколько тысяч мелких предметов, указанных в составе договора залога по их количеству, например, «полка» — количество — 100 штук, «стулья» — количество — 500 штук, каким образом корректно их отразить в составе отчетной формы?</w:t>
      </w:r>
    </w:p>
    <w:p>
      <w:pPr>
        <w:pStyle w:val="BodyText"/>
      </w:pPr>
      <w:r>
        <w:t xml:space="preserve">Обновлено: 08.02.2024</w:t>
      </w:r>
    </w:p>
    <w:p>
      <w:pPr>
        <w:pStyle w:val="BodyText"/>
      </w:pPr>
      <w:r>
        <w:t xml:space="preserve">Для движимых вещей, прямо не указанных по тексту Порядка, предусмотрены подразделы 4.21 «Сведения о прочих движимых вещах (однородные группы)» и 4.22 «Сведения о прочих движимых вещах (объекты)».</w:t>
      </w:r>
    </w:p>
    <w:p>
      <w:pPr>
        <w:pStyle w:val="BodyText"/>
      </w:pPr>
      <w:r>
        <w:t xml:space="preserve">Информация в подразделе 4.21 Отчета отражается в разрезе однородных групп прочих движимых вещей.</w:t>
      </w:r>
    </w:p>
    <w:p>
      <w:pPr>
        <w:pStyle w:val="BodyText"/>
      </w:pPr>
      <w:r>
        <w:t xml:space="preserve">Соответственно, указанному имуществу (мебели) может быть присвоен один идентификационный код предмета залога.</w:t>
      </w:r>
    </w:p>
    <w:p>
      <w:pPr>
        <w:pStyle w:val="BodyText"/>
      </w:pPr>
      <w:r>
        <w:t xml:space="preserve">Подраздел 5.2</w:t>
      </w:r>
    </w:p>
    <w:p>
      <w:pPr>
        <w:pStyle w:val="BodyText"/>
      </w:pPr>
      <w:r>
        <w:t xml:space="preserve">С помощью какого идентификатора можно определить, что физическое лицо занимается в установленном законодательством РФ порядке частной практикой? Сведения об ИНН такого лица аналогичны остальным физическим лицам. В Налоговом кодексе РФ нет описания порядка идентификации таких клиентов.</w:t>
      </w:r>
    </w:p>
    <w:p>
      <w:pPr>
        <w:pStyle w:val="BodyText"/>
      </w:pPr>
      <w:r>
        <w:t xml:space="preserve">Обновлено: 01.10.2020</w:t>
      </w:r>
    </w:p>
    <w:p>
      <w:pPr>
        <w:pStyle w:val="BodyText"/>
      </w:pPr>
      <w:r>
        <w:t xml:space="preserve">На основании информации, предоставленной клиентом при проведении кредитной организацией его идентификации в соответствии с требованиями Положения Банка России от 15.10.2015 № 499-П «Об идентификации кредитными организациями клиентов, представителей клиента, выгодоприобретателей и бенефициарных владельцев в целях противодействия легализации (отмыванию) доходов, полученных преступным путем, и финансированию терроризма».</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2026-09-27T11:01:31Z</dcterms:created>
  <dcterms:modified xsi:type="dcterms:W3CDTF">2026-09-27T11:01:31Z</dcterms:modified>
</cp:coreProperties>
</file>

<file path=docProps/custom.xml><?xml version="1.0" encoding="utf-8"?>
<Properties xmlns="http://schemas.openxmlformats.org/officeDocument/2006/custom-properties" xmlns:vt="http://schemas.openxmlformats.org/officeDocument/2006/docPropsVTypes"/>
</file>