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3169d011edec74e9a2f823af850573f1afd4140"/>
    <w:p>
      <w:pPr>
        <w:pStyle w:val="Heading1"/>
      </w:pPr>
      <w:r>
        <w:t xml:space="preserve">Отчетность по форме 0409702 «Информация о неисполненных сделках»</w:t>
      </w:r>
    </w:p>
    <w:p>
      <w:pPr>
        <w:pStyle w:val="FirstParagraph"/>
      </w:pPr>
      <w:r>
        <w:t xml:space="preserve">Отчетность по форме 0409702 «Информация о неисполненных сделках»</w:t>
      </w:r>
    </w:p>
    <w:p>
      <w:pPr>
        <w:pStyle w:val="BodyText"/>
      </w:pPr>
      <w:r>
        <w:t xml:space="preserve">Новые разъяснения</w:t>
      </w:r>
    </w:p>
    <w:p>
      <w:pPr>
        <w:pStyle w:val="BodyText"/>
      </w:pPr>
      <w:r>
        <w:t xml:space="preserve">Правильно ли, что кредитная организация обязана представить первый Отчет по форме 0409702 за период с 1 по 14 сентября, т.е. на 15 сентября, не позднее 22 сентября 2017 года.</w:t>
      </w:r>
    </w:p>
    <w:p>
      <w:pPr>
        <w:pStyle w:val="BodyText"/>
      </w:pPr>
      <w:r>
        <w:t xml:space="preserve">Обновлено: 19.02.2020</w:t>
      </w:r>
    </w:p>
    <w:p>
      <w:pPr>
        <w:pStyle w:val="BodyText"/>
      </w:pPr>
      <w:r>
        <w:t xml:space="preserve">Да, верно. В соответствии с пунктом 1.2 Порядка, “отчет предоставляется с 1-го числа каждого месяца включительно по 14-е число каждого месяца включительно; не позднее 5-го рабочего дня после отчетной даты.</w:t>
      </w:r>
    </w:p>
    <w:p>
      <w:pPr>
        <w:pStyle w:val="BodyText"/>
      </w:pPr>
      <w:r>
        <w:t xml:space="preserve">Если нет сделок с неисполненными обязательствами и, соответственно, форма с нулевыми строками, нужно ли направлять «нулевую» форму 0409702?</w:t>
      </w:r>
    </w:p>
    <w:p>
      <w:pPr>
        <w:pStyle w:val="BodyText"/>
      </w:pPr>
      <w:r>
        <w:t xml:space="preserve">Обновлено: 19.02.2020</w:t>
      </w:r>
    </w:p>
    <w:p>
      <w:pPr>
        <w:pStyle w:val="BodyText"/>
      </w:pPr>
      <w:r>
        <w:t xml:space="preserve">Да, пустой отчет сдавать нужно. Для этого предусмотрена возможность отправки пустого отчета в ПО (ПК KliKO или ПТК ПСД).</w:t>
      </w:r>
    </w:p>
    <w:p>
      <w:pPr>
        <w:pStyle w:val="BodyText"/>
      </w:pPr>
      <w:r>
        <w:t xml:space="preserve">Подлежит ли отражению сделка, если она представлена в Отчете на предыдущие даты, является неисполненной на отчетную дату и в отчетную дату не изменилась информация по сделке?</w:t>
      </w:r>
    </w:p>
    <w:p>
      <w:pPr>
        <w:pStyle w:val="BodyText"/>
      </w:pPr>
      <w:r>
        <w:t xml:space="preserve">Обновлено: 19.02.2020</w:t>
      </w:r>
    </w:p>
    <w:p>
      <w:pPr>
        <w:pStyle w:val="BodyText"/>
      </w:pPr>
      <w:r>
        <w:t xml:space="preserve">Да, подлежит (п. 2.2 Порядка).</w:t>
      </w:r>
    </w:p>
    <w:p>
      <w:pPr>
        <w:pStyle w:val="BodyText"/>
      </w:pPr>
      <w:r>
        <w:t xml:space="preserve">Если в отчетном периоде произошло как неисполнение обязательств, так и его дальнейшее исполнение до наступления отчетной даты, подлежат ли данные сделки отражению в Отчете.</w:t>
      </w:r>
    </w:p>
    <w:p>
      <w:pPr>
        <w:pStyle w:val="BodyText"/>
      </w:pPr>
      <w:r>
        <w:t xml:space="preserve">Обновлено: 19.02.2020</w:t>
      </w:r>
    </w:p>
    <w:p>
      <w:pPr>
        <w:pStyle w:val="BodyText"/>
      </w:pPr>
      <w:r>
        <w:t xml:space="preserve">Данные сделки отражению в Отчете не подлежат (п. 2.1 Порядка).</w:t>
      </w:r>
    </w:p>
    <w:p>
      <w:pPr>
        <w:pStyle w:val="BodyText"/>
      </w:pPr>
      <w:r>
        <w:t xml:space="preserve">Считаются ли сделки, заключенные с кредитной организацией в качестве агента, «сделками, заключенными в интересах третьих лиц (отчитывающаяся КО выступает в роли финансового посредника)»? В частности, должна ли быть включена в периметр Отчета сделка ПФИ, в которой кредитная организация выступает в качестве посредника при расчетах.</w:t>
      </w:r>
    </w:p>
    <w:p>
      <w:pPr>
        <w:pStyle w:val="BodyText"/>
      </w:pPr>
      <w:r>
        <w:t xml:space="preserve">Обновлено: 19.02.2020</w:t>
      </w:r>
    </w:p>
    <w:p>
      <w:pPr>
        <w:pStyle w:val="BodyText"/>
      </w:pPr>
      <w:r>
        <w:t xml:space="preserve">Да, сделки, заключенные кредитной организацией в качестве агента, подпадают под критерий сделок, заключаемых в интересах третьих лиц (отчитывающаяся кредитная организация выступает в роли финансового посредника) (п. 2.3 Порядка).</w:t>
      </w:r>
    </w:p>
    <w:p>
      <w:pPr>
        <w:pStyle w:val="BodyText"/>
      </w:pPr>
      <w:r>
        <w:t xml:space="preserve">Какова пороговая сумма по сделкам в драгоценных металлах (граммы, унции либо эквивалент) и физической поставки ценных бумаг (штуки, стоимость номинала, стоимость по контракту, справедливая стоимость и др.)?</w:t>
      </w:r>
    </w:p>
    <w:p>
      <w:pPr>
        <w:pStyle w:val="BodyText"/>
      </w:pPr>
      <w:r>
        <w:t xml:space="preserve">Обновлено: 19.02.2020</w:t>
      </w:r>
    </w:p>
    <w:p>
      <w:pPr>
        <w:pStyle w:val="BodyText"/>
      </w:pPr>
      <w:r>
        <w:t xml:space="preserve">В графах 19 и 20 Отчета указываются объемы неисполненных обязательств первой/второй стороной сделки, в тысячах единиц соответствующей валюты (п. 3.10). Объем неисполненных обязательств указывается в валюте расчетов (по сделке), а соответствующий тип актива отражается в графах 26 и 27 (п. 3.16).</w:t>
      </w:r>
    </w:p>
    <w:p>
      <w:pPr>
        <w:pStyle w:val="BodyText"/>
      </w:pPr>
      <w:r>
        <w:t xml:space="preserve">Что понимается под объемом требований (обязательств) для определения порога по процентным и беспоставочным ПФИ, если обязательства (платежи, нетто-платежи) зависят от уровня будущей процентной ставки (индексов, учетных цен) и общий объем на отчетную дату неизвестен?</w:t>
      </w:r>
    </w:p>
    <w:p>
      <w:pPr>
        <w:pStyle w:val="BodyText"/>
      </w:pPr>
      <w:r>
        <w:t xml:space="preserve">Обновлено: 19.02.2020</w:t>
      </w:r>
    </w:p>
    <w:p>
      <w:pPr>
        <w:pStyle w:val="BodyText"/>
      </w:pPr>
      <w:r>
        <w:t xml:space="preserve">В графах 19 и 20 показывается объем неисполненных обязательств относительно фактической суммы неисполнения по ПФИ на дату отчета.</w:t>
      </w:r>
    </w:p>
    <w:p>
      <w:pPr>
        <w:pStyle w:val="BodyText"/>
      </w:pPr>
      <w:r>
        <w:t xml:space="preserve">Каким образом в Отчете необходимо отражать сделку, по которой объем обязательств варьирует по отношению к пороговому значению в различные отчетные периоды (во всех отчетных периодах до момента исполнения либо только до момента достижения порогового значения)?</w:t>
      </w:r>
    </w:p>
    <w:p>
      <w:pPr>
        <w:pStyle w:val="BodyText"/>
      </w:pPr>
      <w:r>
        <w:t xml:space="preserve">Обновлено: 19.02.2020</w:t>
      </w:r>
    </w:p>
    <w:p>
      <w:pPr>
        <w:pStyle w:val="BodyText"/>
      </w:pPr>
      <w:r>
        <w:t xml:space="preserve">Нужно указывать объем неисполненных обязательств на дату составления Отчета.</w:t>
      </w:r>
    </w:p>
    <w:p>
      <w:pPr>
        <w:pStyle w:val="BodyText"/>
      </w:pPr>
      <w:r>
        <w:t xml:space="preserve">Можно ли для получения кода LEI использовать данные «НРД» (lei-code.ru/db/guide)? Если код LEI отсутствует, какую информацию необходимо отражать в графе 8, можно ли оставлять ее незаполненной?</w:t>
      </w:r>
    </w:p>
    <w:p>
      <w:pPr>
        <w:pStyle w:val="BodyText"/>
      </w:pPr>
      <w:r>
        <w:t xml:space="preserve">Обновлено: 19.02.2020</w:t>
      </w:r>
    </w:p>
    <w:p>
      <w:pPr>
        <w:pStyle w:val="BodyText"/>
      </w:pPr>
      <w:r>
        <w:t xml:space="preserve">Нет. Полная база всех кодов LEI для участников находится здесь . Если кода LEI нет, тогда графа 8 не заполняется. Помимо графы 8, заполняется графа 7, которая позволяет определить клиента кредитной организации (п. 3.6 Порядка).</w:t>
      </w:r>
    </w:p>
    <w:p>
      <w:pPr>
        <w:pStyle w:val="BodyText"/>
      </w:pPr>
      <w:r>
        <w:t xml:space="preserve">Правильно ли, что п. 2.4 Порядка исключает из Отчета только кредитные и депозитные сделки с нефинансовыми организациями (т.е. юридическое лицо) и не устанавливает такого рода ограничения на сделки репо и ПФИ?</w:t>
      </w:r>
    </w:p>
    <w:p>
      <w:pPr>
        <w:pStyle w:val="BodyText"/>
      </w:pPr>
      <w:r>
        <w:t xml:space="preserve">Обновлено: 19.02.2020</w:t>
      </w:r>
    </w:p>
    <w:p>
      <w:pPr>
        <w:pStyle w:val="BodyText"/>
      </w:pPr>
      <w:r>
        <w:t xml:space="preserve">Да, такие ограничения не действуют по отношению к репо и ПФИ.</w:t>
      </w:r>
    </w:p>
    <w:p>
      <w:pPr>
        <w:pStyle w:val="BodyText"/>
      </w:pPr>
      <w:r>
        <w:t xml:space="preserve">Попадает ли в отчет договор ПФИ, встроенный в кредитный договор с нефинансовой организацией?</w:t>
      </w:r>
    </w:p>
    <w:p>
      <w:pPr>
        <w:pStyle w:val="BodyText"/>
      </w:pPr>
      <w:r>
        <w:t xml:space="preserve">Обновлено: 19.02.2020</w:t>
      </w:r>
    </w:p>
    <w:p>
      <w:pPr>
        <w:pStyle w:val="BodyText"/>
      </w:pPr>
      <w:r>
        <w:t xml:space="preserve">Нет, не попадает. Положение Банка России от 04.07.2011 № 372-П «О порядке бухгалтерского учета производных финансовых инструментов» не распространяется на кредитный договор со встроенным производным инструментом, не отделяемым от основного договора.</w:t>
      </w:r>
    </w:p>
    <w:p>
      <w:pPr>
        <w:pStyle w:val="BodyText"/>
      </w:pPr>
      <w:r>
        <w:t xml:space="preserve">Правильно ли, что в графах 16 и 18 в качестве первоначальной суммы обязательств по беспоставочным ПФИ указывается нетто-сумма первоначального платежа, при этом у одной из сторон будет указан ноль?</w:t>
      </w:r>
    </w:p>
    <w:p>
      <w:pPr>
        <w:pStyle w:val="BodyText"/>
      </w:pPr>
      <w:r>
        <w:t xml:space="preserve">Обновлено: 19.02.2020</w:t>
      </w:r>
    </w:p>
    <w:p>
      <w:pPr>
        <w:pStyle w:val="BodyText"/>
      </w:pPr>
      <w:r>
        <w:t xml:space="preserve">Да, верно.</w:t>
      </w:r>
    </w:p>
    <w:p>
      <w:pPr>
        <w:pStyle w:val="BodyText"/>
      </w:pPr>
      <w:r>
        <w:t xml:space="preserve">В соответствии с Порядком значения граф 26 и 27 должны соответствовать графам 19 и 20 (предпоследний абзац п. 3.16). В то же время графы 15–20 предназначены для отражения обязательств в валюте, а в графах 19 и 20 могут отражаться коды драгоценных металлов и ценных бумаг. Как следует заполнять графы 15–20 (например, для договоров, предполагающих физическую поставку драгоценных металлов или ценных бумаг)?</w:t>
      </w:r>
    </w:p>
    <w:p>
      <w:pPr>
        <w:pStyle w:val="BodyText"/>
      </w:pPr>
      <w:r>
        <w:t xml:space="preserve">Обновлено: 19.02.2020</w:t>
      </w:r>
    </w:p>
    <w:p>
      <w:pPr>
        <w:pStyle w:val="BodyText"/>
      </w:pPr>
      <w:r>
        <w:t xml:space="preserve">В графах 19 и 20 указывается объем неисполненных обязательств в тысячах единиц соответствующей валюты, представленной в графах 15 и 17. Если неисполнение происходит по активу, то стоимость актива указывается в тысячах единиц валюты актива. Если валюту актива определить невозможно, то указывается сумма обязательств по курсу рубля Банка России на дату отчета.</w:t>
      </w:r>
    </w:p>
    <w:p>
      <w:pPr>
        <w:pStyle w:val="BodyText"/>
      </w:pPr>
      <w:r>
        <w:t xml:space="preserve">Банк заключает сделки с ПФИ, расчеты по которым проходят на условиях неттинга. Требования к контрагенту по указанным сделкам отражаются на б/сч № 47408 «Расчеты по конверсионным операциям, производным финансовым инструментам и прочим договорам (сделкам), по которым расчеты и поставка осуществляются не ранее следующего дня после дня заключения договора (сделки)». В соответствии с условиями договора, при неисполнении контрагентом обязательств по сделке банк не исполняет свои обязательства. В связи с этим основания для переноса на счета по учету просроченной задолженности указанных требований отсутствуют. При неисполнении контрагентом обязательств по неттингу перенос нетто-требования с б/сч № 47408 на счета по учету просроченной ссудной задолженности не производится. С учетом вышеизложенного следует ли рассматривать задолженность контрагента в качестве просроченной, если первая сторона по сделке (банк) является нетто-кредитором? Пример: 12.01.ГГГГ в неттинг вошли две сделки ПФИ FORWARD № 1 и № 2 с контрагентом А. По сделке № 1 FORWARD банк продает контрагенту А 150 000 000 евро за 159 026 250 долл. США. Сумма требований банка — 159 026 250 долл. США. По сделке № 2 FORWARD банк покупает у контрагента А 150 000 000 евро за 147 860 000 долл. США. Сумма обязательств банка — 147 860 000 долл. США. По итогам неттинга банк является нетто-кредитором. Сделка не была исполнена в дату, определенную договором, по вине контрагента A. Нетто-требования банка в сумме 11 166 250 долл. США отражены на счете № 47408. Каковы методические рекомендации по отражению указанной сделки в форме 0409702?</w:t>
      </w:r>
    </w:p>
    <w:p>
      <w:pPr>
        <w:pStyle w:val="BodyText"/>
      </w:pPr>
      <w:r>
        <w:t xml:space="preserve">Обновлено: 19.02.2020</w:t>
      </w:r>
    </w:p>
    <w:p>
      <w:pPr>
        <w:pStyle w:val="BodyText"/>
      </w:pPr>
      <w:r>
        <w:t xml:space="preserve">Да, задолженность следует рассматривать как просроченную. Для банка возникают потери в размере 11 166 250 долл. США. В данном случае заполняются основные поля, позволяющие выделить сделку, даты (дата возникновения потерь как дата неисполнения очередного планового обязательства), коды сторон по сделке, поле «Код валюты», объем неисполненных обязательств второй стороны сделки в тысячах единиц соответствующей валюты, поле «Непоставка по неттингу», коды активов и другие необходимые поля.</w:t>
      </w:r>
    </w:p>
    <w:p>
      <w:pPr>
        <w:pStyle w:val="BodyText"/>
      </w:pPr>
      <w:r>
        <w:t xml:space="preserve">Нетто-требования банка в сумме 11 166 250 долл. США отражены на счете № 47408.</w:t>
      </w:r>
    </w:p>
    <w:p>
      <w:pPr>
        <w:pStyle w:val="BodyText"/>
      </w:pPr>
      <w:r>
        <w:t xml:space="preserve">По сделке № 2 FORWARD банк покупает у контрагента А 150 000 000 евро за 147 860 000 долл. США. Сумма обязательств банка — 147 860 000 долл. США.</w:t>
      </w:r>
    </w:p>
    <w:p>
      <w:pPr>
        <w:pStyle w:val="BodyText"/>
      </w:pPr>
      <w:r>
        <w:t xml:space="preserve">12.01.ГГГГ в неттинг вошли две сделки ПФИ FORWARD № 1 и № 2 с контрагентом А.</w:t>
      </w:r>
    </w:p>
    <w:p>
      <w:pPr>
        <w:pStyle w:val="BodyText"/>
      </w:pPr>
      <w:r>
        <w:t xml:space="preserve">С учетом вышеизложенного следует ли рассматривать задолженность контрагента в качестве просроченной, если первая сторона по сделке (банк) является нетто-кредитором?</w:t>
      </w:r>
    </w:p>
    <w:p>
      <w:pPr>
        <w:pStyle w:val="BodyText"/>
      </w:pPr>
      <w:r>
        <w:t xml:space="preserve">Правильно ли, что при отражении в Отчете сделок кредитования и заимствования в графе 4 «Дата расчетов по первой части сделки» необходимо указать дату выдачи кредита?</w:t>
      </w:r>
    </w:p>
    <w:p>
      <w:pPr>
        <w:pStyle w:val="BodyText"/>
      </w:pPr>
      <w:r>
        <w:t xml:space="preserve">Обновлено: 19.02.2020</w:t>
      </w:r>
    </w:p>
    <w:p>
      <w:pPr>
        <w:pStyle w:val="BodyText"/>
      </w:pPr>
      <w:r>
        <w:t xml:space="preserve">Верно.</w:t>
      </w:r>
    </w:p>
    <w:p>
      <w:pPr>
        <w:pStyle w:val="BodyText"/>
      </w:pPr>
      <w:r>
        <w:t xml:space="preserve">Правильно ли, что при отражении в Отчете сделок кредитования и заимствования в графе 5 «Дата расчетов по второй части сделки» необходимо указать плановую дату погашения кредита?</w:t>
      </w:r>
    </w:p>
    <w:p>
      <w:pPr>
        <w:pStyle w:val="BodyText"/>
      </w:pPr>
      <w:r>
        <w:t xml:space="preserve">Обновлено: 19.02.2020</w:t>
      </w:r>
    </w:p>
    <w:p>
      <w:pPr>
        <w:pStyle w:val="BodyText"/>
      </w:pPr>
      <w:r>
        <w:t xml:space="preserve">Верно.</w:t>
      </w:r>
    </w:p>
    <w:p>
      <w:pPr>
        <w:pStyle w:val="BodyText"/>
      </w:pPr>
      <w:r>
        <w:t xml:space="preserve">Правильно ли, что при отражении в отчете сделок ПФИ SWAP первая и вторая части сделок отражаются в двух строках Отчета?</w:t>
      </w:r>
    </w:p>
    <w:p>
      <w:pPr>
        <w:pStyle w:val="BodyText"/>
      </w:pPr>
      <w:r>
        <w:t xml:space="preserve">Обновлено: 19.02.2020</w:t>
      </w:r>
    </w:p>
    <w:p>
      <w:pPr>
        <w:pStyle w:val="BodyText"/>
      </w:pPr>
      <w:r>
        <w:t xml:space="preserve">Первая и вторая части сделок отражаются в одной строке.</w:t>
      </w:r>
    </w:p>
    <w:p>
      <w:pPr>
        <w:pStyle w:val="BodyText"/>
      </w:pPr>
      <w:r>
        <w:t xml:space="preserve">Правильно ли, что при отражении в Отчете сделок ПФИ SWAP в графе 4 «Дата расчетов по первой части сделки» необходимо указать дату заключения сделки?</w:t>
      </w:r>
    </w:p>
    <w:p>
      <w:pPr>
        <w:pStyle w:val="BodyText"/>
      </w:pPr>
      <w:r>
        <w:t xml:space="preserve">Обновлено: 19.02.2020</w:t>
      </w:r>
    </w:p>
    <w:p>
      <w:pPr>
        <w:pStyle w:val="BodyText"/>
      </w:pPr>
      <w:r>
        <w:t xml:space="preserve">Нет, дата заключения сделки отражается в графе 3.</w:t>
      </w:r>
    </w:p>
    <w:p>
      <w:pPr>
        <w:pStyle w:val="BodyText"/>
      </w:pPr>
      <w:r>
        <w:t xml:space="preserve">Правильно ли, что при отражении в Отчете сделок ПФИ SWAP в графе 5 «Дата расчетов по второй части сделки» необходимо указать плановую дату расчетов по первой/второй части сделки?</w:t>
      </w:r>
    </w:p>
    <w:p>
      <w:pPr>
        <w:pStyle w:val="BodyText"/>
      </w:pPr>
      <w:r>
        <w:t xml:space="preserve">Обновлено: 19.02.2020</w:t>
      </w:r>
    </w:p>
    <w:p>
      <w:pPr>
        <w:pStyle w:val="BodyText"/>
      </w:pPr>
      <w:r>
        <w:t xml:space="preserve">Нет, плановая дата расчетов по первой части сделки указывается в графе 4, а по второй части сделки — в графе 5.</w:t>
      </w:r>
    </w:p>
    <w:p>
      <w:pPr>
        <w:pStyle w:val="BodyText"/>
      </w:pPr>
      <w:r>
        <w:t xml:space="preserve">Правильно ли, что при отражении в Отчете сделок ПФИ FORWARD в графе 4 «Дата расчетов по первой части сделки» необходимо указать дату заключения сделки?</w:t>
      </w:r>
    </w:p>
    <w:p>
      <w:pPr>
        <w:pStyle w:val="BodyText"/>
      </w:pPr>
      <w:r>
        <w:t xml:space="preserve">Обновлено: 19.02.2020</w:t>
      </w:r>
    </w:p>
    <w:p>
      <w:pPr>
        <w:pStyle w:val="BodyText"/>
      </w:pPr>
      <w:r>
        <w:t xml:space="preserve">Нет, в графе 3.</w:t>
      </w:r>
    </w:p>
    <w:p>
      <w:pPr>
        <w:pStyle w:val="BodyText"/>
      </w:pPr>
      <w:r>
        <w:t xml:space="preserve">Правильно ли, что при отражении в Отчете сделок ПФИ FORWARD в графе 5 «Дата расчетов по второй части сделки» необходимо указать плановую дату расчетов по сделке?</w:t>
      </w:r>
    </w:p>
    <w:p>
      <w:pPr>
        <w:pStyle w:val="BodyText"/>
      </w:pPr>
      <w:r>
        <w:t xml:space="preserve">Обновлено: 19.02.2020</w:t>
      </w:r>
    </w:p>
    <w:p>
      <w:pPr>
        <w:pStyle w:val="BodyText"/>
      </w:pPr>
      <w:r>
        <w:t xml:space="preserve">Да. Графу 4 заполнить так же, как и графу 5 (п. 3.3 Порядка).</w:t>
      </w:r>
    </w:p>
    <w:p>
      <w:pPr>
        <w:pStyle w:val="BodyText"/>
      </w:pPr>
      <w:r>
        <w:t xml:space="preserve">Подлежат ли отражению в Отчете внебиржевые сделки, заключенные на рынке стандартизированных производных финансовых инструментов Московской Биржи, при условии, что контрагентом по сделке будет Банк НКЦ?</w:t>
      </w:r>
    </w:p>
    <w:p>
      <w:pPr>
        <w:pStyle w:val="BodyText"/>
      </w:pPr>
      <w:r>
        <w:t xml:space="preserve">Обновлено: 19.02.2020</w:t>
      </w:r>
    </w:p>
    <w:p>
      <w:pPr>
        <w:pStyle w:val="BodyText"/>
      </w:pPr>
      <w:r>
        <w:t xml:space="preserve">Нет, указанные сделки отражению в отчете не подлежат, так как заключены на Московской Бирже (п. 2.4 Порядка).</w:t>
      </w:r>
    </w:p>
    <w:p>
      <w:pPr>
        <w:pStyle w:val="BodyText"/>
      </w:pPr>
      <w:r>
        <w:t xml:space="preserve">Рассматривается ли покупка Банком векселей контрагентов как сделка кредитования для отражения в форме 0409702?</w:t>
      </w:r>
    </w:p>
    <w:p>
      <w:pPr>
        <w:pStyle w:val="BodyText"/>
      </w:pPr>
      <w:r>
        <w:t xml:space="preserve">Обновлено: 19.02.2020</w:t>
      </w:r>
    </w:p>
    <w:p>
      <w:pPr>
        <w:pStyle w:val="BodyText"/>
      </w:pPr>
      <w:r>
        <w:t xml:space="preserve">Нет, данный вид сделок не входит в виды сделок, включаемых в Отчет 0409702 (гл. 2 Порядка).</w:t>
      </w:r>
    </w:p>
    <w:p>
      <w:pPr>
        <w:pStyle w:val="BodyText"/>
      </w:pPr>
      <w:r>
        <w:t xml:space="preserve">В соответствии с абзацем третьим п. 2.3 Порядка в Отчет включаются сделки с ПФИ. Правильно ли банк понимает, что договоры купли-продажи иностранной валюты, драгоценных металлов, ценных бумаг, не являющихся производными финансовыми инструментами, предусматривающими обязанность одной стороны передать иностранную валюту, драгоценные металлы, ценные бумаги в собственность другой стороне не ранее третьего рабочего дня после заключения договора, обязанность другой стороны принять и оплатить указанное имущество, порядок бухгалтерского учета по которым определен Положением Банка России от 04.07.2011 № 372-П «О порядке ведения бухгалтерского учета производных финансовых инструментов», не включаются в отчет?</w:t>
      </w:r>
    </w:p>
    <w:p>
      <w:pPr>
        <w:pStyle w:val="BodyText"/>
      </w:pPr>
      <w:r>
        <w:t xml:space="preserve">Обновлено: 19.02.2020</w:t>
      </w:r>
    </w:p>
    <w:p>
      <w:pPr>
        <w:pStyle w:val="BodyText"/>
      </w:pPr>
      <w:r>
        <w:t xml:space="preserve">Да, указанные сделки купли-продажи не включаются в форму 0409702.</w:t>
      </w:r>
    </w:p>
    <w:p>
      <w:pPr>
        <w:pStyle w:val="BodyText"/>
      </w:pPr>
      <w:r>
        <w:t xml:space="preserve">Вместе с тем следует использовать определение производного финансового инструмента, прописанное в Федеральном законе от 22.04.1996 № 39-ФЗ «О рынке ценных бумаг». Согласно ст. 2 данного закона, производный финансовый инструмент — договор, за исключением договора репо, предусматривающий одну или несколько следующих обязанностей:</w:t>
      </w:r>
    </w:p>
    <w:p>
      <w:pPr>
        <w:numPr>
          <w:ilvl w:val="0"/>
          <w:numId w:val="1001"/>
        </w:numPr>
      </w:pPr>
      <w:r>
        <w:t xml:space="preserve">обязанность сторон или стороны договора периодически или единовременно уплачивать денежные суммы, в том числе в случае предъявления требований другой стороной, в зависимости от изменения цен на товары, ценные бумаги, курса соответствующей валюты, величины процентных ставок, уровня инфляции, значений, рассчитываемых на основании цен производных финансовых инструментов, значений показателей, составляющих официальную статистическую информацию, значений физических, биологических и (или) химических показателей состояния окружающей среды, от наступления обстоятельства, свидетельствующего о неисполнении или ненадлежащем исполнении одним или несколькими юридическими лицами, государствами или муниципальными образованиями своих обязанностей (за исключением договора поручительства и договора страхования), либо иного обстоятельства, которое предусмотрено федеральным законом или нормативными актами Банка России и относительно которого неизвестно, наступит оно или не наступит, а также от изменения значений, рассчитываемых на основании одного или совокупности нескольких указанных в настоящем пункте показателей. При этом такой договор может также предусматривать обязанность сторон или стороны договора передать другой стороне ценные бумаги, товар или валюту либо обязанность заключить договор, являющийся производным финансовым инструментом;</w:t>
      </w:r>
    </w:p>
    <w:p>
      <w:pPr>
        <w:numPr>
          <w:ilvl w:val="0"/>
          <w:numId w:val="1001"/>
        </w:numPr>
      </w:pPr>
      <w:r>
        <w:t xml:space="preserve">обязанность сторон или стороны на условиях, определенных при заключении договора, в случае предъявления требования другой стороной купить или продать ценные бумаги, валюту или товар либо заключить договор, являющийся производным финансовым инструментом;</w:t>
      </w:r>
    </w:p>
    <w:p>
      <w:pPr>
        <w:numPr>
          <w:ilvl w:val="0"/>
          <w:numId w:val="1001"/>
        </w:numPr>
      </w:pPr>
      <w:r>
        <w:t xml:space="preserve">обязанность одной стороны передать ценные бумаги, валюту или товар в собственность другой стороне не ранее третьего дня после дня заключения договора, обязанность другой стороны принять и оплатить указанное имущество и указание на то, что такой договор является производным финансовым инструментом.</w:t>
      </w:r>
    </w:p>
    <w:p>
      <w:pPr>
        <w:pStyle w:val="FirstParagraph"/>
      </w:pPr>
      <w:r>
        <w:t xml:space="preserve">Если удовлетворяется одна из трех формулировок, то договор является ПФИ.</w:t>
      </w:r>
    </w:p>
    <w:p>
      <w:pPr>
        <w:pStyle w:val="BodyText"/>
      </w:pPr>
      <w:r>
        <w:t xml:space="preserve">Например, если в договоре с расчетами T+3 не указывается, что это производный финансовый инструмент (п. 3 не выполняется), но один из двух других пунктов выполняется, то договор является ПФИ и попадает в отчет 0409702.</w:t>
      </w:r>
    </w:p>
    <w:p>
      <w:pPr>
        <w:pStyle w:val="BodyText"/>
      </w:pPr>
      <w:r>
        <w:t xml:space="preserve">Правильно ли, что в Отчете должны отражаться только те сделки, по которым не исполнились обязательства сторон и которые отражены на балансе кредитной организации по счетам учета просроченной задолженности?</w:t>
      </w:r>
    </w:p>
    <w:p>
      <w:pPr>
        <w:pStyle w:val="BodyText"/>
      </w:pPr>
      <w:r>
        <w:t xml:space="preserve">Обновлено: 19.02.2020</w:t>
      </w:r>
    </w:p>
    <w:p>
      <w:pPr>
        <w:pStyle w:val="BodyText"/>
      </w:pPr>
      <w:r>
        <w:t xml:space="preserve">В случае если сделки, сумма неисполненных обязательств которых отражена на балансе кредитной организации по счетам учета просроченной задолженности, соответствуют требованиям гл. 2 Порядка, то они отражаются в отчете 0409702.</w:t>
      </w:r>
    </w:p>
    <w:p>
      <w:pPr>
        <w:pStyle w:val="BodyText"/>
      </w:pPr>
      <w:r>
        <w:t xml:space="preserve">Должны ли отражаться в Отчете сделки, по которым обязательства сторон исполнились через несколько дней после плановой даты расчетов, требования и обязательства по которым до даты расчетов отражались на счетах гл. Г? Например, сделки на условиях «поставка против платежа» (DVP).</w:t>
      </w:r>
    </w:p>
    <w:p>
      <w:pPr>
        <w:pStyle w:val="BodyText"/>
      </w:pPr>
      <w:r>
        <w:t xml:space="preserve">Обновлено: 19.02.2020</w:t>
      </w:r>
    </w:p>
    <w:p>
      <w:pPr>
        <w:pStyle w:val="BodyText"/>
      </w:pPr>
      <w:r>
        <w:t xml:space="preserve">Если в условиях договора нет заранее прописанного механизма переноса даты расчетов, то данные сделки следует считать неисполненными, так как произошло нарушение условий договора. В этом случае они попадут в Отчет (п. 2.1 Порядка).</w:t>
      </w:r>
    </w:p>
    <w:p>
      <w:pPr>
        <w:pStyle w:val="BodyText"/>
      </w:pPr>
      <w:r>
        <w:t xml:space="preserve">Должны ли отражаться в Отчете сделки, не исполненные в течение отчетного периода, но исполненные на отчетную дату?</w:t>
      </w:r>
    </w:p>
    <w:p>
      <w:pPr>
        <w:pStyle w:val="BodyText"/>
      </w:pPr>
      <w:r>
        <w:t xml:space="preserve">Обновлено: 19.02.2020</w:t>
      </w:r>
    </w:p>
    <w:p>
      <w:pPr>
        <w:pStyle w:val="BodyText"/>
      </w:pPr>
      <w:r>
        <w:t xml:space="preserve">Нет, в Отчет включаются сделки, которые на отчетную дату не были исполнены (не были выполнены обязательства в срок) либо были частично исполнены (остались обязательства по сделке у какой-либо стороны сделки) (п. 2.1 Порядка).</w:t>
      </w:r>
    </w:p>
    <w:p>
      <w:pPr>
        <w:pStyle w:val="BodyText"/>
      </w:pPr>
      <w:r>
        <w:t xml:space="preserve">Должны ли отражаться в Отчете сделки с частично исполненными обязательствами, по которым остались неисполненные обязательства в будущую плановую дату?</w:t>
      </w:r>
    </w:p>
    <w:p>
      <w:pPr>
        <w:pStyle w:val="BodyText"/>
      </w:pPr>
      <w:r>
        <w:t xml:space="preserve">Обновлено: 19.02.2020</w:t>
      </w:r>
    </w:p>
    <w:p>
      <w:pPr>
        <w:pStyle w:val="BodyText"/>
      </w:pPr>
      <w:r>
        <w:t xml:space="preserve">Да, частичное неисполнение включается в Отчет (п. 2.1 Порядка).</w:t>
      </w:r>
    </w:p>
    <w:p>
      <w:pPr>
        <w:pStyle w:val="BodyText"/>
      </w:pPr>
      <w:r>
        <w:t xml:space="preserve">Что понимается под сделками, заключенными в интересах третьих лиц?</w:t>
      </w:r>
    </w:p>
    <w:p>
      <w:pPr>
        <w:pStyle w:val="BodyText"/>
      </w:pPr>
      <w:r>
        <w:t xml:space="preserve">Обновлено: 19.02.2020</w:t>
      </w:r>
    </w:p>
    <w:p>
      <w:pPr>
        <w:pStyle w:val="BodyText"/>
      </w:pPr>
      <w:r>
        <w:t xml:space="preserve">Когда отчитывающаяся кредитная организация выступает в роли финансового посредника (п. 2.3 Порядка).</w:t>
      </w:r>
    </w:p>
    <w:p>
      <w:pPr>
        <w:pStyle w:val="BodyText"/>
      </w:pPr>
      <w:r>
        <w:t xml:space="preserve">Что понимается под формулировкой «отчитывающаяся кредитная организация выступает в роли финансового посредника»?</w:t>
      </w:r>
    </w:p>
    <w:p>
      <w:pPr>
        <w:pStyle w:val="BodyText"/>
      </w:pPr>
      <w:r>
        <w:t xml:space="preserve">Обновлено: 19.02.2020</w:t>
      </w:r>
    </w:p>
    <w:p>
      <w:pPr>
        <w:pStyle w:val="BodyText"/>
      </w:pPr>
      <w:r>
        <w:t xml:space="preserve">Деятельность по исполнению поручения клиента (в том числе эмитента эмиссионных ценных бумаг при их размещении) на совершение гражданско-правовых сделок с ценными бумагами и (или) на заключение договоров, являющихся производными финансовыми инструментами, осуществляемая на основании возмездных договоров с клиентом (Федеральный закон от 25.02.1999 № 39-ФЗ «О рынке ценных бумаг»).</w:t>
      </w:r>
    </w:p>
    <w:p>
      <w:pPr>
        <w:pStyle w:val="BodyText"/>
      </w:pPr>
      <w:r>
        <w:t xml:space="preserve">Какие виды договоров между кредитной организацией, являющейся финансовым посредником и третьим лицом, включаются в Отчет?</w:t>
      </w:r>
    </w:p>
    <w:p>
      <w:pPr>
        <w:pStyle w:val="BodyText"/>
      </w:pPr>
      <w:r>
        <w:t xml:space="preserve">Обновлено: 19.02.2020</w:t>
      </w:r>
    </w:p>
    <w:p>
      <w:pPr>
        <w:pStyle w:val="BodyText"/>
      </w:pPr>
      <w:r>
        <w:t xml:space="preserve">Договоры, заключенные в рамках сделок, указанных в гл. 2 Порядка. Виды операций указаны в графе 21 Порядка.</w:t>
      </w:r>
    </w:p>
    <w:p>
      <w:pPr>
        <w:pStyle w:val="BodyText"/>
      </w:pPr>
      <w:r>
        <w:t xml:space="preserve">Что понимается под неисполнением обязательств по депозитным сделкам? Это неисполнение кредитной организацией обязательства по выплате процентов и основной суммы в установленный срок?</w:t>
      </w:r>
    </w:p>
    <w:p>
      <w:pPr>
        <w:pStyle w:val="BodyText"/>
      </w:pPr>
      <w:r>
        <w:t xml:space="preserve">Обновлено: 19.02.2020</w:t>
      </w:r>
    </w:p>
    <w:p>
      <w:pPr>
        <w:pStyle w:val="BodyText"/>
      </w:pPr>
      <w:r>
        <w:t xml:space="preserve">Нет. Неисполнение кредитной организацией обязательств по выплате процентов или основной суммы в установленный срок, т.е. нарушение депозитного договора, которое повлечет возникновение неисполненных обязательств.</w:t>
      </w:r>
    </w:p>
    <w:p>
      <w:pPr>
        <w:pStyle w:val="BodyText"/>
      </w:pPr>
      <w:r>
        <w:t xml:space="preserve">Правильно ли, что в отношении поставки ценных бумаг объем обязательств рассчитывается как произведение количества ценных бумаг на справедливую стоимость данных ценных бумаг, рассчитанную в соответствии с учетной политикой кредитной организации?</w:t>
      </w:r>
    </w:p>
    <w:p>
      <w:pPr>
        <w:pStyle w:val="BodyText"/>
      </w:pPr>
      <w:r>
        <w:t xml:space="preserve">Обновлено: 19.02.2020</w:t>
      </w:r>
    </w:p>
    <w:p>
      <w:pPr>
        <w:pStyle w:val="BodyText"/>
      </w:pPr>
      <w:r>
        <w:t xml:space="preserve">Да, верно.</w:t>
      </w:r>
    </w:p>
    <w:p>
      <w:pPr>
        <w:pStyle w:val="BodyText"/>
      </w:pPr>
      <w:r>
        <w:t xml:space="preserve">В отношении каких видов сделок, попадающих в Отчет, необходимо раскрывать информацию о физических лицах? В частности, физические лица упоминаются в п. 3.6 (сделка в интересах клиента, в том числе физического лица) и в п. 3.7 (графа 13, вид организации — второй стороны по сделке).</w:t>
      </w:r>
    </w:p>
    <w:p>
      <w:pPr>
        <w:pStyle w:val="BodyText"/>
      </w:pPr>
      <w:r>
        <w:t xml:space="preserve">Обновлено: 19.02.2020</w:t>
      </w:r>
    </w:p>
    <w:p>
      <w:pPr>
        <w:pStyle w:val="BodyText"/>
      </w:pPr>
      <w:r>
        <w:t xml:space="preserve">Виды сделок, которые попадают в форму 0409702, указаны в пункте 3.11 Порядка. При этом информация о физическом лице — клиенте отчитывающейся организации не отражается в графах 7 и 11.</w:t>
      </w:r>
    </w:p>
    <w:p>
      <w:pPr>
        <w:pStyle w:val="BodyText"/>
      </w:pPr>
      <w:r>
        <w:t xml:space="preserve">Что понимается под операциями «с корреспондентскими счетами», указанными в п. 3.11?</w:t>
      </w:r>
    </w:p>
    <w:p>
      <w:pPr>
        <w:pStyle w:val="BodyText"/>
      </w:pPr>
      <w:r>
        <w:t xml:space="preserve">Обновлено: 19.02.2020</w:t>
      </w:r>
    </w:p>
    <w:p>
      <w:pPr>
        <w:pStyle w:val="BodyText"/>
      </w:pPr>
      <w:r>
        <w:t xml:space="preserve">Операции размещения средств на корреспондентском счете.</w:t>
      </w:r>
    </w:p>
    <w:p>
      <w:pPr>
        <w:pStyle w:val="BodyText"/>
      </w:pPr>
      <w:r>
        <w:t xml:space="preserve">Правильно ли, что под неисполнением обязательств по собственным векселям (в случае если они подлежат отчетности) подразумевается несвоевременное погашение векселя кредитной организацией?</w:t>
      </w:r>
    </w:p>
    <w:p>
      <w:pPr>
        <w:pStyle w:val="BodyText"/>
      </w:pPr>
      <w:r>
        <w:t xml:space="preserve">Обновлено: 19.02.2020</w:t>
      </w:r>
    </w:p>
    <w:p>
      <w:pPr>
        <w:pStyle w:val="BodyText"/>
      </w:pPr>
      <w:r>
        <w:t xml:space="preserve">Параметры неисполненных обязательств по собственным векселям не попадают в форму 0409702. При этом если в обеспечении по сделкам, попадающим в Отчет, находится вексель, то он учитывается в графах 26 и 27.</w:t>
      </w:r>
    </w:p>
    <w:p>
      <w:pPr>
        <w:pStyle w:val="BodyText"/>
      </w:pPr>
      <w:r>
        <w:t xml:space="preserve">Какие операции попадают в графу 26 Отчета (п. 3.16 Порядка) в части закладных?</w:t>
      </w:r>
    </w:p>
    <w:p>
      <w:pPr>
        <w:pStyle w:val="BodyText"/>
      </w:pPr>
      <w:r>
        <w:t xml:space="preserve">Обновлено: 19.02.2020</w:t>
      </w:r>
    </w:p>
    <w:p>
      <w:pPr>
        <w:pStyle w:val="BodyText"/>
      </w:pPr>
      <w:r>
        <w:t xml:space="preserve">Операции с закладными, соответствующие требованиям гл. 2 Порядка, в которых возникло неисполнение обязательств.</w:t>
      </w:r>
    </w:p>
    <w:p>
      <w:pPr>
        <w:pStyle w:val="BodyText"/>
      </w:pPr>
      <w:r>
        <w:t xml:space="preserve">На сайте Банка России используются файлы cookie</w:t>
      </w:r>
    </w:p>
    <w:p>
      <w:pPr>
        <w:pStyle w:val="BodyText"/>
      </w:pPr>
      <w:r>
        <w:t xml:space="preserve">Оставаясь на www.cbr.ru , вы принимаете пользовательское соглашение</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2026-09-27T11:01:31Z</dcterms:created>
  <dcterms:modified xsi:type="dcterms:W3CDTF">2026-09-27T11:01:31Z</dcterms:modified>
</cp:coreProperties>
</file>

<file path=docProps/custom.xml><?xml version="1.0" encoding="utf-8"?>
<Properties xmlns="http://schemas.openxmlformats.org/officeDocument/2006/custom-properties" xmlns:vt="http://schemas.openxmlformats.org/officeDocument/2006/docPropsVTypes"/>
</file>