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4bfa602e1a2ffb4a76571020df009384a1e3f1"/>
    <w:p>
      <w:pPr>
        <w:pStyle w:val="Heading1"/>
      </w:pPr>
      <w:r>
        <w:t xml:space="preserve">Отчетность по форме 0409724 «Сведения об осуществлении брокерской деятельности и деятельности по управлению ценными бумагами»</w:t>
      </w:r>
    </w:p>
    <w:p>
      <w:pPr>
        <w:pStyle w:val="FirstParagraph"/>
      </w:pPr>
      <w:r>
        <w:t xml:space="preserve">Отчетность по форме 0409724 «Сведения об осуществлении брокерской деятельности и деятельности по управлению ценными бумагами»</w:t>
      </w:r>
    </w:p>
    <w:p>
      <w:pPr>
        <w:pStyle w:val="BodyText"/>
      </w:pPr>
      <w:r>
        <w:t xml:space="preserve">В случае, если стоимость активов принимает отрицательные значения и изменяется в пределах отрицательных значений, как правильно отразить значение в графе 4 подраздела 1.3 раздела 1 отчетности по форме 0409724?</w:t>
      </w:r>
    </w:p>
    <w:p>
      <w:pPr>
        <w:pStyle w:val="BodyText"/>
      </w:pPr>
      <w:r>
        <w:t xml:space="preserve">Обновлено: 31.08.2026</w:t>
      </w:r>
    </w:p>
    <w:p>
      <w:pPr>
        <w:pStyle w:val="BodyText"/>
      </w:pPr>
      <w:r>
        <w:t xml:space="preserve">В случае, если в периоде определения доходности стоимость активов инвестиционного портфеля клиента имеет отрицательное значение и в отчетном периоде отрицательное значение увеличивается, то в целях определения значения в графе 4 подраздела 1.3 раздела 1 рекомендуется значения стоимости активов инвестиционного портфеля клиента по договорам доверительного управления учитывать по модулю, а получившееся значение указывать в графе 4 со знаком «-» (минус).</w:t>
      </w:r>
    </w:p>
    <w:p>
      <w:pPr>
        <w:pStyle w:val="BodyText"/>
      </w:pPr>
      <w:r>
        <w:t xml:space="preserve">Как учитывается выплаченное вознаграждение управляющего в графе 4 подраздела 1.3 раздела 1 отчетности по форме 0409724?</w:t>
      </w:r>
    </w:p>
    <w:p>
      <w:pPr>
        <w:pStyle w:val="BodyText"/>
      </w:pPr>
      <w:r>
        <w:t xml:space="preserve">Обновлено: 31.08.2026</w:t>
      </w:r>
    </w:p>
    <w:p>
      <w:pPr>
        <w:pStyle w:val="BodyText"/>
      </w:pPr>
      <w:r>
        <w:t xml:space="preserve">Изъятия денежных средств из инвестиционного портфеля (например, оплаченный НДФЛ по полученным клиентами дивидендам, выплаченное вознаграждение управляющего и т.п.), которые производятся кредитной организаций – управляющим в рамках осуществления доверительного управления без подачи поручений учредителями управления, в целях определения значения в графе 4 подраздела 1.3 раздела 1 не учитываются.</w:t>
      </w:r>
    </w:p>
    <w:p>
      <w:pPr>
        <w:pStyle w:val="BodyText"/>
      </w:pPr>
      <w:r>
        <w:t xml:space="preserve">Отражается ли информация о прекращенных стратегиях в отчетности по форме 04209724?</w:t>
      </w:r>
    </w:p>
    <w:p>
      <w:pPr>
        <w:pStyle w:val="BodyText"/>
      </w:pPr>
      <w:r>
        <w:t xml:space="preserve">Обновлено: 31.08.2026</w:t>
      </w:r>
    </w:p>
    <w:p>
      <w:pPr>
        <w:pStyle w:val="BodyText"/>
      </w:pPr>
      <w:r>
        <w:t xml:space="preserve">Если в отчетном периоде договор прекращен, то информация о стратегии не отражается в разделах отчётности по форме 0409724, за исключением раздела 2. Если договор прекращен до отчетного периода, то информация о стратегии не отражается в разделах отчётности по форме 0409724.</w:t>
      </w:r>
    </w:p>
    <w:p>
      <w:pPr>
        <w:pStyle w:val="BodyText"/>
      </w:pPr>
      <w:r>
        <w:t xml:space="preserve">Обращаем внимание, если в разделе 2 и разделах 4 – 11 представлена информация о стратегии с указанием идентификационного кода стратегии, то информацию о данной стратегии следует отражать в подразделе 1.3 раздела 1 отчетности по форме 0409724 с указанием соответствующего идентификационного кода стратегии.</w:t>
      </w:r>
    </w:p>
    <w:p>
      <w:pPr>
        <w:pStyle w:val="BodyText"/>
      </w:pPr>
      <w:r>
        <w:t xml:space="preserve">Если у клиента в отчетном периоде расторгнут один договор, но имеются другие действующие договоры или заключен новый договор в дополнение к действующему, как информацию о таком клиенте отражать в разделе 3 отчетности по форме 0409724?</w:t>
      </w:r>
    </w:p>
    <w:p>
      <w:pPr>
        <w:pStyle w:val="BodyText"/>
      </w:pPr>
      <w:r>
        <w:t xml:space="preserve">Обновлено: 31.08.2026</w:t>
      </w:r>
    </w:p>
    <w:p>
      <w:pPr>
        <w:pStyle w:val="BodyText"/>
      </w:pPr>
      <w:r>
        <w:t xml:space="preserve">В целях заполнения раздела 3 отчетности по форме 0409724 информация о таких клиентах не отражается в графах 8 и 7.</w:t>
      </w:r>
    </w:p>
    <w:p>
      <w:pPr>
        <w:pStyle w:val="BodyText"/>
      </w:pPr>
      <w:r>
        <w:t xml:space="preserve">В графах 7 и 8 отражается информация о клиентах, заключивших первый договор, и клиентах, расторгнувших последний договор, в рамках одного вида деятельности, соответственно.</w:t>
      </w:r>
    </w:p>
    <w:p>
      <w:pPr>
        <w:pStyle w:val="BodyText"/>
      </w:pPr>
      <w:r>
        <w:t xml:space="preserve">Первым договором также является договор, заключенный после расторжения всех действующих договоров с клиентом (то есть не первый договор с клиентом, заключенный за время осуществления отчитывающейся кредитной организацией деятельности профессионального участника рынка ценных бумаг).</w:t>
      </w:r>
    </w:p>
    <w:p>
      <w:pPr>
        <w:pStyle w:val="BodyText"/>
      </w:pPr>
      <w:r>
        <w:t xml:space="preserve">Как отражается информация о производных финансовых инструментах в разделе 8 отчетности по форме 0409724?</w:t>
      </w:r>
    </w:p>
    <w:p>
      <w:pPr>
        <w:pStyle w:val="BodyText"/>
      </w:pPr>
      <w:r>
        <w:t xml:space="preserve">Обновлено: 31.08.2026</w:t>
      </w:r>
    </w:p>
    <w:p>
      <w:pPr>
        <w:pStyle w:val="BodyText"/>
      </w:pPr>
      <w:r>
        <w:t xml:space="preserve">В целях заполнения раздела 8 отчетности по форме 0409724 в графе 7 отражается количество ПФИ (открытые позиции по ПФИ). В графе 9 в отношении ПФИ, заключаемых не на организованных торгах, отражается рассчитанная отчитывающейся кредитной организацией справедливая стоимость ПФИ, определенная в соответствии с Международным стандартом финансовой отчетности (IFRS) 13 «Оценка справедливой стоимости». При этом требования и обязательства по ПФИ отражаются в разделе 9 отчетности по форме 0409724.</w:t>
      </w:r>
    </w:p>
    <w:p>
      <w:pPr>
        <w:pStyle w:val="BodyText"/>
      </w:pPr>
      <w:r>
        <w:t xml:space="preserve">Допустимо ли в 8 разделе отчетности по форме 0409724 значения в графах 7 и 9 отражать со знаком минус?</w:t>
      </w:r>
    </w:p>
    <w:p>
      <w:pPr>
        <w:pStyle w:val="BodyText"/>
      </w:pPr>
      <w:r>
        <w:t xml:space="preserve">Обновлено: 31.08.2026</w:t>
      </w:r>
    </w:p>
    <w:p>
      <w:pPr>
        <w:pStyle w:val="BodyText"/>
      </w:pPr>
      <w:r>
        <w:t xml:space="preserve">В разделе 8 отчетности по форме 0409724 значения в графах 7 и 9 отражаются как положительные, без знака минус.</w:t>
      </w:r>
    </w:p>
    <w:p>
      <w:pPr>
        <w:pStyle w:val="BodyText"/>
      </w:pPr>
      <w:r>
        <w:t xml:space="preserve">Входит ли значение графы 9 раздела 8 отчетности по форме 0409724 в размер совокупного объема портфеля по группе, указанного в разделе 3 отчетности по форме 0409724?</w:t>
      </w:r>
    </w:p>
    <w:p>
      <w:pPr>
        <w:pStyle w:val="BodyText"/>
      </w:pPr>
      <w:r>
        <w:t xml:space="preserve">Обновлено: 31.08.2026</w:t>
      </w:r>
    </w:p>
    <w:p>
      <w:pPr>
        <w:pStyle w:val="BodyText"/>
      </w:pPr>
      <w:r>
        <w:t xml:space="preserve">Стоимостная оценка активов, указанная в графе 3 раздела 3 и суммарная стоимостная оценка по разделам 4-11 (с учетом данных по разделу 8) отчетности по форме 0409724 должны совпадать.</w:t>
      </w:r>
    </w:p>
    <w:p>
      <w:pPr>
        <w:pStyle w:val="BodyText"/>
      </w:pPr>
      <w:r>
        <w:t xml:space="preserve">Просьба уточнить, в целях отражения информации в графе 10 раздела 6 отчетности по форме 0409724 стоимостная оценка ценных бумаг в портфеле клиента на отчетную дату определяется, в первую очередь, по рыночной стоимости ценных бумаг по состоянию на последний торговый день, предшествующий отчетной дате?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Понимание, изложенное в вопросе, является верным.</w:t>
      </w:r>
    </w:p>
    <w:p>
      <w:pPr>
        <w:pStyle w:val="BodyText"/>
      </w:pPr>
      <w:r>
        <w:t xml:space="preserve">В соответствии с п. 1.7 Порядка составления и представления отчетности по форме 0409724:</w:t>
      </w:r>
    </w:p>
    <w:p>
      <w:pPr>
        <w:pStyle w:val="BodyText"/>
      </w:pPr>
      <w:r>
        <w:t xml:space="preserve">“Взаимосвязь между разделами и подразделами Отчета осуществляется посредством присвоения кредитной организацией – профессиональным участником кодов группам клиентов, группам договоров и уникальных идентификационных кодов (неизменных и неповторяемых) стратегиям.</w:t>
      </w:r>
    </w:p>
    <w:p>
      <w:pPr>
        <w:pStyle w:val="BodyText"/>
      </w:pPr>
      <w:r>
        <w:t xml:space="preserve">Разработана ли Банком России методика по формированию уникальных идентификационных кодов стратегиям?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В соответствии с абзацем вторым подпункта 2.4.1 пункта 2.4 Порядка составления и представления отчетности по форме 0409724 правила формирования уникальных идентификационных кодов стратегий определяются кредитной организацией – профессиональным участником самостоятельно. Повторное использование идентификационных кодов стратегий не допускается.</w:t>
      </w:r>
    </w:p>
    <w:p>
      <w:pPr>
        <w:pStyle w:val="BodyText"/>
      </w:pPr>
      <w:r>
        <w:t xml:space="preserve">Идентификационные коды стратегий доверительного управления рекомендуем формировать с указанием сведений в следующей последовательности:</w:t>
      </w:r>
    </w:p>
    <w:p>
      <w:pPr>
        <w:pStyle w:val="BodyText"/>
      </w:pPr>
      <w:r>
        <w:t xml:space="preserve">указывается буква «С» для стандартных стратегий доверительного управления или буква «И» для индивидуальных стратегий доверительного управления;</w:t>
      </w:r>
    </w:p>
    <w:p>
      <w:pPr>
        <w:pStyle w:val="BodyText"/>
      </w:pPr>
      <w:r>
        <w:t xml:space="preserve">указывается характеристика стратегии доверительного управления, являющаяся существенной по мнению отчитывающейся организации и относящейся к конкретной стратегии доверительного управления (например, наименование стратегии доверительного управления, код стратегии доверительного управления, номер договора доверительного управления для индивидуальной стратегии доверительного управления). Разделение характеристик производится через знак «_».</w:t>
      </w:r>
    </w:p>
    <w:p>
      <w:pPr>
        <w:pStyle w:val="BodyText"/>
      </w:pPr>
      <w:r>
        <w:t xml:space="preserve">В графе 4 раздела 6 отчетности по форме 0409724, в отношении эмитентов ценных бумаг для депозитарных расписок на ценные бумаги резидентов и депозитарных расписок на ценные бумаги нерезидентов, указывается наименование эмитента представляемых ценных бумаг.</w:t>
      </w:r>
    </w:p>
    <w:p>
      <w:pPr>
        <w:pStyle w:val="BodyText"/>
      </w:pPr>
      <w:r>
        <w:t xml:space="preserve">Правильно ли мы понимаем, что эмитенты представляемых бумаг — это эмитенты ценных бумаг, на которые были выпущены депозитарные расписки? Или имеются в виду эмитенты депозитарных расписок?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графе 4 раздела 6 отчетности по форме 0409724 в отношении депозитарных расписок на ценные бумаги резидентов/нерезидентов следует отражать наименование эмитента ценных бумаг, на которые были выпущены депозитарные расписки.</w:t>
      </w:r>
    </w:p>
    <w:p>
      <w:pPr>
        <w:pStyle w:val="BodyText"/>
      </w:pPr>
      <w:r>
        <w:t xml:space="preserve">В графе 7 раздела 6 отчетности по форме 0409724, для депозитарных расписок на ценные бумаги резидентов указывается регистрационный номер (государственный регистрационный номер, идентификационный номер) выпуска представляемых ценных бумаг (программы облигаций).</w:t>
      </w:r>
    </w:p>
    <w:p>
      <w:pPr>
        <w:pStyle w:val="BodyText"/>
      </w:pPr>
      <w:r>
        <w:t xml:space="preserve">Просим уточнить:</w:t>
      </w:r>
    </w:p>
    <w:p>
      <w:pPr>
        <w:pStyle w:val="BodyText"/>
      </w:pPr>
      <w:r>
        <w:t xml:space="preserve">Регистрационный номер выпуска представляемых ценных бумаг – это номер выпуска ценных бумаг, на которые были выпущены депозитарные расписки, или это номер выпуска депозитарных расписок?</w:t>
      </w:r>
    </w:p>
    <w:p>
      <w:pPr>
        <w:pStyle w:val="BodyText"/>
      </w:pPr>
      <w:r>
        <w:t xml:space="preserve">В случае, если регистрационный номер выпуска представляемых ценных бумаг – это номер выпуска ценных бумаг, на которые были выпущены депозитарные расписки, и у банка нет информации ни о коде ISIN, ни о номере выпуска ценных бумаг, на которые были выпущены депозитарные расписки, что нужно отражать в этой графе?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В графе 7 раздела 6 отчетности по форме 0409724 для депозитарных расписок на ценные бумаги резидентов следует указывать регистрационный номер выпуска ценных бумаг (программы облигаций), на которые были выпущены депозитарные расписки.</w:t>
      </w:r>
    </w:p>
    <w:p>
      <w:pPr>
        <w:pStyle w:val="BodyText"/>
      </w:pPr>
      <w:r>
        <w:t xml:space="preserve">В случае отсутствия у кредитной организации – профессионального участника соответствующей информации указанная графа не заполняется.</w:t>
      </w:r>
    </w:p>
    <w:p>
      <w:pPr>
        <w:pStyle w:val="BodyText"/>
      </w:pPr>
      <w:r>
        <w:t xml:space="preserve">Как рассчитывать доходность стратегии для подраздела 1.3 раздела 1 отчетности по форме 0409724 для клиентов со стандартной стратегией доверительного управления в случаях, когда в договорах доверительного управления указан фиксированный размер доходности, при этом все активы выведены с депозитных счетов клиентов, но договоры доверительного управления не расторгнуты. В графе 4 подраздела 1.3 раздела 1 отчетности по форме 0409724 указывать значение «0» или фиксированный доход, установленный условиями договора доверительного управления? Либо такие стратегии доверительного управления не подлежат отражению в подразделе 1.3 раздела 1 отчетности по форме 0409724?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В подразделе 1.3 раздела 1 отчетности по форме 0409724 следует отражать информацию о всех стратегиях доверительного управления, по которым есть действующий договор доверительного управления с клиентом по состоянию на отчетную дату или же в рамках которых в течение отчетного периода действовал хотя бы один договор доверительного управления. Доходность стратегий доверительного управления, в том числе описанных в вопросе стратегий доверительного управления, следует определять в соответствии с п. 2.4.4 Порядка составления и представления отчетности по форме 0409724.</w:t>
      </w:r>
    </w:p>
    <w:p>
      <w:pPr>
        <w:pStyle w:val="BodyText"/>
      </w:pPr>
      <w:r>
        <w:t xml:space="preserve">Верно ли наше понимание, что в целях заполнения раздела 2 отчетности по форме 0409724 об информации о поступлениях в портфели клиентов и изъятиях из портфелей клиентов денежных средств следует указывать любое движение денег по счету?</w:t>
      </w:r>
    </w:p>
    <w:p>
      <w:pPr>
        <w:pStyle w:val="BodyText"/>
      </w:pPr>
      <w:r>
        <w:t xml:space="preserve">Или для целей формирования раздела 2 отчетности по форме 0409724 отражаются только «внешние» поступления и выбытия (вывод денежных средств с брокерского счета по требованию клиента) и не отражаются «внутренние» (дивиденды, купонные доходы, комиссии со счета клиента, перевод денежных средств между субсчетами клиента в рамках одного договора)?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Отражение информации в разделах Отчета следует осуществлять в соответствии с требованиями Порядка составления и представления отчетности по форме 0409724, согласно которым отражение информации в разделе 2 отчетности по форме 0409724 следует осуществлять с учетом положений главы 3 Порядка составления и представления отчетности по форме 0409724.</w:t>
      </w:r>
    </w:p>
    <w:p>
      <w:pPr>
        <w:pStyle w:val="BodyText"/>
      </w:pPr>
      <w:r>
        <w:t xml:space="preserve">В частности, для целей отражения информации в разделе 2 к денежным средствам относятся денежные средства, за исключением денежных средств, являющихся оплатой от контрагентов по заключенным сделкам в интересах клиента, доходами по ценным бумагам (дивиденды, купонные доходы и иные доходы по ценным бумагам, в том числе доходы по ценным бумагам, подлежащим передаче по сделкам репо) и иным финансовым инструментам, а также иными выплатами по ценным бумагам (погашение номинальной стоимости ценной бумаги, выплаты денежной компенсации в связи с погашением инвестиционных паев паевых инвестиционных фондов).</w:t>
      </w:r>
    </w:p>
    <w:p>
      <w:pPr>
        <w:pStyle w:val="BodyText"/>
      </w:pPr>
      <w:r>
        <w:t xml:space="preserve">Данное положение Порядка составления и представления отчетности по форме 0409724 следует применять в отношении заполнения информации по графе 4 раздела 2 отчетности по форме 0409724.</w:t>
      </w:r>
    </w:p>
    <w:p>
      <w:pPr>
        <w:pStyle w:val="BodyText"/>
      </w:pPr>
      <w:r>
        <w:t xml:space="preserve">По графе 7 раздела 2 отчетности по форме 0409724 следует отражать информацию о сумме денежных средств, перечисленных клиентам в соответствии с их поручениями на вывод денежных средств.</w:t>
      </w:r>
    </w:p>
    <w:p>
      <w:pPr>
        <w:pStyle w:val="BodyText"/>
      </w:pPr>
      <w:r>
        <w:t xml:space="preserve">Указанный абзац говорит о том, что изъятием и поступлением денежных средств для целей отчетности не являются денежные средства, поступившие в рамках заключенной сделки, например, купли-продажи ценных бумаг. Таким образом, полученная оплата по сделке продажи – это не поступление, выплаченная сумма денежных средств по сделке покупки – это не изъятие.</w:t>
      </w:r>
    </w:p>
    <w:p>
      <w:pPr>
        <w:pStyle w:val="BodyText"/>
      </w:pPr>
      <w:r>
        <w:t xml:space="preserve">Дивиденды, купонные доходы, комиссии со счета клиента, перевод денежных средств между субсчетами клиента в рамках одного договора также не являются поступлениями и/или изъятиями для цели составления отчетности по форме 0409724.</w:t>
      </w:r>
    </w:p>
    <w:p>
      <w:pPr>
        <w:pStyle w:val="BodyText"/>
      </w:pPr>
      <w:r>
        <w:t xml:space="preserve">Отчетность по форме 0409724 составляется на основании данных внутреннего учета кредитной организации, но требования к структуре таких данных для цели составления отчетности по форме 0409724 содержатся в Порядке составления и представления отчетности по форме 0409724.</w:t>
      </w:r>
    </w:p>
    <w:p>
      <w:pPr>
        <w:pStyle w:val="BodyText"/>
      </w:pPr>
      <w:r>
        <w:t xml:space="preserve">По какому принципу клиенты объединяются в одну группу клиентов, группу договоров?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Объединение клиентов в группы клиентов, договоров в группы договоров следует осуществлять в соответствии с признаками, предусмотренными подразделами 1.1 и 1.2 раздела 1 отчетности по форме 0409724.</w:t>
      </w:r>
    </w:p>
    <w:p>
      <w:pPr>
        <w:pStyle w:val="BodyText"/>
      </w:pPr>
      <w:r>
        <w:t xml:space="preserve">В частности, группы клиентов следует формировать по следующим признакам:</w:t>
      </w:r>
    </w:p>
    <w:p>
      <w:pPr>
        <w:pStyle w:val="BodyText"/>
      </w:pPr>
      <w:r>
        <w:t xml:space="preserve">вид деятельности, в рамках которой у клиента заключен договор с кредитной организацией – профессиональным участником;</w:t>
      </w:r>
    </w:p>
    <w:p>
      <w:pPr>
        <w:pStyle w:val="BodyText"/>
      </w:pPr>
      <w:r>
        <w:t xml:space="preserve">тип клиента;</w:t>
      </w:r>
    </w:p>
    <w:p>
      <w:pPr>
        <w:pStyle w:val="BodyText"/>
      </w:pPr>
      <w:r>
        <w:t xml:space="preserve">квалификация инвестора;</w:t>
      </w:r>
    </w:p>
    <w:p>
      <w:pPr>
        <w:pStyle w:val="BodyText"/>
      </w:pPr>
      <w:r>
        <w:t xml:space="preserve">статус клиента;</w:t>
      </w:r>
    </w:p>
    <w:p>
      <w:pPr>
        <w:pStyle w:val="BodyText"/>
      </w:pPr>
      <w:r>
        <w:t xml:space="preserve">код ОКСМ и ОКАТО клиента;</w:t>
      </w:r>
    </w:p>
    <w:p>
      <w:pPr>
        <w:pStyle w:val="BodyText"/>
      </w:pPr>
      <w:r>
        <w:t xml:space="preserve">уровень риска, присвоенный клиенту в соответствии с пунктами 28 и 34 Указания Банка России от 12 февраля 2024 года № 6681-У «О требованиях к осуществлению брокерской деятельности при совершении брокером отдельных сделок за счет клиента» (в отношении клиентов по брокерским договорам в рамках брокерской деятельности);</w:t>
      </w:r>
    </w:p>
    <w:p>
      <w:pPr>
        <w:pStyle w:val="BodyText"/>
      </w:pPr>
      <w:r>
        <w:t xml:space="preserve">инвестиционный профиль клиента, определенный в соответствии с главой 1 Положения Банка России от 3 августа 2015 года № 482-П «О единых требованиях к правилам осуществления деятельности по управлению ценными бумагами, к порядку раскрытия управляющим информации, а также требованиях, направленных на исключение конфликта интересов управляющего» (в отношении учредителей управления по договорам доверительного управления в рамках деятельности по управлению ценными бумагами).</w:t>
      </w:r>
    </w:p>
    <w:p>
      <w:pPr>
        <w:pStyle w:val="BodyText"/>
      </w:pPr>
      <w:r>
        <w:t xml:space="preserve">Группы договоров следует формировать по следующим признакам:</w:t>
      </w:r>
    </w:p>
    <w:p>
      <w:pPr>
        <w:pStyle w:val="BodyText"/>
      </w:pPr>
      <w:r>
        <w:t xml:space="preserve">является ли договор договором на ведение индивидуальных инвестиционных счетов в соответствии с пунктом 1 статьи 10.2-1 Федерального закона от 22 апреля 1996 года № 39-ФЗ «О рынке ценных бумаг»;</w:t>
      </w:r>
    </w:p>
    <w:p>
      <w:pPr>
        <w:pStyle w:val="BodyText"/>
      </w:pPr>
      <w:r>
        <w:t xml:space="preserve">категории клиента по договору.</w:t>
      </w:r>
    </w:p>
    <w:p>
      <w:pPr>
        <w:pStyle w:val="BodyText"/>
      </w:pPr>
      <w:r>
        <w:t xml:space="preserve">Раздел 9 отчетности по форме 0409724 заполняется только в том случае, если имеются незавершенные сделки на отчетную дату?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разделе 9 отчетности по форме 0409724 следует отражать информацию обо всех требованиях и обязательствах, которые не были погашены по состоянию на отчетную дату (по всем сделкам, по которым есть незакрытые требования или обязательства).</w:t>
      </w:r>
    </w:p>
    <w:p>
      <w:pPr>
        <w:pStyle w:val="BodyText"/>
      </w:pPr>
      <w:r>
        <w:t xml:space="preserve">В разделе 6 отчетности по форме 0409724 необходимо отражать все ценные бумаги, которые есть у клиентов на отчетную дату, или только те, которые были приобретены в отчетном периоде?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разделе 6 отчетности по форме 0409724 следует отражать информацию о портфелях клиентов, находящихся на брокерском обслуживании или в доверительном управлении, в части остатка ценных бумаг. Таким образом, в разделе 6 отчетности по форме 0409724 следует отразить информацию обо всех ценных бумагах, находящихся в портфелях клиентов по состоянию на отчетную дату.</w:t>
      </w:r>
    </w:p>
    <w:p>
      <w:pPr>
        <w:pStyle w:val="BodyText"/>
      </w:pPr>
      <w:r>
        <w:t xml:space="preserve">В разделе 10 отчетности по форме 0409724 речь идет о маржинальном кредитовании?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разделе 10 отчетности по форме 0409724 следует отражать информацию о портфелях клиентов в части займов и кредитов, выданных клиентами в рамках договора на брокерское обслуживание или договора доверительного управления.</w:t>
      </w:r>
    </w:p>
    <w:p>
      <w:pPr>
        <w:pStyle w:val="BodyText"/>
      </w:pPr>
      <w:r>
        <w:t xml:space="preserve">Требования и обязательства по маржинальным сделкам отражаются в разделе 9 отчетности по форме 0409724.</w:t>
      </w:r>
    </w:p>
    <w:p>
      <w:pPr>
        <w:pStyle w:val="BodyText"/>
      </w:pPr>
      <w:r>
        <w:t xml:space="preserve">Просим уточнить порядок включения накопленного купонного дохода (НКД) в расчет стоимости ценных бумаг:</w:t>
      </w:r>
    </w:p>
    <w:p>
      <w:pPr>
        <w:pStyle w:val="BodyText"/>
      </w:pPr>
      <w:r>
        <w:t xml:space="preserve">Для отражения в графе 10 раздела 6 отчетности по форме 0409724 следует ли включать НКД в расчет стоимости облигаций, если она определена по рыночной цене (абзац второй п. 3.2.2 Порядка составления и представления отчетности по форме 0409724)?</w:t>
      </w:r>
    </w:p>
    <w:p>
      <w:pPr>
        <w:pStyle w:val="BodyText"/>
      </w:pPr>
      <w:r>
        <w:t xml:space="preserve">Правильно ли Банк понимает, что стоимость ценных бумаг рассчитывается с учетом НКД для всех разделов отчетности по форме 0409724 (разделы 2, 3, 6, 9 отчетности по форме 0409724)?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Понимание, указанное в пунктах 1 и 2 вопроса, является верным.</w:t>
      </w:r>
    </w:p>
    <w:p>
      <w:pPr>
        <w:pStyle w:val="BodyText"/>
      </w:pPr>
      <w:r>
        <w:t xml:space="preserve">Правильно банк понимает, что в графе 3 подраздела 1.2 раздела 1 отчетности по форме 0409724 один клиент может быть отнесен к разным кодам в случае если у клиента действует несколько договоров на брокерское обслуживание для разных целей. Например, с клиентом – управляющей компанией заключены отдельные договоры для проведения субброкерских операций и операций доверительного управления активами паевого инвестиционного фонда. Как в этом случае следует корректно определить код для графы 4 подраздела 1.2 раздела 1 отчетности по форме 0409724?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Понимание, изложенное в вопросе, является верным.</w:t>
      </w:r>
    </w:p>
    <w:p>
      <w:pPr>
        <w:pStyle w:val="BodyText"/>
      </w:pPr>
      <w:r>
        <w:t xml:space="preserve">В указанном в вопросе случае следует сформировать две группы договоров (по графе «Категория клиента») с присвоением каждой группе кода группы договоров.</w:t>
      </w:r>
    </w:p>
    <w:p>
      <w:pPr>
        <w:pStyle w:val="BodyText"/>
      </w:pPr>
      <w:r>
        <w:t xml:space="preserve">Для клиента – управляющей компании по договору для проведения субброкерских операций в графе «Категория клиента» указывается код «10».</w:t>
      </w:r>
    </w:p>
    <w:p>
      <w:pPr>
        <w:pStyle w:val="BodyText"/>
      </w:pPr>
      <w:r>
        <w:t xml:space="preserve">Для клиента – управляющей компании по договору для проведения операций доверительного управления активами паевого инвестиционного фонда в графе «Категория клиента» указывается код «2».</w:t>
      </w:r>
    </w:p>
    <w:p>
      <w:pPr>
        <w:pStyle w:val="BodyText"/>
      </w:pPr>
      <w:r>
        <w:t xml:space="preserve">В разделе 3 отчетности по форме 0409724 не указан метод оценки стоимости ценных бумаг. Верно ли мы понимаем, что при заполнении граф 2 и 3 раздела 3 отчетности по форме 0409724 при оценке активов в виде ценных бумаг следует руководствоваться п. 3.2.2 Порядка составления и представления отчетности по форме 0409724?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Понимание, изложенное в вопросе, является верным.</w:t>
      </w:r>
    </w:p>
    <w:p>
      <w:pPr>
        <w:pStyle w:val="BodyText"/>
      </w:pPr>
      <w:r>
        <w:t xml:space="preserve">В случае если кредитная организация – профессиональный участник самостоятельно ведет брокерскую деятельность без привлечения других брокеров, в графах 7-10 раздела 4 отчетности по форме 0409724 нужно указывать прочерки?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В указанном в вопросе случае в графах 7-8 раздела 4 отчетности по форме 0409724 указывается краткое (унифицированное) наименование из Справочника ИНН и ОГРН и ИНН кредитной организации – профессионального участника соответственно, графы 9-10 не заполняются.</w:t>
      </w:r>
    </w:p>
    <w:p>
      <w:pPr>
        <w:pStyle w:val="BodyText"/>
      </w:pPr>
      <w:r>
        <w:t xml:space="preserve">Какие депозиты имеются ввиду в разделе 5 отчетности по форме 0409724 — по тем клиентам, которые находятся на брокерском обслуживании/ доверительном управлении и имеют депозиты в нашей кредитной организации в рамках предоставления услуг по генеральной лицензии банка? Или депозиты именно в части брокерского обслуживания/доверительного управления?</w:t>
      </w:r>
    </w:p>
    <w:p>
      <w:pPr>
        <w:pStyle w:val="BodyText"/>
      </w:pPr>
      <w:r>
        <w:t xml:space="preserve">Такой же вопрос по разделам 7, 10, 11 отчетности по форме 0409724 — какое иное имущество, кредиты, депозиты, драгоценные металлы подразумеваются?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разделах 5, 7, 10, 11 отчетности по форме 0409724 следует отражать информацию о портфелях клиентов, сформированных по указанному имуществу исключительно в рамках договора на брокерское обслуживание или договора доверительного управления.</w:t>
      </w:r>
    </w:p>
    <w:p>
      <w:pPr>
        <w:pStyle w:val="BodyText"/>
      </w:pPr>
      <w:r>
        <w:t xml:space="preserve">Какое должностное лицо кроме руководителя может подписывать отчетность по форме 0409724?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соответствии с п. 3 Указания Банка России № 6299-У:</w:t>
      </w:r>
    </w:p>
    <w:p>
      <w:pPr>
        <w:pStyle w:val="BodyText"/>
      </w:pPr>
      <w:r>
        <w:t xml:space="preserve">«3. Отчетность отчитывающейся кредитной организации должна быть подписана, если иное не предусмотрено федеральными законами и (или) нормативными актами Банка России:</w:t>
      </w:r>
    </w:p>
    <w:p>
      <w:pPr>
        <w:pStyle w:val="BodyText"/>
      </w:pPr>
      <w:r>
        <w:t xml:space="preserve">руководителем отчитывающейся кредитной организации (лицом, осуществляющим функции единоличного исполнительного органа, его заместителя, члена коллегиального исполнительного органа) и (или) иным должностным лицом в предусмотренных формой отчетности случаях;</w:t>
      </w:r>
    </w:p>
    <w:p>
      <w:pPr>
        <w:pStyle w:val="BodyText"/>
      </w:pPr>
      <w:r>
        <w:t xml:space="preserve">главным бухгалтером отчитывающейся кредитной организации либо замещающим его лицом, если подпись главного бухгалтера предусмотрена в форме отчетности.»</w:t>
      </w:r>
    </w:p>
    <w:p>
      <w:pPr>
        <w:pStyle w:val="BodyText"/>
      </w:pPr>
      <w:r>
        <w:t xml:space="preserve">Соответственно, в отчетности по форме 0409724 одна подпись, поэтому подписантом может быть ЕИО (ВРИО ЕИО (назначаемый на время отсутствия ЕИО), его заместители, члены коллегиального исполнительного органа) и иные должностные лица при условии наличия полномочий.</w:t>
      </w:r>
    </w:p>
    <w:p>
      <w:pPr>
        <w:pStyle w:val="BodyText"/>
      </w:pPr>
      <w:r>
        <w:t xml:space="preserve">Просим разъяснить порядок заполнения и сдачи отчетности по форме 0409724 «малой» кредитной организацией — профессиональным участником, имеющей лицензию на осуществление деятельности по управлению ценными бумагами, но с отсутствующей деятельностью по обслуживанию клиентов (т.е. с нулевыми показателями по открытым договорам доверительного управления и количеству клиентов на отчетную дату).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указанном в вопросе случае следует совершить следующие действия в ПП «Дельта»:</w:t>
      </w:r>
    </w:p>
    <w:p>
      <w:pPr>
        <w:numPr>
          <w:ilvl w:val="0"/>
          <w:numId w:val="1001"/>
        </w:numPr>
      </w:pPr>
      <w:r>
        <w:t xml:space="preserve">В Меню «Отчетность КО» выбрать вкладку «Отчетность КО».</w:t>
      </w:r>
    </w:p>
    <w:p>
      <w:pPr>
        <w:numPr>
          <w:ilvl w:val="0"/>
          <w:numId w:val="1001"/>
        </w:numPr>
      </w:pPr>
      <w:r>
        <w:t xml:space="preserve">Найти (выбрать) отчетность по форме 0409724.</w:t>
      </w:r>
    </w:p>
    <w:p>
      <w:pPr>
        <w:numPr>
          <w:ilvl w:val="0"/>
          <w:numId w:val="1001"/>
        </w:numPr>
      </w:pPr>
      <w:r>
        <w:t xml:space="preserve">Выбрать раздел «Подписи» и «Дата отчета».</w:t>
      </w:r>
    </w:p>
    <w:p>
      <w:pPr>
        <w:numPr>
          <w:ilvl w:val="0"/>
          <w:numId w:val="1001"/>
        </w:numPr>
      </w:pPr>
      <w:r>
        <w:t xml:space="preserve">Нажать «Создать». Откроется меню «Сведения об осуществлении брокерской деятельности и деятельности по управлению ценными бумагами по состоянию на &lt;</w:t>
      </w:r>
      <w:r>
        <w:t xml:space="preserve">@Дата</w:t>
      </w:r>
      <w:r>
        <w:t xml:space="preserve"> </w:t>
      </w:r>
      <w:r>
        <w:t xml:space="preserve">отчета&gt;.</w:t>
      </w:r>
    </w:p>
    <w:p>
      <w:pPr>
        <w:numPr>
          <w:ilvl w:val="0"/>
          <w:numId w:val="1001"/>
        </w:numPr>
      </w:pPr>
      <w:r>
        <w:t xml:space="preserve">Найти поле «Признак не представления отчета». Выбрать:</w:t>
      </w:r>
    </w:p>
    <w:p>
      <w:pPr>
        <w:pStyle w:val="Compact"/>
        <w:numPr>
          <w:ilvl w:val="0"/>
          <w:numId w:val="1002"/>
        </w:numPr>
      </w:pPr>
      <w:r>
        <w:t xml:space="preserve">Код 0 — нулевые данные (кредитная организация вообще не осуществляет брокерской деятельности или управление ценными бумагами).</w:t>
      </w:r>
    </w:p>
    <w:p>
      <w:pPr>
        <w:pStyle w:val="FirstParagraph"/>
      </w:pPr>
      <w:r>
        <w:t xml:space="preserve">— Код 1 — Операции не проводились.</w:t>
      </w:r>
    </w:p>
    <w:p>
      <w:pPr>
        <w:pStyle w:val="BodyText"/>
      </w:pPr>
      <w:r>
        <w:t xml:space="preserve">Создавать записи и делать их пустыми или заполнять нулями не требуется.</w:t>
      </w:r>
    </w:p>
    <w:p>
      <w:pPr>
        <w:pStyle w:val="BodyText"/>
      </w:pPr>
      <w:r>
        <w:t xml:space="preserve">Количество ПФИ — это целое число без дробной части?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Для целей отражения информации о количестве ПФИ в графе 7 раздела 8 отчетности по форме 0409724 количество ПФИ указывается без дробной части.</w:t>
      </w:r>
    </w:p>
    <w:p>
      <w:pPr>
        <w:pStyle w:val="BodyText"/>
      </w:pPr>
      <w:r>
        <w:t xml:space="preserve">Если клиент перевел ценные бумаги из другого депозитария, он считается активным для цели заполнения отчетности по форме 0409724?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В соответствии с пунктом 2.2.5 Порядка составления и представления отчетности по форме 0409724 для целей составления отчетности по форме 0409724 к активным клиентам относятся клиенты, заключившие с кредитной организацией – профессиональным участником договоры о брокерском обслуживании или договоры доверительного управления ценными бумагами, в отношении которых за отчетный месяц совершена как минимум одна сделка, включая сделки с ценными бумагами, финансовыми инструментами, драгоценными металлами и иностранной валютой, совершенные по поручению клиента или в целях снижения размера минимальной маржи или увеличения стоимости портфеля клиента, в случае если стоимость портфеля клиента стала меньше соответствующего ему размера минимальной маржи, в том числе осуществленные кредитными организациями – профессиональными участниками операции по конвертации валюты на основании поручения клиента, открытие вклада (депозита) в кредитной организации.</w:t>
      </w:r>
    </w:p>
    <w:p>
      <w:pPr>
        <w:pStyle w:val="BodyText"/>
      </w:pPr>
      <w:r>
        <w:t xml:space="preserve">Перевод ценных бумаг из другого депозитария не соответствует критериям отнесения клиента к активным клиентам.</w:t>
      </w:r>
    </w:p>
    <w:p>
      <w:pPr>
        <w:pStyle w:val="BodyText"/>
      </w:pPr>
      <w:r>
        <w:t xml:space="preserve">Под «последней сделкой» в п. 3.2.2 Порядка составления и представления отчетности по форме 0409724 понимается любая сделка (РЕПО, биржевая купля/продажа и внебиржевая купля/продажа)?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Понимание, изложенное в вопросе, является верным.</w:t>
      </w:r>
    </w:p>
    <w:p>
      <w:pPr>
        <w:pStyle w:val="BodyText"/>
      </w:pPr>
      <w:r>
        <w:t xml:space="preserve">Стоимость в графах, например, графе 6 раздела 5 отчетности по форме 0409724, графе 10 раздела 6 отчетности по форме 0409724, графе 5 раздела 7 отчетности по форме 0409724 – это стоимость на отчетную дату с учетом переоценки? Почему в п. 3.2.2 Порядка составления и представления отчетности по форме 0409724 описание идет о способах оценки стоимости, но на дату приобретения?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Стоимостная оценка на дату поступления в портфель и изъятия из портфеля указывается только для целей заполнения раздела 2 отчетности по форме 0409724. Значения в графе 6 раздела 5 отчетности по форме 0409724, графе 10 раздела 6 отчетности по форме 0409724, графе 5 раздела 7 отчетности по форме 0409724 определяются по состоянию на отчетную дату.</w:t>
      </w:r>
    </w:p>
    <w:p>
      <w:pPr>
        <w:pStyle w:val="BodyText"/>
      </w:pPr>
      <w:r>
        <w:t xml:space="preserve">Требуется ли утвердить Приказом или иным распорядительным документом порядок присвоения идентификационных кодов?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Закрепление идентификационных кодов и правил их формирования на уровне внутреннего нормативного документа кредитной организации-профессионального участника не требуется.</w:t>
      </w:r>
    </w:p>
    <w:p>
      <w:pPr>
        <w:pStyle w:val="BodyText"/>
      </w:pPr>
      <w:r>
        <w:t xml:space="preserve">В случае если по счету клиента проходит удержание суммы налогов, тогда мы учитываем это списание в рамках раздела 2 отчетности по форме 0409724?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Информацию об изъятиях в графе 7 раздела 2 отчетности по форме 0409724 следует отражать на основании поданных клиентами поручений. При этом сумма, указанная в поручении клиента как сумма к выводу, должна быть отражена по графе «Изъятия» в полном объеме несмотря на то, что из указанной суммы могут быть удержаны налоги, комиссии или иные сборы и фактически выведенная клиенту сумма будет за вычетом указанных удержаний.</w:t>
      </w:r>
    </w:p>
    <w:p>
      <w:pPr>
        <w:pStyle w:val="BodyText"/>
      </w:pPr>
      <w:r>
        <w:t xml:space="preserve">Вместе с тем суммы налогов, комиссий или иных сборов, удерживаемых со счета клиента не в рамках поданных клиентами поручений, не отражаются по графе «Изъятия».</w:t>
      </w:r>
    </w:p>
    <w:p>
      <w:pPr>
        <w:pStyle w:val="BodyText"/>
      </w:pPr>
      <w:r>
        <w:t xml:space="preserve">Что подразумевается в последнем абзаце п. 7.2.7 Порядка составления и представления отчетности по форме 0409724: при совершении операций по внесению имущества в ИП для получения КСУ не подлежат отражению сведения о стоимости КСУ, учтенных в интересах клиентов на счетах ВУ в результате совершения операций по внесению имущества в ИП для получения КСУ. При совершении указанных операций имущество, переданное в ИП, отражается по тому же типу актива, по которому оно отражалось до дня передачи?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Абзац восьмой п. 7.2.7 Порядка составления и представления отчетности по форме 0409724 говорит о том, что имущество, переданное в имущественный пул, следует отражать по тому же типу актива, по которому оно отражалось до дня передачи, поскольку при передаче активов в имущественный пул право собственности на них и право получения выплат по ним не утрачиваются их собственником.</w:t>
      </w:r>
    </w:p>
    <w:p>
      <w:pPr>
        <w:pStyle w:val="BodyText"/>
      </w:pPr>
      <w:r>
        <w:t xml:space="preserve">В разделе 9 отчетности по форме 0409724 требования и обязательства по маржируемым ПФИ отражаются также, как и в 8 разделе отчетности по форме 0409724, то есть равные нулю?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разделе 9 отчетности по форме 0409724 информацию по сделкам с ПФИ, в том числе маржируемым, следует отражать в случае наличия на отчетную дату неисполненных требований и/или обязательств. В случае их отсутствия отражать информацию и указывать значение «0» (ноль) не следует.</w:t>
      </w:r>
    </w:p>
    <w:p>
      <w:pPr>
        <w:pStyle w:val="BodyText"/>
      </w:pPr>
      <w:r>
        <w:t xml:space="preserve">Что указывать в графе 7 раздела 9 отчетности по форме 0409724 в случае сделок с акциями и облигациями на Московской бирже.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указанном в вопросе случае следует указать значение «НКО НКЦ (АО)».</w:t>
      </w:r>
    </w:p>
    <w:p>
      <w:pPr>
        <w:pStyle w:val="BodyText"/>
      </w:pPr>
      <w:r>
        <w:t xml:space="preserve">В разделе 2 отчетности по форме 0409724 перевод денежных средств по поручению клиента между разными договорами клиента нужно ли отражать, как списание</w:t>
      </w:r>
      <w:r>
        <w:t xml:space="preserve">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Для целей отражения информации в разделе 2 отчетности по форме 0409724 переводы денежных средств по поручению клиента между несколькими заключенными договорами на брокерское обслуживание и/или доверительное управление будут являться поступлением для одного договора и изъятием для другого договора и должны быть отражены в разделе 2 отчетности по форме 0409724 в случае, если указанные договоры относятся к разным группам договоров в рамках подраздела 1.2 раздела 1 отчетности по форме 0409724.</w:t>
      </w:r>
    </w:p>
    <w:p>
      <w:pPr>
        <w:pStyle w:val="BodyText"/>
      </w:pPr>
      <w:r>
        <w:t xml:space="preserve">В случае если нет значений по символьным показателям, то как заполнять данную информацию?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указанном в вопросе случае соответствующие графы не заполняются (поля следует оставить пустыми).</w:t>
      </w:r>
    </w:p>
    <w:p>
      <w:pPr>
        <w:pStyle w:val="BodyText"/>
      </w:pPr>
      <w:r>
        <w:t xml:space="preserve">Верно ли Банк понимает, что в графах 4-9 раздела 2 отчетности по форме 0409724 учитываются активы, зачисленные и списанные только на основании поручения клиента?</w:t>
      </w:r>
    </w:p>
    <w:p>
      <w:pPr>
        <w:pStyle w:val="BodyText"/>
      </w:pPr>
      <w:r>
        <w:t xml:space="preserve">Если зачисление или списание актива было осуществлено в рамках Регламента/Договора с клиентом, должна ли данная информация учитываться в графах 4-9 раздела 2 отчетности по форме 0409724?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В графах 7-9 раздела 2 отчетности по форме 0409724 учитываются активы, списанные только на основании поручения клиента.</w:t>
      </w:r>
    </w:p>
    <w:p>
      <w:pPr>
        <w:pStyle w:val="BodyText"/>
      </w:pPr>
      <w:r>
        <w:t xml:space="preserve">Поступления и изъятия активов, описанные во втором пункте вопроса, не подлежат отражению в графах 4-9 раздела 2 отчетности по форме 0409724, если они не были списаны на основании поручения клиента либо не были зачислены клиентом путем самостоятельного зачисления соответствующих активов в состав портфелей в рамках договоров на брокерское обслуживание и/или доверительное управление.</w:t>
      </w:r>
    </w:p>
    <w:p>
      <w:pPr>
        <w:pStyle w:val="BodyText"/>
      </w:pPr>
      <w:r>
        <w:t xml:space="preserve">Нужно ли в разделе 9 отчетности по форме 0409724 указывать информацию по требованиям/обязательствам, которые возникают по валютным свопам?</w:t>
      </w:r>
    </w:p>
    <w:p>
      <w:pPr>
        <w:pStyle w:val="BodyText"/>
      </w:pPr>
      <w:r>
        <w:t xml:space="preserve">Если нужно, то какой тип требования (обязательства) нужно указывать?</w:t>
      </w:r>
    </w:p>
    <w:p>
      <w:pPr>
        <w:pStyle w:val="BodyText"/>
      </w:pPr>
      <w:r>
        <w:t xml:space="preserve">Обновлено: 10.04.2026</w:t>
      </w:r>
    </w:p>
    <w:p>
      <w:pPr>
        <w:pStyle w:val="BodyText"/>
      </w:pPr>
      <w:r>
        <w:t xml:space="preserve">Информация о неисполненных на отчетную дату требованиях и/или обязательствах по валютным свопам подлежит отражению в разделе 9 отчетности по форме 0409724 с указанием в графе 5 раздела 9 отчетности по форме 0409724 кода «4» (Сделки ПФИ), если валютный своп соответствует определению своп-договора, указанному в п. 5 Указания Банка России от 16.02.2015 № 3565-У «О видах производных финансовых инструментов»; в ином случае информация о требованиях и/или обязательствах по валютным свопам отражается в разделе 9 отчетности по форме 0409724 с указанием в графе 5 раздела 9 отчетности по форме 0409724 кода «6» (Сделки с иностранной валютой).</w:t>
      </w:r>
    </w:p>
    <w:p>
      <w:pPr>
        <w:pStyle w:val="BodyText"/>
      </w:pPr>
      <w:r>
        <w:t xml:space="preserve">Просим разъяснить, что понимается под понятием «сделки РЕПО по переносу позиций»?</w:t>
      </w:r>
    </w:p>
    <w:p>
      <w:pPr>
        <w:pStyle w:val="BodyText"/>
      </w:pPr>
      <w:r>
        <w:t xml:space="preserve">И чем «сделки РЕПО по переносу позиций» отличаются от сделок РЕПО (за исключением сделок РЕПО по переносу позиций)?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Под сделкой репо по переносу позиций следует понимать операцию, совершаемую для целей переноса задолженности клиента с одного дня на другой.</w:t>
      </w:r>
    </w:p>
    <w:p>
      <w:pPr>
        <w:pStyle w:val="BodyText"/>
      </w:pPr>
      <w:r>
        <w:t xml:space="preserve">Требования и/или обязательства по указанным сделкам следует отражать отдельно с указанием по графе 5 раздела 9 отчетности по форме 0409724 кода «2».</w:t>
      </w:r>
    </w:p>
    <w:p>
      <w:pPr>
        <w:pStyle w:val="BodyText"/>
      </w:pPr>
      <w:r>
        <w:t xml:space="preserve">По классическим сделкам репо информацию следует отражать отдельно с указанием по графе 5 раздела 9 отчетности по форме 0409724 кода «1».</w:t>
      </w:r>
    </w:p>
    <w:p>
      <w:pPr>
        <w:pStyle w:val="BodyText"/>
      </w:pPr>
      <w:r>
        <w:t xml:space="preserve">Поясните смысл последнего абзаца п. 10.2.8 Порядка составления и представления отчетности по форме 0409724: «Для заключенных на основании договора комиссии сделок клиентов, являющимися контрагентами, заполняется информация о кредитной организации — профессиональном участнике, а информация о сделке указывается двумя строками.»</w:t>
      </w:r>
    </w:p>
    <w:p>
      <w:pPr>
        <w:pStyle w:val="BodyText"/>
      </w:pPr>
      <w:r>
        <w:t xml:space="preserve">Обновлено: 26.01.2024</w:t>
      </w:r>
    </w:p>
    <w:p>
      <w:pPr>
        <w:pStyle w:val="BodyText"/>
      </w:pPr>
      <w:r>
        <w:t xml:space="preserve">Указанный абзац говорит о том, что информация о сделках, заключенных между клиентами отчитывающейся кредитной организации-профессионального участника на основании договора комиссии, должны быть отражены двумя строками:</w:t>
      </w:r>
    </w:p>
    <w:p>
      <w:pPr>
        <w:pStyle w:val="BodyText"/>
      </w:pPr>
      <w:r>
        <w:t xml:space="preserve">1 строка — в отношении клиента 1;</w:t>
      </w:r>
    </w:p>
    <w:p>
      <w:pPr>
        <w:pStyle w:val="BodyText"/>
      </w:pPr>
      <w:r>
        <w:t xml:space="preserve">2 строка — в отношении клиента 2.</w:t>
      </w:r>
    </w:p>
    <w:p>
      <w:pPr>
        <w:pStyle w:val="BodyText"/>
      </w:pPr>
      <w:r>
        <w:t xml:space="preserve">В качестве контрагента по требованиям/обязательствам, возникшим по таким сделкам, указывается отчитывающаяся кредитная организация-профессиональный участник.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2026-09-27T11:01:32Z</dcterms:created>
  <dcterms:modified xsi:type="dcterms:W3CDTF">2026-09-27T11:01:32Z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