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a0306e86a180724aa85ed102a3e88b5ff87cea"/>
    <w:p>
      <w:pPr>
        <w:pStyle w:val="Heading1"/>
      </w:pPr>
      <w:r>
        <w:t xml:space="preserve">Разделы 8 и 9 формы отчетности 0409135 «Информация об обязательных нормативах и о других показателях деятельности кредитной организации» (с учетом сведений, предусмотренных Указанием Банка России от 31.08.2018 № 4892-У)</w:t>
      </w:r>
    </w:p>
    <w:p>
      <w:pPr>
        <w:pStyle w:val="FirstParagraph"/>
      </w:pPr>
      <w:r>
        <w:t xml:space="preserve">Разделы 8 и 9 формы отчетности 0409135 «Информация об обязательных нормативах и о других показателях деятельности кредитной организации» (с учетом сведений, предусмотренных Указанием Банка России от 31.08.2018 № 4892-У)</w:t>
      </w:r>
    </w:p>
    <w:p>
      <w:pPr>
        <w:pStyle w:val="BodyText"/>
      </w:pPr>
      <w:r>
        <w:t xml:space="preserve">Новые разъяснения</w:t>
      </w:r>
    </w:p>
    <w:p>
      <w:pPr>
        <w:pStyle w:val="BodyText"/>
      </w:pPr>
      <w:r>
        <w:t xml:space="preserve">Как правильно отражать кредитные требования и требования по получению начисленных процентов по кредитам (займам) в разделе 8 формы отчетности 0409135 «Информация об обязательных нормативах и о других показателях деятельности кредитной организации»?</w:t>
      </w:r>
    </w:p>
    <w:p>
      <w:pPr>
        <w:pStyle w:val="BodyText"/>
      </w:pPr>
      <w:r>
        <w:t xml:space="preserve">Обновлено: 28.11.2023</w:t>
      </w:r>
    </w:p>
    <w:p>
      <w:pPr>
        <w:pStyle w:val="BodyText"/>
      </w:pPr>
      <w:r>
        <w:t xml:space="preserve">В связи с выявленными случаями некорректного заполнения ряда граф раздела 8 «Информация о надбавках к коэффициентам риска по отдельным видам активов» формы отчетности 0409135 Банк России направлял кредитным организациям информационные письма с разъяснениями к порядку их заполнения (№№ ИН-05-35/57 от 08.07.2019 и ИН-05-35/17 от 18.02.2019)*.</w:t>
      </w:r>
    </w:p>
    <w:p>
      <w:pPr>
        <w:pStyle w:val="BodyText"/>
      </w:pPr>
      <w:r>
        <w:t xml:space="preserve">Пример заполнения раздела 8 «Информация о надбавках к коэффициентам риска по отдельным видам активов» формы отчетности 0409135 «Информация об обязательных нормативах и о других показателях деятельности кредитной организации» (на отчетную дату 1 июля 2019 года):</w:t>
      </w:r>
    </w:p>
    <w:p>
      <w:pPr>
        <w:pStyle w:val="BodyText"/>
      </w:pPr>
      <w:r>
        <w:t xml:space="preserve">В раздел 8 отчетности на отчетную дату (1 июля 2019 года) в приведенном примере включаются следующие кредитные требования:</w:t>
      </w:r>
    </w:p>
    <w:p>
      <w:pPr>
        <w:pStyle w:val="BodyText"/>
      </w:pPr>
      <w:r>
        <w:t xml:space="preserve">По кредитам (займам), предоставленным физическим лицам на потребительские цели: Дата выдачи кредитов (займов) — август 2015 года. Задолженность по кредитам (займам) на потребительские цели в рублях на отчетную дату составляет 1 000 000 тыс. руб. ПСК 1 на момент выдачи кредита (займа) превышает 35 процентов и не превышает 45 процентов. РВПС 2 по данным кредитам составляет 600 000 тыс. руб. Учитывая, что текущий расчет производится до 1 октября 2019 года, кредитная организация указывает код 1000.i. В соответствии с приложением 8 к Указанию Банка России № 4892-У 3 кредитам (займам), предоставленным физическим лица на потребительские цели в рублях, по которым значение ПСК на момент выдачи кредита (займа) превышает значение «ж» и не превышает значение «з» (таблица 1), соответствует код 2008.i. Таблица 1. Значения границ диапазонов полной стоимости потребительского кредита (займа) за период с 01.01.2014 по 01.08.2016. Период, в котором возникли кредитные требования Полная стоимость кредита (ПСК), % а б в г д е ж з и 01.01.2014-01.08.2016 x x x x x x 35 45 60 Надбавка к коэффициентам риска по приведенным в данном примере кредитам (займам) составит 0,4 (таблица 2). Таблица 2. Надбавка к коэффициентам риска, установленная для кода 2008.i за период с 01.08.2015 по 01.05.2016. Код 1000.i 2008.i 0,4 Результат применения надбавки к активам за вычетом РВПС составит 0,4 x 400 000 = 160 000 тыс. руб. 4 Пример заполнения отчетности по указанным кредитам (займам) приведен в таблице 5.</w:t>
      </w:r>
    </w:p>
    <w:p>
      <w:pPr>
        <w:pStyle w:val="BodyText"/>
      </w:pPr>
      <w:r>
        <w:t xml:space="preserve">Дата выдачи кредитов (займов) — август 2015 года.</w:t>
      </w:r>
    </w:p>
    <w:p>
      <w:pPr>
        <w:pStyle w:val="BodyText"/>
      </w:pPr>
      <w:r>
        <w:t xml:space="preserve">Задолженность по кредитам (займам) на потребительские цели в рублях на отчетную дату составляет 1 000 000 тыс. руб.</w:t>
      </w:r>
    </w:p>
    <w:p>
      <w:pPr>
        <w:pStyle w:val="BodyText"/>
      </w:pPr>
      <w:r>
        <w:t xml:space="preserve">ПСК 1 на момент выдачи кредита (займа) превышает 35 процентов и не превышает 45 процентов.</w:t>
      </w:r>
    </w:p>
    <w:p>
      <w:pPr>
        <w:pStyle w:val="BodyText"/>
      </w:pPr>
      <w:r>
        <w:t xml:space="preserve">РВПС 2 по данным кредитам составляет 600 000 тыс. руб.</w:t>
      </w:r>
    </w:p>
    <w:p>
      <w:pPr>
        <w:pStyle w:val="BodyText"/>
      </w:pPr>
      <w:r>
        <w:t xml:space="preserve">Учитывая, что текущий расчет производится до 1 октября 2019 года, кредитная организация указывает код 1000.i.</w:t>
      </w:r>
    </w:p>
    <w:p>
      <w:pPr>
        <w:pStyle w:val="BodyText"/>
      </w:pPr>
      <w:r>
        <w:t xml:space="preserve">В соответствии с приложением 8 к Указанию Банка России № 4892-У 3 кредитам (займам), предоставленным физическим лица на потребительские цели в рублях, по которым значение ПСК на момент выдачи кредита (займа) превышает значение «ж» и не превышает значение «з» (таблица 1), соответствует код 2008.i.</w:t>
      </w:r>
    </w:p>
    <w:p>
      <w:pPr>
        <w:pStyle w:val="BodyText"/>
      </w:pPr>
      <w:r>
        <w:t xml:space="preserve">Таблица 1. Значения границ диапазонов полной стоимости потребительского кредита (займа) за период с 01.01.2014 по 01.08.2016.</w:t>
      </w:r>
    </w:p>
    <w:p>
      <w:pPr>
        <w:pStyle w:val="BodyText"/>
      </w:pPr>
      <w:r>
        <w:t xml:space="preserve">Период, в котором возникли кредитные требования</w:t>
      </w:r>
    </w:p>
    <w:p>
      <w:pPr>
        <w:pStyle w:val="BodyText"/>
      </w:pPr>
      <w:r>
        <w:t xml:space="preserve">Полная стоимость кредита (ПСК), %</w:t>
      </w:r>
    </w:p>
    <w:p>
      <w:pPr>
        <w:pStyle w:val="BodyText"/>
      </w:pPr>
      <w:r>
        <w:t xml:space="preserve">а</w:t>
      </w:r>
    </w:p>
    <w:p>
      <w:pPr>
        <w:pStyle w:val="BodyText"/>
      </w:pPr>
      <w:r>
        <w:t xml:space="preserve">б</w:t>
      </w:r>
    </w:p>
    <w:p>
      <w:pPr>
        <w:pStyle w:val="BodyText"/>
      </w:pPr>
      <w:r>
        <w:t xml:space="preserve">в</w:t>
      </w:r>
    </w:p>
    <w:p>
      <w:pPr>
        <w:pStyle w:val="BodyText"/>
      </w:pPr>
      <w:r>
        <w:t xml:space="preserve">г</w:t>
      </w:r>
    </w:p>
    <w:p>
      <w:pPr>
        <w:pStyle w:val="BodyText"/>
      </w:pPr>
      <w:r>
        <w:t xml:space="preserve">д</w:t>
      </w:r>
    </w:p>
    <w:p>
      <w:pPr>
        <w:pStyle w:val="BodyText"/>
      </w:pPr>
      <w:r>
        <w:t xml:space="preserve">е</w:t>
      </w:r>
    </w:p>
    <w:p>
      <w:pPr>
        <w:pStyle w:val="BodyText"/>
      </w:pPr>
      <w:r>
        <w:t xml:space="preserve">ж</w:t>
      </w:r>
    </w:p>
    <w:p>
      <w:pPr>
        <w:pStyle w:val="BodyText"/>
      </w:pPr>
      <w:r>
        <w:t xml:space="preserve">з</w:t>
      </w:r>
    </w:p>
    <w:p>
      <w:pPr>
        <w:pStyle w:val="BodyText"/>
      </w:pPr>
      <w:r>
        <w:t xml:space="preserve">и</w:t>
      </w:r>
    </w:p>
    <w:p>
      <w:pPr>
        <w:pStyle w:val="BodyText"/>
      </w:pPr>
      <w:r>
        <w:t xml:space="preserve">01.01.2014-01.08.2016</w:t>
      </w:r>
    </w:p>
    <w:p>
      <w:pPr>
        <w:pStyle w:val="BodyText"/>
      </w:pPr>
      <w:r>
        <w:t xml:space="preserve">x</w:t>
      </w:r>
    </w:p>
    <w:p>
      <w:pPr>
        <w:pStyle w:val="BodyText"/>
      </w:pPr>
      <w:r>
        <w:t xml:space="preserve">Надбавка к коэффициентам риска по приведенным в данном примере кредитам (займам) составит 0,4 (таблица 2).</w:t>
      </w:r>
    </w:p>
    <w:p>
      <w:pPr>
        <w:pStyle w:val="BodyText"/>
      </w:pPr>
      <w:r>
        <w:t xml:space="preserve">Таблица 2. Надбавка к коэффициентам риска, установленная для кода 2008.i за период с 01.08.2015 по 01.05.2016.</w:t>
      </w:r>
    </w:p>
    <w:p>
      <w:pPr>
        <w:pStyle w:val="BodyText"/>
      </w:pPr>
      <w:r>
        <w:t xml:space="preserve">Код</w:t>
      </w:r>
    </w:p>
    <w:p>
      <w:pPr>
        <w:pStyle w:val="BodyText"/>
      </w:pPr>
      <w:r>
        <w:t xml:space="preserve">1000.i</w:t>
      </w:r>
    </w:p>
    <w:p>
      <w:pPr>
        <w:pStyle w:val="BodyText"/>
      </w:pPr>
      <w:r>
        <w:t xml:space="preserve">2008.i</w:t>
      </w:r>
    </w:p>
    <w:p>
      <w:pPr>
        <w:pStyle w:val="BodyText"/>
      </w:pPr>
      <w:r>
        <w:t xml:space="preserve">0,4</w:t>
      </w:r>
    </w:p>
    <w:p>
      <w:pPr>
        <w:pStyle w:val="BodyText"/>
      </w:pPr>
      <w:r>
        <w:t xml:space="preserve">Результат применения надбавки к активам за вычетом РВПС составит 0,4 x 400 000 = 160 000 тыс. руб. 4</w:t>
      </w:r>
    </w:p>
    <w:p>
      <w:pPr>
        <w:pStyle w:val="BodyText"/>
      </w:pPr>
      <w:r>
        <w:t xml:space="preserve">Пример заполнения отчетности по указанным кредитам (займам) приведен в таблице 5.</w:t>
      </w:r>
    </w:p>
    <w:p>
      <w:pPr>
        <w:pStyle w:val="BodyText"/>
      </w:pPr>
      <w:r>
        <w:t xml:space="preserve">По ипотечным кредитам (займам), предоставленным физическим лицам: Дата выдачи кредитов (займов) — сентябрь 2016 года. Задолженность по ипотечным кредитам (займам) в рублях на отчетную дату составляет 2 000 000 тыс. руб. Величина основного долга на дату выдачи кредитов (займов) составляет более 50 миллионов рублей. Соотношение величины основного долга к справедливой стоимости предмета залога, рассчитанное на дату расчета нормативов, превышает 80 процентов от справедливой стоимости предмета залога. Соотношение величины основного долга к справедливой стоимости предмета залога, рассчитанное на дату выдачи кредита (займа), превышает 80 и не превышает 90 процентов от справедливой стоимости предмета залога. РВПС по данным кредитам составляет 700 000 тыс. руб. Учитывая, что текущий расчет производится до 1 октября 2019 года, кредитная организация указывает код 1000.i. В соответствии с приложением 8 к Указанию Банка России № 4892-У таким ипотечным кредитам (займам) соответствует код 3010.i. Надбавка к коэффициентам риска по приведенным в данном примере кредитам (займам) составит 0,5 (таблица 3). Таблица 3. Надбавка к коэффициентам риска, установленная для кода 3010.i за период с 01.08.2016 по 01.03.2017. Код 1000.i 3010.i 0,5 Результат применения надбавки к активам за вычетом РВПС составит 0,5 x 1 300 000 = 650 000 тыс. руб. Пример заполнения отчетности по указанным кредитам (займам) приведен в таблице 5.</w:t>
      </w:r>
    </w:p>
    <w:p>
      <w:pPr>
        <w:pStyle w:val="BodyText"/>
      </w:pPr>
      <w:r>
        <w:t xml:space="preserve">Дата выдачи кредитов (займов) — сентябрь 2016 года.</w:t>
      </w:r>
    </w:p>
    <w:p>
      <w:pPr>
        <w:pStyle w:val="BodyText"/>
      </w:pPr>
      <w:r>
        <w:t xml:space="preserve">Задолженность по ипотечным кредитам (займам) в рублях на отчетную дату составляет 2 000 000 тыс. руб.</w:t>
      </w:r>
    </w:p>
    <w:p>
      <w:pPr>
        <w:pStyle w:val="BodyText"/>
      </w:pPr>
      <w:r>
        <w:t xml:space="preserve">Величина основного долга на дату выдачи кредитов (займов) составляет более 50 миллионов рублей.</w:t>
      </w:r>
    </w:p>
    <w:p>
      <w:pPr>
        <w:pStyle w:val="BodyText"/>
      </w:pPr>
      <w:r>
        <w:t xml:space="preserve">Соотношение величины основного долга к справедливой стоимости предмета залога, рассчитанное на дату расчета нормативов, превышает 80 процентов от справедливой стоимости предмета залога.</w:t>
      </w:r>
    </w:p>
    <w:p>
      <w:pPr>
        <w:pStyle w:val="BodyText"/>
      </w:pPr>
      <w:r>
        <w:t xml:space="preserve">Соотношение величины основного долга к справедливой стоимости предмета залога, рассчитанное на дату выдачи кредита (займа), превышает 80 и не превышает 90 процентов от справедливой стоимости предмета залога.</w:t>
      </w:r>
    </w:p>
    <w:p>
      <w:pPr>
        <w:pStyle w:val="BodyText"/>
      </w:pPr>
      <w:r>
        <w:t xml:space="preserve">РВПС по данным кредитам составляет 700 000 тыс. руб.</w:t>
      </w:r>
    </w:p>
    <w:p>
      <w:pPr>
        <w:pStyle w:val="BodyText"/>
      </w:pPr>
      <w:r>
        <w:t xml:space="preserve">Учитывая, что текущий расчет производится до 1 октября 2019 года, кредитная организация указывает код 1000.i.</w:t>
      </w:r>
    </w:p>
    <w:p>
      <w:pPr>
        <w:pStyle w:val="BodyText"/>
      </w:pPr>
      <w:r>
        <w:t xml:space="preserve">В соответствии с приложением 8 к Указанию Банка России № 4892-У таким ипотечным кредитам (займам) соответствует код 3010.i.</w:t>
      </w:r>
    </w:p>
    <w:p>
      <w:pPr>
        <w:pStyle w:val="BodyText"/>
      </w:pPr>
      <w:r>
        <w:t xml:space="preserve">Надбавка к коэффициентам риска по приведенным в данном примере кредитам (займам) составит 0,5 (таблица 3).</w:t>
      </w:r>
    </w:p>
    <w:p>
      <w:pPr>
        <w:pStyle w:val="BodyText"/>
      </w:pPr>
      <w:r>
        <w:t xml:space="preserve">Таблица 3. Надбавка к коэффициентам риска, установленная для кода 3010.i за период с 01.08.2016 по 01.03.2017.</w:t>
      </w:r>
    </w:p>
    <w:p>
      <w:pPr>
        <w:pStyle w:val="BodyText"/>
      </w:pPr>
      <w:r>
        <w:t xml:space="preserve">Код</w:t>
      </w:r>
    </w:p>
    <w:p>
      <w:pPr>
        <w:pStyle w:val="BodyText"/>
      </w:pPr>
      <w:r>
        <w:t xml:space="preserve">1000.i</w:t>
      </w:r>
    </w:p>
    <w:p>
      <w:pPr>
        <w:pStyle w:val="BodyText"/>
      </w:pPr>
      <w:r>
        <w:t xml:space="preserve">3010.i</w:t>
      </w:r>
    </w:p>
    <w:p>
      <w:pPr>
        <w:pStyle w:val="BodyText"/>
      </w:pPr>
      <w:r>
        <w:t xml:space="preserve">0,5</w:t>
      </w:r>
    </w:p>
    <w:p>
      <w:pPr>
        <w:pStyle w:val="BodyText"/>
      </w:pPr>
      <w:r>
        <w:t xml:space="preserve">Результат применения надбавки к активам за вычетом РВПС составит 0,5 x 1 300 000 = 650 000 тыс. руб.</w:t>
      </w:r>
    </w:p>
    <w:p>
      <w:pPr>
        <w:pStyle w:val="BodyText"/>
      </w:pPr>
      <w:r>
        <w:t xml:space="preserve">Пример заполнения отчетности по указанным кредитам (займам) приведен в таблице 5.</w:t>
      </w:r>
    </w:p>
    <w:p>
      <w:pPr>
        <w:pStyle w:val="BodyText"/>
      </w:pPr>
      <w:r>
        <w:t xml:space="preserve">По кредитам (займам), предоставленным юридическим лицам: Дата выдачи кредитов (займов) — октябрь 2018 года. Задолженность по кредитам (займам), предоставленным юридическим лицам в иностранной валюте на цели приобретения недвижимости на отчетную дату составляет 5 000 000 тыс. руб. РВПС по данным кредитам составляет 500 000 тыс. руб. Поскольку по кредитам (займам), предоставленным юридическим лицам, показатель долговой нагрузки не рассчитывается, то коды раздела 1 приложения 8 к Указанию Банка России № 4892-У не указываются. В соответствии с приложением 8 к Указанию Банка России № 4892-У кредитам (займам), предоставленным юридическим лицам в иностранной валюте на цели приобретения недвижимости, соответствует код 6006.i. Надбавка к коэффициентам риска по приведенным в данном примере кредитам (займам) составит 0,5. Таблица 4. Надбавка к коэффициентам риска, установленная для кода 6006.i за период с 01.09.2018 по 01.01.2019. Код 6006.i 6006.i 0,5 Результат применения надбавки к активам за вычетом РВПС составит 0,5 x 4 500 000 = 2 250 000 тыс. руб. Пример заполнения отчетности по указанным кредитам (займам) приведен в таблице 5. Таблица 5. Пример заполнения отчетности по вышеуказанным кредитам (займам) (на 1 июля 2019 года): Период, в котором возникли кредитные требования Код обозначения Сумма кредитных требований, тыс. руб. Сумма кредитных требований, уменьшенная на величину резервов на возможные потери по ссудам, тыс. руб. Сумма кредитных требований, уменьшенная на величину резервов на возможные потери по ссудам, умноженная на надбавку к коэффициенту риска, тыс. руб. 1 2 3 4 5 08.2015 1000.0,2008.0 1 000 000 400 000 160 000 08.2015 1000.1,2008.1 1 000 000 400 000 160 000 08.2015 1000.2,2008.2 1 000 000 400 000 160 000 09.2016 1000.0,3010.0 2 000 000 1 300 000 650 000 09.2016 1000.1,3010.1 2 000 000 1 300 000 650 000 09.2016 1000.2,3010.2 2 000 000 1 300 000 650 000 10.2018 6006.0 5 000 000 4 500 000 2 250 000 10.2018 6006.1 5 000 000 4 500 000 2 250 000 10.2018 6006.2 5 000 000 4 500 000 2 250 000</w:t>
      </w:r>
    </w:p>
    <w:p>
      <w:pPr>
        <w:pStyle w:val="BodyText"/>
      </w:pPr>
      <w:r>
        <w:t xml:space="preserve">Дата выдачи кредитов (займов) — октябрь 2018 года.</w:t>
      </w:r>
    </w:p>
    <w:p>
      <w:pPr>
        <w:pStyle w:val="BodyText"/>
      </w:pPr>
      <w:r>
        <w:t xml:space="preserve">Задолженность по кредитам (займам), предоставленным юридическим лицам в иностранной валюте на цели приобретения недвижимости на отчетную дату составляет 5 000 000 тыс. руб.</w:t>
      </w:r>
    </w:p>
    <w:p>
      <w:pPr>
        <w:pStyle w:val="BodyText"/>
      </w:pPr>
      <w:r>
        <w:t xml:space="preserve">РВПС по данным кредитам составляет 500 000 тыс. руб.</w:t>
      </w:r>
    </w:p>
    <w:p>
      <w:pPr>
        <w:pStyle w:val="BodyText"/>
      </w:pPr>
      <w:r>
        <w:t xml:space="preserve">Поскольку по кредитам (займам), предоставленным юридическим лицам, показатель долговой нагрузки не рассчитывается, то коды раздела 1 приложения 8 к Указанию Банка России № 4892-У не указываются.</w:t>
      </w:r>
    </w:p>
    <w:p>
      <w:pPr>
        <w:pStyle w:val="BodyText"/>
      </w:pPr>
      <w:r>
        <w:t xml:space="preserve">В соответствии с приложением 8 к Указанию Банка России № 4892-У кредитам (займам), предоставленным юридическим лицам в иностранной валюте на цели приобретения недвижимости, соответствует код 6006.i.</w:t>
      </w:r>
    </w:p>
    <w:p>
      <w:pPr>
        <w:pStyle w:val="BodyText"/>
      </w:pPr>
      <w:r>
        <w:t xml:space="preserve">Надбавка к коэффициентам риска по приведенным в данном примере кредитам (займам) составит 0,5.</w:t>
      </w:r>
    </w:p>
    <w:p>
      <w:pPr>
        <w:pStyle w:val="BodyText"/>
      </w:pPr>
      <w:r>
        <w:t xml:space="preserve">Таблица 4. Надбавка к коэффициентам риска, установленная для кода 6006.i за период с 01.09.2018 по 01.01.2019.</w:t>
      </w:r>
    </w:p>
    <w:p>
      <w:pPr>
        <w:pStyle w:val="BodyText"/>
      </w:pPr>
      <w:r>
        <w:t xml:space="preserve">Код</w:t>
      </w:r>
    </w:p>
    <w:p>
      <w:pPr>
        <w:pStyle w:val="BodyText"/>
      </w:pPr>
      <w:r>
        <w:t xml:space="preserve">6006.i</w:t>
      </w:r>
    </w:p>
    <w:p>
      <w:pPr>
        <w:pStyle w:val="BodyText"/>
      </w:pPr>
      <w:r>
        <w:t xml:space="preserve">0,5</w:t>
      </w:r>
    </w:p>
    <w:p>
      <w:pPr>
        <w:pStyle w:val="BodyText"/>
      </w:pPr>
      <w:r>
        <w:t xml:space="preserve">Результат применения надбавки к активам за вычетом РВПС составит 0,5 x 4 500 000 = 2 250 000 тыс. руб.</w:t>
      </w:r>
    </w:p>
    <w:p>
      <w:pPr>
        <w:pStyle w:val="BodyText"/>
      </w:pPr>
      <w:r>
        <w:t xml:space="preserve">Пример заполнения отчетности по указанным кредитам (займам) приведен в таблице 5.</w:t>
      </w:r>
    </w:p>
    <w:p>
      <w:pPr>
        <w:pStyle w:val="BodyText"/>
      </w:pPr>
      <w:r>
        <w:t xml:space="preserve">Таблица 5. Пример заполнения отчетности по вышеуказанным кредитам (займам) (на 1 июля 2019 года):</w:t>
      </w:r>
    </w:p>
    <w:p>
      <w:pPr>
        <w:pStyle w:val="BodyText"/>
      </w:pPr>
      <w:r>
        <w:t xml:space="preserve">Период, в котором возникли кредитные требования</w:t>
      </w:r>
    </w:p>
    <w:p>
      <w:pPr>
        <w:pStyle w:val="BodyText"/>
      </w:pPr>
      <w:r>
        <w:t xml:space="preserve">Код обозначения</w:t>
      </w:r>
    </w:p>
    <w:p>
      <w:pPr>
        <w:pStyle w:val="BodyText"/>
      </w:pPr>
      <w:r>
        <w:t xml:space="preserve">Сумма кредитных требований, тыс. руб.</w:t>
      </w:r>
    </w:p>
    <w:p>
      <w:pPr>
        <w:pStyle w:val="BodyText"/>
      </w:pPr>
      <w:r>
        <w:t xml:space="preserve">Сумма кредитных требований, уменьшенная на величину резервов на возможные потери по ссудам, тыс. руб.</w:t>
      </w:r>
    </w:p>
    <w:p>
      <w:pPr>
        <w:pStyle w:val="BodyText"/>
      </w:pPr>
      <w:r>
        <w:t xml:space="preserve">Сумма кредитных требований, уменьшенная на величину резервов на возможные потери по ссудам,</w:t>
      </w:r>
    </w:p>
    <w:p>
      <w:pPr>
        <w:pStyle w:val="BodyText"/>
      </w:pPr>
      <w:r>
        <w:t xml:space="preserve">тыс. руб.</w:t>
      </w:r>
    </w:p>
    <w:p>
      <w:pPr>
        <w:pStyle w:val="BodyText"/>
      </w:pPr>
      <w:r>
        <w:t xml:space="preserve">Сумма кредитных требований, уменьшенная на величину резервов на возможные потери по ссудам, умноженная на надбавку к коэффициенту риска, тыс. руб.</w:t>
      </w:r>
    </w:p>
    <w:p>
      <w:pPr>
        <w:pStyle w:val="BodyText"/>
      </w:pPr>
      <w:r>
        <w:t xml:space="preserve">Сумма кредитных требований, уменьшенная на величину резервов на возможные потери по ссудам, умноженная на надбавку к коэффициенту риска,</w:t>
      </w:r>
    </w:p>
    <w:p>
      <w:pPr>
        <w:pStyle w:val="BodyText"/>
      </w:pPr>
      <w:r>
        <w:t xml:space="preserve">тыс. руб.</w:t>
      </w:r>
    </w:p>
    <w:p>
      <w:pPr>
        <w:pStyle w:val="BodyText"/>
      </w:pPr>
      <w:r>
        <w:t xml:space="preserve">08.2015</w:t>
      </w:r>
    </w:p>
    <w:p>
      <w:pPr>
        <w:pStyle w:val="BodyText"/>
      </w:pPr>
      <w:r>
        <w:t xml:space="preserve">1000.0,2008.0</w:t>
      </w:r>
    </w:p>
    <w:p>
      <w:pPr>
        <w:pStyle w:val="BodyText"/>
      </w:pPr>
      <w:r>
        <w:t xml:space="preserve">1 000 000</w:t>
      </w:r>
    </w:p>
    <w:p>
      <w:pPr>
        <w:pStyle w:val="BodyText"/>
      </w:pPr>
      <w:r>
        <w:t xml:space="preserve">400 000</w:t>
      </w:r>
    </w:p>
    <w:p>
      <w:pPr>
        <w:pStyle w:val="BodyText"/>
      </w:pPr>
      <w:r>
        <w:t xml:space="preserve">160 000</w:t>
      </w:r>
    </w:p>
    <w:p>
      <w:pPr>
        <w:pStyle w:val="BodyText"/>
      </w:pPr>
      <w:r>
        <w:t xml:space="preserve">08.2015</w:t>
      </w:r>
    </w:p>
    <w:p>
      <w:pPr>
        <w:pStyle w:val="BodyText"/>
      </w:pPr>
      <w:r>
        <w:t xml:space="preserve">1000.1,2008.1</w:t>
      </w:r>
    </w:p>
    <w:p>
      <w:pPr>
        <w:pStyle w:val="BodyText"/>
      </w:pPr>
      <w:r>
        <w:t xml:space="preserve">1 000 000</w:t>
      </w:r>
    </w:p>
    <w:p>
      <w:pPr>
        <w:pStyle w:val="BodyText"/>
      </w:pPr>
      <w:r>
        <w:t xml:space="preserve">400 000</w:t>
      </w:r>
    </w:p>
    <w:p>
      <w:pPr>
        <w:pStyle w:val="BodyText"/>
      </w:pPr>
      <w:r>
        <w:t xml:space="preserve">160 000</w:t>
      </w:r>
    </w:p>
    <w:p>
      <w:pPr>
        <w:pStyle w:val="BodyText"/>
      </w:pPr>
      <w:r>
        <w:t xml:space="preserve">08.2015</w:t>
      </w:r>
    </w:p>
    <w:p>
      <w:pPr>
        <w:pStyle w:val="BodyText"/>
      </w:pPr>
      <w:r>
        <w:t xml:space="preserve">1000.2,2008.2</w:t>
      </w:r>
    </w:p>
    <w:p>
      <w:pPr>
        <w:pStyle w:val="BodyText"/>
      </w:pPr>
      <w:r>
        <w:t xml:space="preserve">1 000 000</w:t>
      </w:r>
    </w:p>
    <w:p>
      <w:pPr>
        <w:pStyle w:val="BodyText"/>
      </w:pPr>
      <w:r>
        <w:t xml:space="preserve">400 000</w:t>
      </w:r>
    </w:p>
    <w:p>
      <w:pPr>
        <w:pStyle w:val="BodyText"/>
      </w:pPr>
      <w:r>
        <w:t xml:space="preserve">160 000</w:t>
      </w:r>
    </w:p>
    <w:p>
      <w:pPr>
        <w:pStyle w:val="BodyText"/>
      </w:pPr>
      <w:r>
        <w:t xml:space="preserve">09.2016</w:t>
      </w:r>
    </w:p>
    <w:p>
      <w:pPr>
        <w:pStyle w:val="BodyText"/>
      </w:pPr>
      <w:r>
        <w:t xml:space="preserve">1000.0,3010.0</w:t>
      </w:r>
    </w:p>
    <w:p>
      <w:pPr>
        <w:pStyle w:val="BodyText"/>
      </w:pPr>
      <w:r>
        <w:t xml:space="preserve">2 000 000</w:t>
      </w:r>
    </w:p>
    <w:p>
      <w:pPr>
        <w:pStyle w:val="BodyText"/>
      </w:pPr>
      <w:r>
        <w:t xml:space="preserve">1 300 000</w:t>
      </w:r>
    </w:p>
    <w:p>
      <w:pPr>
        <w:pStyle w:val="BodyText"/>
      </w:pPr>
      <w:r>
        <w:t xml:space="preserve">650 000</w:t>
      </w:r>
    </w:p>
    <w:p>
      <w:pPr>
        <w:pStyle w:val="BodyText"/>
      </w:pPr>
      <w:r>
        <w:t xml:space="preserve">09.2016</w:t>
      </w:r>
    </w:p>
    <w:p>
      <w:pPr>
        <w:pStyle w:val="BodyText"/>
      </w:pPr>
      <w:r>
        <w:t xml:space="preserve">1000.1,3010.1</w:t>
      </w:r>
    </w:p>
    <w:p>
      <w:pPr>
        <w:pStyle w:val="BodyText"/>
      </w:pPr>
      <w:r>
        <w:t xml:space="preserve">2 000 000</w:t>
      </w:r>
    </w:p>
    <w:p>
      <w:pPr>
        <w:pStyle w:val="BodyText"/>
      </w:pPr>
      <w:r>
        <w:t xml:space="preserve">1 300 000</w:t>
      </w:r>
    </w:p>
    <w:p>
      <w:pPr>
        <w:pStyle w:val="BodyText"/>
      </w:pPr>
      <w:r>
        <w:t xml:space="preserve">650 000</w:t>
      </w:r>
    </w:p>
    <w:p>
      <w:pPr>
        <w:pStyle w:val="BodyText"/>
      </w:pPr>
      <w:r>
        <w:t xml:space="preserve">09.2016</w:t>
      </w:r>
    </w:p>
    <w:p>
      <w:pPr>
        <w:pStyle w:val="BodyText"/>
      </w:pPr>
      <w:r>
        <w:t xml:space="preserve">1000.2,3010.2</w:t>
      </w:r>
    </w:p>
    <w:p>
      <w:pPr>
        <w:pStyle w:val="BodyText"/>
      </w:pPr>
      <w:r>
        <w:t xml:space="preserve">2 000 000</w:t>
      </w:r>
    </w:p>
    <w:p>
      <w:pPr>
        <w:pStyle w:val="BodyText"/>
      </w:pPr>
      <w:r>
        <w:t xml:space="preserve">1 300 000</w:t>
      </w:r>
    </w:p>
    <w:p>
      <w:pPr>
        <w:pStyle w:val="BodyText"/>
      </w:pPr>
      <w:r>
        <w:t xml:space="preserve">650 000</w:t>
      </w:r>
    </w:p>
    <w:p>
      <w:pPr>
        <w:pStyle w:val="BodyText"/>
      </w:pPr>
      <w:r>
        <w:t xml:space="preserve">10.2018</w:t>
      </w:r>
    </w:p>
    <w:p>
      <w:pPr>
        <w:pStyle w:val="BodyText"/>
      </w:pPr>
      <w:r>
        <w:t xml:space="preserve">6006.0</w:t>
      </w:r>
    </w:p>
    <w:p>
      <w:pPr>
        <w:pStyle w:val="BodyText"/>
      </w:pPr>
      <w:r>
        <w:t xml:space="preserve">5 000 000</w:t>
      </w:r>
    </w:p>
    <w:p>
      <w:pPr>
        <w:pStyle w:val="BodyText"/>
      </w:pPr>
      <w:r>
        <w:t xml:space="preserve">4 500 000</w:t>
      </w:r>
    </w:p>
    <w:p>
      <w:pPr>
        <w:pStyle w:val="BodyText"/>
      </w:pPr>
      <w:r>
        <w:t xml:space="preserve">2 250 000</w:t>
      </w:r>
    </w:p>
    <w:p>
      <w:pPr>
        <w:pStyle w:val="BodyText"/>
      </w:pPr>
      <w:r>
        <w:t xml:space="preserve">10.2018</w:t>
      </w:r>
    </w:p>
    <w:p>
      <w:pPr>
        <w:pStyle w:val="BodyText"/>
      </w:pPr>
      <w:r>
        <w:t xml:space="preserve">6006.1</w:t>
      </w:r>
    </w:p>
    <w:p>
      <w:pPr>
        <w:pStyle w:val="BodyText"/>
      </w:pPr>
      <w:r>
        <w:t xml:space="preserve">5 000 000</w:t>
      </w:r>
    </w:p>
    <w:p>
      <w:pPr>
        <w:pStyle w:val="BodyText"/>
      </w:pPr>
      <w:r>
        <w:t xml:space="preserve">4 500 000</w:t>
      </w:r>
    </w:p>
    <w:p>
      <w:pPr>
        <w:pStyle w:val="BodyText"/>
      </w:pPr>
      <w:r>
        <w:t xml:space="preserve">2 250 000</w:t>
      </w:r>
    </w:p>
    <w:p>
      <w:pPr>
        <w:pStyle w:val="BodyText"/>
      </w:pPr>
      <w:r>
        <w:t xml:space="preserve">10.2018</w:t>
      </w:r>
    </w:p>
    <w:p>
      <w:pPr>
        <w:pStyle w:val="BodyText"/>
      </w:pPr>
      <w:r>
        <w:t xml:space="preserve">6006.2</w:t>
      </w:r>
    </w:p>
    <w:p>
      <w:pPr>
        <w:pStyle w:val="BodyText"/>
      </w:pPr>
      <w:r>
        <w:t xml:space="preserve">5 000 000</w:t>
      </w:r>
    </w:p>
    <w:p>
      <w:pPr>
        <w:pStyle w:val="BodyText"/>
      </w:pPr>
      <w:r>
        <w:t xml:space="preserve">4 500 000</w:t>
      </w:r>
    </w:p>
    <w:p>
      <w:pPr>
        <w:pStyle w:val="BodyText"/>
      </w:pPr>
      <w:r>
        <w:t xml:space="preserve">2 250 000</w:t>
      </w:r>
    </w:p>
    <w:p>
      <w:pPr>
        <w:pStyle w:val="Compact"/>
        <w:numPr>
          <w:ilvl w:val="0"/>
          <w:numId w:val="1001"/>
        </w:numPr>
      </w:pPr>
      <w:r>
        <w:t xml:space="preserve">Указанные информационные письма отменены с 01.04.2021 информационным письмом Банка России от 30.03.2021 № ИН-05-35/18</w:t>
      </w:r>
    </w:p>
    <w:p>
      <w:pPr>
        <w:pStyle w:val="FirstParagraph"/>
      </w:pPr>
      <w:r>
        <w:t xml:space="preserve">1 Полная стоимость потребительского кредита (займа).</w:t>
      </w:r>
    </w:p>
    <w:p>
      <w:pPr>
        <w:pStyle w:val="BodyText"/>
      </w:pPr>
      <w:r>
        <w:t xml:space="preserve">2 Резервы на возможные потери по ссудам.</w:t>
      </w:r>
    </w:p>
    <w:p>
      <w:pPr>
        <w:pStyle w:val="BodyText"/>
      </w:pPr>
      <w:r>
        <w:t xml:space="preserve">3 Указание Банка России от 31.08.2018 № 4892-У «О видах активов, характеристиках видов активов, к которым устанавливаются надбавки к коэффициентам риска, и методике применения к указанным видам активов надбавок в целях расчета кредитными организациями нормативов достаточности капитала».</w:t>
      </w:r>
    </w:p>
    <w:p>
      <w:pPr>
        <w:pStyle w:val="BodyText"/>
      </w:pPr>
      <w:r>
        <w:t xml:space="preserve">4 Значение графы 5, полученное путем перемножения совокупного объема кредитных требований, уменьшенных на величину резервов на возможные потери по ссудам (графа 4) на размер надбавки к коэффициентам риска в рамках правил округления может отклоняться от результата, полученного путем суммирования результатов расчета надбавки для каждого отдельного кредита (займа) или портфеля однородных ссуд.</w:t>
      </w:r>
    </w:p>
    <w:p>
      <w:pPr>
        <w:pStyle w:val="BodyText"/>
      </w:pPr>
      <w:r>
        <w:t xml:space="preserve">Раздел 8 и раздел 9 Отчета</w:t>
      </w:r>
    </w:p>
    <w:p>
      <w:pPr>
        <w:pStyle w:val="BodyText"/>
      </w:pPr>
      <w:r>
        <w:t xml:space="preserve">Обязан ли банк при сдаче Отчета на ежедневной основе формировать и представлять в рамках данного Отчета раздел 8 и раздел 9? Или данные разделы формируются и представляются в составе Отчета только на ежемесячной основе?</w:t>
      </w:r>
    </w:p>
    <w:p>
      <w:pPr>
        <w:pStyle w:val="BodyText"/>
      </w:pPr>
      <w:r>
        <w:t xml:space="preserve">Обновлено: 05.04.2021</w:t>
      </w:r>
    </w:p>
    <w:p>
      <w:pPr>
        <w:pStyle w:val="BodyText"/>
      </w:pPr>
      <w:r>
        <w:t xml:space="preserve">Отчет представляется в Банк России в сроки, установленные пунктом 8 порядка составления и представления отчетности по форме 0409135.</w:t>
      </w:r>
    </w:p>
    <w:p>
      <w:pPr>
        <w:pStyle w:val="BodyText"/>
      </w:pPr>
      <w:r>
        <w:t xml:space="preserve">При этом информация по разделу 8 и разделу 9 Отчета представляется на ежемесячной основе, вне зависимости от периодичности представления кредитной организацией иных разделов Отчета.</w:t>
      </w:r>
    </w:p>
    <w:p>
      <w:pPr>
        <w:pStyle w:val="BodyText"/>
      </w:pPr>
      <w:r>
        <w:t xml:space="preserve">Какую дату следует указывать в графе 1 раздела 8 Отчета при наличии факта реструктуризации кредитов — дату выдачи кредита или дату реструктуризации?</w:t>
      </w:r>
    </w:p>
    <w:p>
      <w:pPr>
        <w:pStyle w:val="BodyText"/>
      </w:pPr>
      <w:r>
        <w:t xml:space="preserve">Обновлено: 05.04.2021</w:t>
      </w:r>
    </w:p>
    <w:p>
      <w:pPr>
        <w:pStyle w:val="BodyText"/>
      </w:pPr>
      <w:r>
        <w:t xml:space="preserve">В соответствии с пунктом 12.2 порядка составления и представления отчетности по форме 0409135 в в графе 1 раздела 8 Отчета указывается месяц и год возникновения требований по кредитам (займам) в формате «мм.гггг», где «мм» — месяц, «гггг» — год.</w:t>
      </w:r>
    </w:p>
    <w:p>
      <w:pPr>
        <w:pStyle w:val="BodyText"/>
      </w:pPr>
      <w:r>
        <w:t xml:space="preserve">При принятии кредитной организацией решения о реструктуризации задолженности по кредиту (займу) 1 и (или) решений, изменяющих условия договора кредита (займа), в том числе при продлении срока действия договора кредита (займа), в графе 1 раздела 8 Отчета указывается месяц и год реструктуризации задолженности по кредиту (займу) или изменений условий договора кредита (займа) соответственно.</w:t>
      </w:r>
    </w:p>
    <w:p>
      <w:pPr>
        <w:pStyle w:val="BodyText"/>
      </w:pPr>
      <w:r>
        <w:t xml:space="preserve">1 За исключением случаев, когда кредитная организация воспользовалась послаблениями, введенными Банком России на период распространения коронавирусной инфекции.</w:t>
      </w:r>
    </w:p>
    <w:p>
      <w:pPr>
        <w:pStyle w:val="BodyText"/>
      </w:pPr>
      <w:r>
        <w:t xml:space="preserve">Каков порядок включения в раздел 8 Отчета информации по кредитам, предоставленным с использованием банковской карты?</w:t>
      </w:r>
    </w:p>
    <w:p>
      <w:pPr>
        <w:pStyle w:val="BodyText"/>
      </w:pPr>
      <w:r>
        <w:t xml:space="preserve">Обновлено: 05.04.2021</w:t>
      </w:r>
    </w:p>
    <w:p>
      <w:pPr>
        <w:pStyle w:val="BodyText"/>
      </w:pPr>
      <w:r>
        <w:t xml:space="preserve">В соответствии с пунктом 9 Указания Банка России № 4892-У размер надбавки к коэффициентам риска для отдельного вида активов определяется кредитной организацией на основе квадранта (таблицы) Матрицы надбавок к коэффициентам риска , опубликованной на официальном сайте Банка России, который соответствует периоду возникновения кредитных требований и требований по получению начисленных (накопленных) процентов по кредитам (займам).</w:t>
      </w:r>
    </w:p>
    <w:p>
      <w:pPr>
        <w:pStyle w:val="BodyText"/>
      </w:pPr>
      <w:r>
        <w:t xml:space="preserve">Под периодом возникновения кредитных требований следует понимать дату выдачи денежных средств по кредиту (займу) (т.е. дату возникновения у заемщика обязательств перед кредитной организацией). При этом отмечаем, что факт заключения кредитной организацией с заемщиком договора потребительского кредита (займа) с лимитом кредитования и выдача ему кредитной карты в соответствии с указанным договором не влечет за собой автоматического появления обязательств перед данной кредитной организацией до тех пор, пока держатель кредитной карты не примет решение воспользоваться средствами кредитной карты (за исключением случаев взимания кредитной организацией комиссии за обслуживание кредитной карты).</w:t>
      </w:r>
    </w:p>
    <w:p>
      <w:pPr>
        <w:pStyle w:val="BodyText"/>
      </w:pPr>
      <w:r>
        <w:t xml:space="preserve">С учетом изложенного, период возникновения требований по кредитам, предоставленным с использованием банковских карт, будет соответствовать датам совершения по указанным банковским картам транзакций. Обращаем внимание, что поскольку увеличение (уменьшение) лимита кредитования по кредиту, предоставляемому с использованием банковской карты, не влияет на ранее произведенные транзакции, то такое событие не влечет за собой изменение периода возникновения требований по указанным кредитам.</w:t>
      </w:r>
    </w:p>
    <w:p>
      <w:pPr>
        <w:pStyle w:val="BodyText"/>
      </w:pPr>
      <w:r>
        <w:t xml:space="preserve">Таким образом, размещенное на официальном сайте Банка России разъяснение в отношении траншей, предоставленных в рамках генерального (рамочного) соглашения (договора) об открытии кредитной линии или предоставленных по банковской карте на условиях овердрафт, справедливо и в отношении транзакций, совершенных с использованием кредитной карты. Обращаем вниманием, что указанное разъяснение применяется только для целей применения надбавок к коэффициентам риска и не распространяется на порядок расчета ПДН.</w:t>
      </w:r>
    </w:p>
    <w:p>
      <w:pPr>
        <w:pStyle w:val="BodyText"/>
      </w:pPr>
      <w:r>
        <w:t xml:space="preserve">Одновременно отмечаем, что в соответствии с пунктом 12.1 порядка составления и представления отчетности по форме 0409135 при заполнении раздела 8 Отчета требования по кредитам (займам) 1 рекомендуется группировать в строках по периоду возникновения таких требований (графа 1 Отчета, указывается месяц и год) и коду (кодам) актива (графа 2 Отчета). Таким образом, задолженность по всем совершенным в рамках одного месяца соответствующего года транзакциям по кредитным картам 2 указывается в одной строке раздела 8 Отчета.</w:t>
      </w:r>
    </w:p>
    <w:p>
      <w:pPr>
        <w:pStyle w:val="BodyText"/>
      </w:pPr>
      <w:r>
        <w:t xml:space="preserve">Кроме того, отмечаем, в раздел 8 Отчета включается информация об активах, в отношении которых Банком России на основании решения Совета директоров Банка России, принятого в соответствии со статьей 45.2 Федерального закона № 86-ФЗ 3 , применяются надбавки к коэффициентам риска. В противном случае (т.е. если значение надбавки к коэффициентам риска принимает значение «н/п») информация о надбавках к коэффициентам риска в раздел 8 Отчета не включается.</w:t>
      </w:r>
    </w:p>
    <w:p>
      <w:pPr>
        <w:pStyle w:val="BodyText"/>
      </w:pPr>
      <w:r>
        <w:t xml:space="preserve">1 Включая требования по получению начисленных (накопленных) процентов по таким кредитам (займам). 2 С учетом требования о совпадении кодов активов. 3 Федеральный закон от 10.07.2002 № 86-ФЗ «О Центральном банке Российской Федерации (Банке России)».</w:t>
      </w:r>
    </w:p>
    <w:p>
      <w:pPr>
        <w:pStyle w:val="BodyText"/>
      </w:pPr>
      <w:r>
        <w:t xml:space="preserve">Следует ли пересчитывать ПДН при совершении заемщиком очередной транзакции по кредитам, предоставленным с использованием банковской карты?</w:t>
      </w:r>
    </w:p>
    <w:p>
      <w:pPr>
        <w:pStyle w:val="BodyText"/>
      </w:pPr>
      <w:r>
        <w:t xml:space="preserve">Обновлено: 07.04.2021</w:t>
      </w:r>
    </w:p>
    <w:p>
      <w:pPr>
        <w:pStyle w:val="BodyText"/>
      </w:pPr>
      <w:r>
        <w:t xml:space="preserve">Надбавки к коэффициентам риска для отдельных видов активов применяются в зависимости от установленных значений характеристик видов активов, в частности ПДН.</w:t>
      </w:r>
    </w:p>
    <w:p>
      <w:pPr>
        <w:pStyle w:val="BodyText"/>
      </w:pPr>
      <w:r>
        <w:t xml:space="preserve">Требования к расчету ПДН установлены приложением 1 к Указанию Банка России № 4892-У.</w:t>
      </w:r>
    </w:p>
    <w:p>
      <w:pPr>
        <w:pStyle w:val="BodyText"/>
      </w:pPr>
      <w:r>
        <w:t xml:space="preserve">Согласно пункту 1.1 приложения 1 к Указанию Банка России № 4892-У кредитная организация для кредитов (займов) с лимитом кредитования, в том числе предоставленных с использованием банковской карты, обязана рассчитать ПДН не позднее даты принятия решения о предоставлении кредита (займа) в сумме (с лимитом кредитования) 10 000 рублей и более 1 , об увеличении лимита кредитования, о продлении срока действия договора кредита (займа).</w:t>
      </w:r>
    </w:p>
    <w:p>
      <w:pPr>
        <w:pStyle w:val="BodyText"/>
      </w:pPr>
      <w:r>
        <w:t xml:space="preserve">При этом временной интервал между датой расчета ПДН и датой заключения договора кредита с лимитом кредитования и (или) датой акцепта заемщиком предложения по увеличению лимита по банковской карте не должен превышать один календарный месяц.</w:t>
      </w:r>
    </w:p>
    <w:p>
      <w:pPr>
        <w:pStyle w:val="BodyText"/>
      </w:pPr>
      <w:r>
        <w:t xml:space="preserve">Таким образом, факт осуществления транзакционной активности по предоставленной кредитной карте не влечет за собой необходимость повторного расчета ПДН, поскольку обязательства заемщика перед кредитной организацией уже учтены в расчете ПДН исходя из возможности использования заемщиком полной суммы установленного лимита кредитования. А актуальность рассчитанного значения ПДН в отношении кредита, предоставленного с использованием кредитной карты, не связана с датой предоставления кредита (совершения транзакции) (за исключением случая, когда совершение транзакции приравнивается условиями договора к акцепту заемщиком предложения по увеличению лимита по банковской карте).</w:t>
      </w:r>
    </w:p>
    <w:p>
      <w:pPr>
        <w:pStyle w:val="BodyText"/>
      </w:pPr>
      <w:r>
        <w:t xml:space="preserve">Учитывая, что требования о расчете ПДН применяются с 1 октября 2019 года, расчет ПДН в отношении договоров кредита (займа), заключенных до указанной даты, не требуется. При этом при наступлении в отношении данных договоров случаев, указанных в абзацах первом — третьем пункта 1.1 приложения 1 к Указанию Банка России № 4892-У, требование о расчете ПДН применяется.</w:t>
      </w:r>
    </w:p>
    <w:p>
      <w:pPr>
        <w:pStyle w:val="BodyText"/>
      </w:pPr>
      <w:r>
        <w:t xml:space="preserve">1 Или в эквивалентной сумме в иностранной валюте.</w:t>
      </w:r>
    </w:p>
    <w:p>
      <w:pPr>
        <w:pStyle w:val="BodyText"/>
      </w:pPr>
      <w:r>
        <w:t xml:space="preserve">Следует ли включать в расчет раздела 8 Отчета договоры, заключенные до 31.08.2019, транши по которым были предоставлены после 31.08.2019, если Указанием Банка России № 4892-У не предусмотрена необходимость расчета ПДН для указанных договоров?</w:t>
      </w:r>
    </w:p>
    <w:p>
      <w:pPr>
        <w:pStyle w:val="BodyText"/>
      </w:pPr>
      <w:r>
        <w:t xml:space="preserve">Если при выдаче кредита до 01.10.2019 ПДН не рассчитывался, выдачи по договору производятся регулярно, какой код ПДН следует использовать при расчете надбавки к коэффициентам риска:</w:t>
      </w:r>
    </w:p>
    <w:p>
      <w:pPr>
        <w:pStyle w:val="BodyText"/>
      </w:pPr>
      <w:r>
        <w:t xml:space="preserve">рассчитанный на основе имеющейся в банке информации, код 1000.i, когда банк вправе не рассчитывать ПДН;</w:t>
      </w:r>
    </w:p>
    <w:p>
      <w:pPr>
        <w:pStyle w:val="BodyText"/>
      </w:pPr>
      <w:r>
        <w:t xml:space="preserve">код 1007.i, когда банк не выполнил обязанности произвести расчет ПДН, если информация для расчета ПДН у банка отсутствует?</w:t>
      </w:r>
    </w:p>
    <w:p>
      <w:pPr>
        <w:pStyle w:val="BodyText"/>
      </w:pPr>
      <w:r>
        <w:t xml:space="preserve">Обновлено: 05.04.2021</w:t>
      </w:r>
    </w:p>
    <w:p>
      <w:pPr>
        <w:pStyle w:val="BodyText"/>
      </w:pPr>
      <w:r>
        <w:t xml:space="preserve">В раздел 8 Отчета включается информация об активах, в отношении которых Банком России на основании решения Совета директоров Банка России, принятого в соответствии со статьей 45.2 Федерального закона № 86-ФЗ 1 , применяются надбавки к коэффициентам риска, определяемые в соответствии с Указанием Банка России № 4892-У на основе квадранта (таблицы) Матрицы надбавок к коэффициентам риска , опубликованной на официальном сайте Банка России. В противном случае (т.е. если значение надбавки к коэффициентам риска принимает значение «н/п») информация о надбавках к коэффициентам риска в раздел 8 Отчета не включается.</w:t>
      </w:r>
    </w:p>
    <w:p>
      <w:pPr>
        <w:pStyle w:val="BodyText"/>
      </w:pPr>
      <w:r>
        <w:t xml:space="preserve">При этом размер надбавки к коэффициентам риска для кредитных требований и требований по получению начисленных (накопленных) процентов по кредитам (займам), предоставленным физическим лицам, является корректным в случае, если указанные требования одновременно соответствуют условиям кода актива из раздела I Перечня 2 и условиям кода актива из разделов II — IV или из раздела VI Перечня.</w:t>
      </w:r>
    </w:p>
    <w:p>
      <w:pPr>
        <w:pStyle w:val="BodyText"/>
      </w:pPr>
      <w:r>
        <w:t xml:space="preserve">Учитывая положения пункта 15 Указания Банка России № 4892-У, если периоду возникновения кредитных требований и требований по получению начисленных (накопленных) процентов по кредитам (займам), предоставленным физическим лицам, соответствует период:</w:t>
      </w:r>
    </w:p>
    <w:p>
      <w:pPr>
        <w:pStyle w:val="BodyText"/>
      </w:pPr>
      <w:r>
        <w:t xml:space="preserve">с 1 октября 2019 года — в целях определения надбавок к коэффициентам риска применяются коды активов 1001.i — 1007.i раздела I Перечня в зависимости от значения показателя долговой нагрузки заемщика (ПДН);</w:t>
      </w:r>
    </w:p>
    <w:p>
      <w:pPr>
        <w:pStyle w:val="BodyText"/>
      </w:pPr>
      <w:r>
        <w:t xml:space="preserve">до 1 октября 2019 года — применяется код актива 1000.i раздела I Перечня.</w:t>
      </w:r>
    </w:p>
    <w:p>
      <w:pPr>
        <w:pStyle w:val="BodyText"/>
      </w:pPr>
      <w:r>
        <w:t xml:space="preserve">Отмечаем, что, начиная с 1 октября 2019 года, код актива 1000.i раздела I Перечня применяется только в отношении кредитных требований и требований по получению начисленных (накопленных) процентов по кредитам (займам), предоставленным физическим лицам, по которым кредитная организация вправе не рассчитывать ПДН в соответствии с приложением 1 к Указанию Банка России № 4892-У, а именно:</w:t>
      </w:r>
    </w:p>
    <w:p>
      <w:pPr>
        <w:pStyle w:val="BodyText"/>
      </w:pPr>
      <w:r>
        <w:t xml:space="preserve">по кредитам (займам) в сумме менее 10 тысяч рублей или в эквивалентной сумме в иностранной валюте;</w:t>
      </w:r>
    </w:p>
    <w:p>
      <w:pPr>
        <w:pStyle w:val="BodyText"/>
      </w:pPr>
      <w:r>
        <w:t xml:space="preserve">по кредитам (займам), права требования по которым были приобретены кредитной организацией;</w:t>
      </w:r>
    </w:p>
    <w:p>
      <w:pPr>
        <w:pStyle w:val="BodyText"/>
      </w:pPr>
      <w:r>
        <w:t xml:space="preserve">по кредитам (займам), решение о предоставлении которых было принято до 1 октября 2019 года, но фактически предоставленным после указанной даты;</w:t>
      </w:r>
    </w:p>
    <w:p>
      <w:pPr>
        <w:pStyle w:val="BodyText"/>
      </w:pPr>
      <w:r>
        <w:t xml:space="preserve">по кредитам (займам), предоставленным до 1 октября 2019 года, если в отношении таких кредитов (займов) после указанной даты не были реализованы решения, предусмотренные абзацами первым — третьим пункта 1.1 приложения 1 к Указанию Банка России № 4892-У 4 .</w:t>
      </w:r>
    </w:p>
    <w:p>
      <w:pPr>
        <w:pStyle w:val="BodyText"/>
      </w:pPr>
      <w:r>
        <w:t xml:space="preserve">1 Федеральный закон от 10.07.2002 № 86-ФЗ «О Центральном банке Российской Федерации (Банке России)». 2 Перечень расшифровок кодов активов, приведенный в приложении 8 к Указанию Банка России № 4892-У. 3 В случае если кредитная организация реализовала во внутренней методике расчета ПДН соответствующие положения. 4 Обращаем внимание, что при внесении существенных изменений в условия договора кредита (займа), в частности, при принятии решений о реструктуризации задолженности по кредиту (займу), соответствующий кредит (заем) следует считать как вновь выданный.</w:t>
      </w:r>
    </w:p>
    <w:p>
      <w:pPr>
        <w:pStyle w:val="BodyText"/>
      </w:pPr>
      <w:r>
        <w:t xml:space="preserve">Подлежат ли отражению в разделе 8 и разделе 9 Отчета кредитные требования и требования по получению начисленных процентов, к которым установлены надбавки к коэффициентам риска, если по данным требованиям создан 100% резерв?</w:t>
      </w:r>
    </w:p>
    <w:p>
      <w:pPr>
        <w:pStyle w:val="BodyText"/>
      </w:pPr>
      <w:r>
        <w:t xml:space="preserve">Обновлено: 05.04.2021</w:t>
      </w:r>
    </w:p>
    <w:p>
      <w:pPr>
        <w:pStyle w:val="BodyText"/>
      </w:pPr>
      <w:r>
        <w:t xml:space="preserve">В раздел 8 и раздел 9 Отчета включается информация обо всех активах, в отношении которых на основании решения Совета директоров Банка России устанавливаются надбавки к коэффициентам риска 1 , за исключением случаев, когда надбавки к коэффициентам риска не применяются (т.е. принимают значение «н/п»).</w:t>
      </w:r>
    </w:p>
    <w:p>
      <w:pPr>
        <w:pStyle w:val="BodyText"/>
      </w:pPr>
      <w:r>
        <w:t xml:space="preserve">С учетом изложенного информация по соответствующим кредитным требованиям и требованиям по получению начисленных процентов, в том числе по которым созданы резервы на возможные потери по ссудам в размере 100%, также представляется в составе раздела 8 и раздела 9 Отчета. Обращаем внимание, что в указанном случае графы 4 и 5 раздела 8 и раздела 9 Отчета принимают нулевое значение.</w:t>
      </w:r>
    </w:p>
    <w:p>
      <w:pPr>
        <w:pStyle w:val="BodyText"/>
      </w:pPr>
      <w:r>
        <w:t xml:space="preserve">1 Определяются в соответствии с Указанием Банка России № 4892-У на основе квадранта (таблицы) Матрицы надбавок к коэффициентам риска , опубликованной на официальном сайте Банка России.</w:t>
      </w:r>
    </w:p>
    <w:p>
      <w:pPr>
        <w:pStyle w:val="BodyText"/>
      </w:pPr>
      <w:r>
        <w:t xml:space="preserve">Какая допускается погрешность при заполнении раздела 8 Отчета в тысячах рублей?</w:t>
      </w:r>
    </w:p>
    <w:p>
      <w:pPr>
        <w:pStyle w:val="BodyText"/>
      </w:pPr>
      <w:r>
        <w:t xml:space="preserve">Обновлено: 05.04.2021</w:t>
      </w:r>
    </w:p>
    <w:p>
      <w:pPr>
        <w:pStyle w:val="BodyText"/>
      </w:pPr>
      <w:r>
        <w:t xml:space="preserve">Сумма строк графы 5 раздела 8 и графы 5 раздела 9 Отчета по кодам, относящимся к нормативам достаточности капитала банка (Н1.i), должна совпадать с суммой, соответствующей коду 8769.i, указанному в графе 1 раздела 1 Отчета.</w:t>
      </w:r>
    </w:p>
    <w:p>
      <w:pPr>
        <w:pStyle w:val="BodyText"/>
      </w:pPr>
      <w:r>
        <w:t xml:space="preserve">Проверка выполняется в отдельности по каждому i-му коду (то есть для кодов 8769.0, 8769.1, 8769.2):</w:t>
      </w:r>
    </w:p>
    <w:p>
      <w:pPr>
        <w:pStyle w:val="BodyText"/>
      </w:pPr>
      <w:r>
        <w:t xml:space="preserve">∑ (гр.5 по i коду) — 8769.i | ≤ 0.5*n,</w:t>
      </w:r>
    </w:p>
    <w:p>
      <w:pPr>
        <w:pStyle w:val="BodyText"/>
      </w:pPr>
      <w:r>
        <w:t xml:space="preserve">где 0.5*n — допустимая погрешность, связанная с округлением до тыс. руб.,</w:t>
      </w:r>
    </w:p>
    <w:p>
      <w:pPr>
        <w:pStyle w:val="BodyText"/>
      </w:pPr>
      <w:r>
        <w:t xml:space="preserve">n — число слагаемых по i-му коду по графе 5 раздела 8 и раздела 9 Отчета (0.5*n округляется до большего целого).</w:t>
      </w:r>
    </w:p>
    <w:p>
      <w:pPr>
        <w:pStyle w:val="BodyText"/>
      </w:pPr>
      <w:r>
        <w:t xml:space="preserve">Построчное значение графы 5 раздела 8 и графы 5 раздела 9 Отчета может отклоняться не более чем на 0,5 в большую или меньшую сторону.</w:t>
      </w:r>
    </w:p>
    <w:p>
      <w:pPr>
        <w:pStyle w:val="BodyText"/>
      </w:pPr>
      <w:r>
        <w:t xml:space="preserve">Правильно ли банк понимает, что в соответствии с Указанием Банка России № 4927-У раздел 9 Отчета заполняется при выявлении случая, когда ошибочно не был рассчитан ПДН в соответствии с пунктом 1.1 приложения 1 к Указанию Банка России № 4892-У?</w:t>
      </w:r>
    </w:p>
    <w:p>
      <w:pPr>
        <w:pStyle w:val="BodyText"/>
      </w:pPr>
      <w:r>
        <w:t xml:space="preserve">Обновлено: 05.04.2021</w:t>
      </w:r>
    </w:p>
    <w:p>
      <w:pPr>
        <w:pStyle w:val="BodyText"/>
      </w:pPr>
      <w:r>
        <w:t xml:space="preserve">Да, верно.</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2026-09-27T11:01:30Z</dcterms:created>
  <dcterms:modified xsi:type="dcterms:W3CDTF">2026-09-27T11:01:30Z</dcterms:modified>
</cp:coreProperties>
</file>

<file path=docProps/custom.xml><?xml version="1.0" encoding="utf-8"?>
<Properties xmlns="http://schemas.openxmlformats.org/officeDocument/2006/custom-properties" xmlns:vt="http://schemas.openxmlformats.org/officeDocument/2006/docPropsVTypes"/>
</file>