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7d7c7e2e1c90000d8992dcd851a2d7133bdc2d"/>
    <w:p>
      <w:pPr>
        <w:pStyle w:val="Heading1"/>
      </w:pPr>
      <w:r>
        <w:t xml:space="preserve">Разъяснения по правовым актам (Банковский сектор)</w:t>
      </w:r>
    </w:p>
    <w:p>
      <w:pPr>
        <w:pStyle w:val="FirstParagraph"/>
      </w:pPr>
      <w:r>
        <w:t xml:space="preserve">Разъяснения по правовым актам (Банковский сектор)</w:t>
      </w:r>
    </w:p>
    <w:p>
      <w:pPr>
        <w:pStyle w:val="BodyText"/>
      </w:pPr>
      <w:r>
        <w:t xml:space="preserve">Разъяснение о расчете и регулировании открытых валютных позиций (ОВП) кредитных организаций в результате введения блокирующих санкций в отношении Группы Московская биржа, включая НКО НКЦ (АО)</w:t>
      </w:r>
    </w:p>
    <w:p>
      <w:pPr>
        <w:pStyle w:val="BodyText"/>
      </w:pPr>
      <w:r>
        <w:t xml:space="preserve">Обновлено: 03.07.2024</w:t>
      </w:r>
    </w:p>
    <w:p>
      <w:pPr>
        <w:pStyle w:val="Compact"/>
        <w:numPr>
          <w:ilvl w:val="0"/>
          <w:numId w:val="1001"/>
        </w:numPr>
      </w:pPr>
      <w:r>
        <w:t xml:space="preserve">Средства кредитных организаций в иностранных валютах в НКО НКЦ (АО) (далее — НКЦ), конвертированные НКЦ в рубли (по фиксированному курсу без последующей переоценки) или в другую иностранную валюту в связи с введением в отношении НКЦ блокирующих санкций, отражаются в бухгалтерском учете кредитных организаций на основании информации, полученной от НКЦ, в соответствующей валюте.</w:t>
      </w:r>
    </w:p>
    <w:p>
      <w:pPr>
        <w:pStyle w:val="FirstParagraph"/>
      </w:pPr>
      <w:r>
        <w:t xml:space="preserve">Средства кредитных организаций, конвертированные в рубли, подлежат исключению из расчета ОВП по факту указанной конвертации.</w:t>
      </w:r>
    </w:p>
    <w:p>
      <w:pPr>
        <w:pStyle w:val="Compact"/>
        <w:numPr>
          <w:ilvl w:val="0"/>
          <w:numId w:val="1002"/>
        </w:numPr>
      </w:pPr>
      <w:r>
        <w:t xml:space="preserve">В отношении средств кредитных организаций в иностранной валюте, которые были заблокированы НКЦ (с сохранением их отражения в иностранной валюте), кредитные организации должны принять решение об их отнесении к невозмещаемым или возмещаемым заблокированным активам, руководствуясь собственной оценкой возможности возмещения их стоимости.</w:t>
      </w:r>
    </w:p>
    <w:p>
      <w:pPr>
        <w:pStyle w:val="FirstParagraph"/>
      </w:pPr>
      <w:r>
        <w:t xml:space="preserve">В случае признания заблокированных средств в НКЦ невозмещаемыми они должны быть конвертированы в рубли в соответствии с Указанием № 6379-У (без последующей валютной переоценки) на дату блокировки (дату возникновения обстоятельств, свидетельствующих о невозмещаемости заблокированных активов) по официальному курсу Банка России на соответствующую дату и исключены из расчета ОВП по факту данной конвертации. При этом в отношении невозмещаемых заблокированных активов может быть применена «рассрочка» формирования резервов в соответствии с информационным письмом Банка России № ИН-03-23/160 и пресс-релизом Банка России от 30.11.2022.</w:t>
      </w:r>
    </w:p>
    <w:p>
      <w:pPr>
        <w:pStyle w:val="BodyText"/>
      </w:pPr>
      <w:r>
        <w:t xml:space="preserve">В случае признания заблокированных средств в НКЦ возмещаемыми они продолжают включаться в расчет ОВП как валютный актив (за вычетом резервов, формируемых в общем порядке).</w:t>
      </w:r>
    </w:p>
    <w:p>
      <w:pPr>
        <w:pStyle w:val="Compact"/>
        <w:numPr>
          <w:ilvl w:val="0"/>
          <w:numId w:val="1003"/>
        </w:numPr>
      </w:pPr>
      <w:r>
        <w:t xml:space="preserve">В отношении поставочных срочных сделок, заключенных кредитными организациями на ПАО Московская биржа до введения санкций и исполненных нетто-платежом в рублях в связи с введением указанных санкций, осуществляется прекращение их признания на счетах бухгалтерского учета по факту указанного исполнения.</w:t>
      </w:r>
    </w:p>
    <w:p>
      <w:pPr>
        <w:pStyle w:val="FirstParagraph"/>
      </w:pPr>
      <w:r>
        <w:t xml:space="preserve">Валютные требования и обязательства по указанным поставочным сделкам исключаются из расчета ОВП по факту их расчетного исполнения. Таким образом, в ситуации, когда кредитная организация удерживала средства в иностранной валюте в НКЦ для исполнения обязательств по их поставке на следующий рабочий день, рублевая конвертация средств (пункты 1 и 2 настоящего разъяснения) и расчетное исполнение поставочной срочной сделки будут совокупно иметь нейтральный эффект на величину ОВП.</w:t>
      </w:r>
    </w:p>
    <w:p>
      <w:pPr>
        <w:pStyle w:val="Compact"/>
        <w:numPr>
          <w:ilvl w:val="0"/>
          <w:numId w:val="1004"/>
        </w:numPr>
      </w:pPr>
      <w:r>
        <w:t xml:space="preserve">В случае увеличения размеров ОВП в связи с обстоятельствами, указанными в пунктах 1, 2 и (или) 3 настоящего разъяснения, сверх лимитов ОВП, установленных Инструкцией № 178-И , кредитные организации вправе были воспользоваться решением Совета директоров Банка России от 26.12.2023 , предусматривавшим возможность более длительного регулирования ОВП без признания указанных превышений в качестве нарушений лимитов ОВП.</w:t>
      </w:r>
    </w:p>
    <w:p>
      <w:pPr>
        <w:pStyle w:val="FirstParagraph"/>
      </w:pPr>
      <w:r>
        <w:t xml:space="preserve">Указанным решением Совета директоров Банка России предусматривались следующие сроки:</w:t>
      </w:r>
    </w:p>
    <w:p>
      <w:pPr>
        <w:pStyle w:val="BodyText"/>
      </w:pPr>
      <w:r>
        <w:t xml:space="preserve">в части регулирования превышений лимитов короткой ОВП, образовавшихся в результате рублевой конвертации средств в НКЦ (пункты 1 и 2 настоящего разъяснения) и (или) расчетного исполнения НКЦ поставочных срочных сделок, по которым у кредитной организации имелись требования по получению иностранной валюты (пункт 3 настоящего разъяснения), — в течение 15 операционных дней (т.е. дней превышений лимитов ОВП должно быть не больше 15 за последние 40 операционных дней);</w:t>
      </w:r>
    </w:p>
    <w:p>
      <w:pPr>
        <w:pStyle w:val="BodyText"/>
      </w:pPr>
      <w:r>
        <w:t xml:space="preserve">в части регулирования превышений лимитов длинной ОВП, образовавшихся в результате расчетного исполнения НКЦ поставочных срочных сделок, по которым у кредитной организации имелись обязательства по поставке иностранной валюты (пункт 3 настоящего разъяснения), — в течение 5 операционных дней (т.е. дней превышений лимитов ОВП должно быть не больше 5 за последние 30 операционных дней).</w:t>
      </w:r>
    </w:p>
    <w:p>
      <w:pPr>
        <w:pStyle w:val="BodyText"/>
      </w:pPr>
      <w:r>
        <w:t xml:space="preserve">Подходы к регулированию ОВП, установленные решением Совета директоров Банка России от 26.12.2023, внедрены в новую Инструкцию № 213-И , вступившую в силу с 01.07.2024 (пункт 4.3).</w:t>
      </w:r>
    </w:p>
    <w:p>
      <w:pPr>
        <w:pStyle w:val="BodyText"/>
      </w:pPr>
      <w:r>
        <w:t xml:space="preserve">За указанный период кредитные организации должны урегулировать превышения лимитов ОВП, например, посредством покупки (продажи) иностранной валюты / заключения соответствующих срочных сделок на внебиржевом рынке.</w:t>
      </w:r>
    </w:p>
    <w:p>
      <w:pPr>
        <w:pStyle w:val="BodyText"/>
      </w:pPr>
      <w:r>
        <w:t xml:space="preserve">Разъяснения по применению Положения Банка России от 30.04.2014 № 421-П «О порядке расчета показателя краткосрочной ликвидности («Базель III»)» и Положения Банка России от 26.07.2017 № 596-П «О порядке расчета системно значимыми кредитными организациями норматива структурной ликвидности (норматива чистого стабильного фондирования) («Базель III»)»</w:t>
      </w:r>
    </w:p>
    <w:p>
      <w:pPr>
        <w:pStyle w:val="BodyText"/>
      </w:pPr>
      <w:r>
        <w:t xml:space="preserve">Допускается ли включение в расчет норматива (показателя) краткосрочной ликвидности и норматива чистого стабильного фондирования суммы неснижаемого остатка денежных средств, установленной условиями договора в рамках размещенных на текущем счете денежных средств юридических лиц в зависимости от срока, оставшегося до завершения договора о неснижаемом остатке в рамках текущего счета?</w:t>
      </w:r>
    </w:p>
    <w:p>
      <w:pPr>
        <w:pStyle w:val="BodyText"/>
      </w:pPr>
      <w:r>
        <w:t xml:space="preserve">Обновлено: 20.12.2019</w:t>
      </w:r>
    </w:p>
    <w:p>
      <w:pPr>
        <w:pStyle w:val="BodyText"/>
      </w:pPr>
      <w:r>
        <w:t xml:space="preserve">В соответствии с подпунктом 3.3.3 пункта 3.3 Положения Банка России № 421-П 1 и пунктом 2.2 Положения Банка России № 596-П 2 средства юридических лиц включаются в расчет норматива (показателя) краткосрочной ликвидности (далее — НКЛ (ПКЛ)) и норматива чистого стабильного фондирования (далее — НЧСФ) с учетом наличия у клиента права на досрочное востребование средств, предусмотренного федеральными законами, нормативными актами, условиями договора, правом иностранного государства, нормами международного права, обычаями делового оборота, а также проистекающего из прошлого опыта или заявлений банка.</w:t>
      </w:r>
    </w:p>
    <w:p>
      <w:pPr>
        <w:pStyle w:val="BodyText"/>
      </w:pPr>
      <w:r>
        <w:t xml:space="preserve">Пунктом 1 статьи 858 Гражданского кодекса Российской Федерации (часть вторая) (в редакции Федерального закона от 26.07.2017 № 212-ФЗ «О внесении изменений в части первую и вторую Гражданского кодекса Российской Федерации и отдельные законодательные акты Российской Федерации») не допускается ограничение распоряжения денежными средствами, находящимися на счете, если иное не предусмотрено условиями договора или законом.</w:t>
      </w:r>
    </w:p>
    <w:p>
      <w:pPr>
        <w:pStyle w:val="BodyText"/>
      </w:pPr>
      <w:r>
        <w:t xml:space="preserve">Таким образом, размещенные на текущем счете клиента средства (их часть) в величине неснижаемого остатка денежных средств, распоряжение которыми со стороны клиента ограничено условиями договора в соответствии со статьей 858 Гражданского кодекса Российской Федерации, а также денежные средства (их часть), привлеченные иностранным филиалом кредитной организации и (или) участником банковской группы и на которые установлено ограничение на использование клиентом в соответствии с аналогичной нормой права иностранного государства, на территории которого расположен филиал кредитной организации и (или) участник банковской группы, подлежат включению в расчет НКЛ (ПКЛ) и НЧСФ с учетом следующего.</w:t>
      </w:r>
    </w:p>
    <w:p>
      <w:pPr>
        <w:pStyle w:val="BodyText"/>
      </w:pPr>
      <w:r>
        <w:t xml:space="preserve">В случае если в соответствии с договором о величине неснижаемого остатка денежных средств в рамках текущего счета юридическое лицо не может использовать фиксированную величину денежных средств в срок до установленной в договоре даты, изменение которой не допускается, денежные средства в рамках договора о неснижаемом остатке включаются в расчет НКЛ (ПКЛ) и НЧСФ аналогично порядку включения в расчет срочного депозита, величина которого принимается равной величине неснижаемого остатка, установленного указанным договором, а дата возврата средств клиенту принимается равной дате, до которой установлено ограничение на возможность использования денежных средств.</w:t>
      </w:r>
    </w:p>
    <w:p>
      <w:pPr>
        <w:pStyle w:val="BodyText"/>
      </w:pPr>
      <w:r>
        <w:t xml:space="preserve">В случае если фактическая величина неснижаемого остатка денежных средств зависит от выполнения условий по другим договорам и (или) от значения внешних индикаторов / параметров, связанных с основным договором банковского счета и устанавливающих порядок использования указанных денежных средств, денежные средства в рамках договора о неснижаемом остатке включаются в расчет НКЛ (ПКЛ) и НЧСФ аналогично порядку включения в расчет срочного депозита исходя из минимально допустимой согласно условиям договора (порядку использования средств) величины неснижаемого остатка и срока, оставшегося до момента снятия ограничений на использование денежных средств, относящихся к минимально допустимой величине неснижаемого остатка. При этом часть суммы неснижаемого остатка, превышающая указанную минимальную величину, включается в расчет НКЛ (ПКЛ) и НЧСФ как средства «до востребования».</w:t>
      </w:r>
    </w:p>
    <w:p>
      <w:pPr>
        <w:pStyle w:val="BodyText"/>
      </w:pPr>
      <w:r>
        <w:t xml:space="preserve">В случае если договором о величине неснижаемого остатка в рамках размещенных юридическим лицом денежных средств на текущем счете предусмотрено поэтапное снижение величины денежных средств, относящихся к неснижаемому остатку, величина неснижаемого остатка денежных средств в целях расчета НКЛ (ПКЛ) и НЧСФ подлежит распределению на части исходя из графика ее изменения, каждая из которых включается в расчет НКЛ (ПКЛ) и НЧСФ независимо друг от друга в порядке, установленном пунктом 1 настоящего разъяснения. При этом величина каждой из частей принимается равной сумме, на которую происходит сокращение величины неснижаемого остатка, а соответствующий срок определяется исходя из даты, по состоянию на которую происходит соответствующее уменьшение суммы неснижаемого остатка.</w:t>
      </w:r>
    </w:p>
    <w:p>
      <w:pPr>
        <w:pStyle w:val="BodyText"/>
      </w:pPr>
      <w:r>
        <w:t xml:space="preserve">Во всех перечисленных случаях часть средств, размещенная на текущем счете и превышающая величину неснижаемого остатка денежных средств, определяемую условиями договора, включается в расчет НКЛ (ПКЛ) и НЧСФ как средства «до востребования».</w:t>
      </w:r>
    </w:p>
    <w:p>
      <w:pPr>
        <w:pStyle w:val="BodyText"/>
      </w:pPr>
      <w:r>
        <w:t xml:space="preserve">Пример. Сумма на текущем счете клиента составляет 100 единиц, из которых величина неснижаемого остатка на дату расчета составляет 80 единиц, при этом через 10 дней величина неснижаемого остатка должна составлять 60 единиц (т.е. снижается на 20 единиц), через 25 дней — 45 единиц (т.е. снижается на 15 единиц), через 2 года — договор неснижаемого остатка денежных средств заканчивает свое действие. Таким образом, в расчет НКЛ (ПКЛ) в величину оттока денежных средств включаются 20 единиц со сроком до погашения 10 дней и 15 единиц со сроком до погашения 25 дней, а также величина превышения остатка средств на текущем счете над величиной неснижаемого остатка на дату расчета НКЛ (ПКЛ) как средства «до востребования» — 20 единиц. Итого в расчет НКЛ (ПКЛ) включаются 55 единиц. В расчет НЧСФ в части средств со сроком до погашения до 6 месяцев включается разница между величиной денежных средств, размещенных на текущем счете клиента, и суммой денежных средств, относящихся к неснижаемому остатку, по которой установлено ограничение на использование на срок 2 года, — 55 единиц, со сроком до погашения 1 год и более — включается сумма 45 единиц, по которой установлено ограничение на использование на срок 2 года.</w:t>
      </w:r>
    </w:p>
    <w:p>
      <w:pPr>
        <w:pStyle w:val="BodyText"/>
      </w:pPr>
      <w:r>
        <w:t xml:space="preserve">Описанный выше подход распространяется также на залоговые счета, являющиеся таковыми в соответствии с Гражданским кодексом Российской Федерации, в случае, если в соответствии со статьей 358 12 Гражданского кодекса Российской Федерации (часть первая) договором залога прав по соответствующему договору банковского счета предусмотрено ограничение на свободное распоряжение залогодателем средствами на залоговом счете.</w:t>
      </w:r>
    </w:p>
    <w:p>
      <w:pPr>
        <w:pStyle w:val="BodyText"/>
      </w:pPr>
      <w:r>
        <w:t xml:space="preserve">1 Положение Банка России от 30.05.2014 № 421-П «О порядке расчета показателя краткосрочной ликвидности („Базель III“)».</w:t>
      </w:r>
    </w:p>
    <w:p>
      <w:pPr>
        <w:pStyle w:val="BodyText"/>
      </w:pPr>
      <w:r>
        <w:t xml:space="preserve">2 Положение Банка России от 26.07.2017 № 596-П «О порядке расчета системно значимыми кредитными организациями норматива структурной ликвидности (норматива чистого стабильного фондирования) („Базель III“)».</w:t>
      </w:r>
    </w:p>
    <w:p>
      <w:pPr>
        <w:pStyle w:val="BodyText"/>
      </w:pPr>
      <w:r>
        <w:t xml:space="preserve">Разъяснение по вопросу о порядке включения в расчет величины открытых валютных позиций в соответствии с Инструкцией Банка России от 28.12.2016 № 178-И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w:t>
      </w:r>
    </w:p>
    <w:p>
      <w:pPr>
        <w:pStyle w:val="BodyText"/>
      </w:pPr>
      <w:r>
        <w:t xml:space="preserve">Каков порядок включения в расчет открытых валютных позиций производных инструментов, встроенных в валютные финансовые активы (обязательства), с учетом применения порядка бухгалтерского учета в соответствии с МСФО 9?</w:t>
      </w:r>
    </w:p>
    <w:p>
      <w:pPr>
        <w:pStyle w:val="BodyText"/>
      </w:pPr>
      <w:r>
        <w:t xml:space="preserve">Обновлено: 08.07.2020</w:t>
      </w:r>
    </w:p>
    <w:p>
      <w:pPr>
        <w:pStyle w:val="BodyText"/>
      </w:pPr>
      <w:r>
        <w:t xml:space="preserve">Порядок включения производных инструментов, встроенных в валютные финансовые активы и обязательства (далее — встроенные производные инструменты), в расчет ОВП зависит от порядка классификации таких инструментов для целей бухгалтерского учета и состоит в следующем.</w:t>
      </w:r>
    </w:p>
    <w:p>
      <w:pPr>
        <w:pStyle w:val="Compact"/>
        <w:numPr>
          <w:ilvl w:val="0"/>
          <w:numId w:val="1005"/>
        </w:numPr>
      </w:pPr>
      <w:r>
        <w:t xml:space="preserve">Встроенные производные инструменты, отделяемые от основного договора</w:t>
      </w:r>
    </w:p>
    <w:p>
      <w:pPr>
        <w:pStyle w:val="FirstParagraph"/>
      </w:pPr>
      <w:r>
        <w:t xml:space="preserve">Встроенные производные инструменты, признаваемые отделяемыми от основного договора в соответствии с МСФО 9, подлежат включению в расчет ОВП в общем порядке для производных финансовых инструментов, то есть по факту подверженности таких встроенных производных инструментов валютному риску, определяемой на основании наличия зависимости величины их справедливой стоимости от изменения курсов иностранных валют (цен на драгоценные металлы) и отражения результатов переоценки справедливой стоимости в составе финансового результата кредитных организаций для целей расчета регулятивного капитала (вне зависимости от того, является ли иностранная валюта и (или) драгоценные металлы базисным активом таких производных инструментов или нет).</w:t>
      </w:r>
    </w:p>
    <w:p>
      <w:pPr>
        <w:pStyle w:val="BodyText"/>
      </w:pPr>
      <w:r>
        <w:t xml:space="preserve">Данные встроенные производные инструменты включаются в расчет срочной или опционной позиции в составе внебалансовой ОВП в соответствии с порядком, установленным пунктами 1.7 и 1.8 Инструкции Банка России № 178‑И (подпунктами данных пунктов).</w:t>
      </w:r>
    </w:p>
    <w:p>
      <w:pPr>
        <w:pStyle w:val="Compact"/>
        <w:numPr>
          <w:ilvl w:val="0"/>
          <w:numId w:val="1006"/>
        </w:numPr>
      </w:pPr>
      <w:r>
        <w:t xml:space="preserve">Встроенные производные инструменты, не отделяемые от основного договора</w:t>
      </w:r>
    </w:p>
    <w:p>
      <w:pPr>
        <w:pStyle w:val="FirstParagraph"/>
      </w:pPr>
      <w:r>
        <w:t xml:space="preserve">2.1. Валютные встроенные производные инструменты, имеющие тесную экономическую взаимосвязь с основным договором</w:t>
      </w:r>
    </w:p>
    <w:p>
      <w:pPr>
        <w:pStyle w:val="BodyText"/>
      </w:pPr>
      <w:r>
        <w:t xml:space="preserve">Валютная переоценка, формируемая по финансовым активам (обязательствам) за счет встроенных производных инструментов, имеющих тесную экономическую взаимосвязь с основным договором и признаваемых не отделяемыми от основного договора в соответствии с МСФО 9 (далее — НВПИ), базисным активом (одним из базисных активов) которых является иностранная валюта и (или) драгоценные металлы, в полной мере включается в расчет величины регулятивного капитала кредитных организаций. В связи с этим указанные НВПИ подлежат включению в расчет ОВП. При этом такие НВПИ включаются в расчет ОВП в совокупности с основным договором в составе балансовой ОВП.</w:t>
      </w:r>
    </w:p>
    <w:p>
      <w:pPr>
        <w:pStyle w:val="BodyText"/>
      </w:pPr>
      <w:r>
        <w:t xml:space="preserve">2.1.1. В случае если валютные финансовые активы (обязательства), содержащие НВПИ, базисным активом которых является иностранная валюта и (или) драгоценные металлы, могут быть рассмотрены как отдельные инструменты, где договор, предусматривающий те же условия, что и НВПИ, удовлетворял бы определению производного инструмента в соответствии с МСФО 9 (например, опцион, форвард) и включался бы в расчет ОВП (далее в совокупности — условие разделяемости), такие активы (обязательства) подлежат включению в расчет балансовой ОВП аналогично отдельным сделкам, то есть исходя из величины номинальной суммы НВПИ, выраженной в иностранной валюте (с учетом применимого коэффициента дельта в случае встроенных опционов). Данный порядок включения НВПИ в расчет ОВП направлен на обеспечение идентичности порядку включения непосредственно договоров производных финансовых инструментов в расчет ОВП вне зависимости от выбранного способа структурирования сделки (позиции).</w:t>
      </w:r>
    </w:p>
    <w:p>
      <w:pPr>
        <w:pStyle w:val="BodyText"/>
      </w:pPr>
      <w:r>
        <w:t xml:space="preserve">В связи с особенностями отражения финансового результата, формируемого по резервируемым финансовым активам и финансовым обязательствам, в составе величины регулятивного капитала применимым коэффициентом дельта по встроенным в такие активы и обязательства опционам, базисным активом которых является иностранная валюта и (или) драгоценные металлы (за исключением опционов, встроенных в резервируемые финансовые активы, включаемые в расчет величин процентного и фондового рисков), является коэффициент, характеризующий базис опциона (соотношение текущей рыночной стоимости базисного актива и стоимости базисного актива, определенной условиями договора соответствующего финансового актива/обязательства) и принимающий следующие значения</w:t>
      </w:r>
    </w:p>
    <w:p>
      <w:pPr>
        <w:pStyle w:val="BodyText"/>
      </w:pPr>
      <w:r>
        <w:t xml:space="preserve">0, если разница между указанными выше стоимостями меньше 0 — в случае встроенных опционов на покупку (опционов типа call) или больше 0 — в случае встроенных опционов на продажу (опционов типа put);</w:t>
      </w:r>
    </w:p>
    <w:p>
      <w:pPr>
        <w:pStyle w:val="BodyText"/>
      </w:pPr>
      <w:r>
        <w:t xml:space="preserve">1, если вышеуказанная разница больше либо равна 0 — в случае встроенных опционов на покупку (опционов типа call) или меньше либо равна 0 — в случае встроенных опционов на продажу (опционов типа put).</w:t>
      </w:r>
    </w:p>
    <w:p>
      <w:pPr>
        <w:pStyle w:val="BodyText"/>
      </w:pPr>
      <w:r>
        <w:t xml:space="preserve">В случае опционов, базисным активом которых является иностранная валюта и (или) драгоценные металлы, встроенных в валютные нерезервируемые финансовые активы и резервируемые финансовые активы, включаемые в расчет величин процентного и фондового рисков (данные активы включаются в расчет ОВП по справедливой стоимости), применяется коэффициент дельта, определенный в соответствии с подпунктами 1.8.2–1.8.6 пункта 1.8 Инструкции Банка России № 178-И.</w:t>
      </w:r>
    </w:p>
    <w:p>
      <w:pPr>
        <w:pStyle w:val="BodyText"/>
      </w:pPr>
      <w:r>
        <w:t xml:space="preserve">2.1.2. В ряде случаев валютные финансовые активы (обязательства), содержащие НВПИ, базисным активом которых является иностранная валюта и (или) драгоценные металлы, могут не удовлетворять условию разделяемости (например, в случае активов (обязательств), платежи по которым производятся в рублях по курсу иностранной валюты на дату проведения платежа, так как такое условие при его выделении не может быть рассмотрено в качестве производного инструмента). В данных случаях валютные финансовые активы (обязательства), содержащие такие НВПИ, подлежат включению в расчет ОВП в общем порядке, то есть в величине, содержащей те компоненты балансовой стоимости, которые оказывают непосредственное (отложенное) влияние на величину регулятивного капитала за счет валютной переоценки (см. ответ на вопрос 1). При этом пересчет величины соответствующих компонентов стоимости в валютный эквивалент производится с применением тех курсов иностранных валют (цен на драгоценные металлы), которые формируют валютную переоценку на счетах бухгалтерского учета, на дату последней переоценки.</w:t>
      </w:r>
    </w:p>
    <w:p>
      <w:pPr>
        <w:pStyle w:val="BodyText"/>
      </w:pPr>
      <w:r>
        <w:t xml:space="preserve">В случае если валютная переоценка, формируемая по валютным финансовым активам (обязательствам) за счет НВПИ, базисным активом которых является иностранная валюта и (или) драгоценные металлы, отражается в составе балансовых переоценок, пересчет соответствующих компонентов стоимости таких активов (обязательств) в валютный эквивалент производится по курсу иностранной валюты (цене на драгоценный металл) на дату их первоначального признания. Одновременно с этим балансовые переоценки по таким активам (обязательствам) пересчитываются в валютный эквивалент в порядке, аналогичном применяемому к немонетарным валютным финансовым активам (см. пункт 2.2 ответа на вопрос 1).</w:t>
      </w:r>
    </w:p>
    <w:p>
      <w:pPr>
        <w:pStyle w:val="BodyText"/>
      </w:pPr>
      <w:r>
        <w:t xml:space="preserve">2.2. Прочие встроенные производные инструменты, имеющие тесную экономическую взаимосвязь с основным договором</w:t>
      </w:r>
    </w:p>
    <w:p>
      <w:pPr>
        <w:pStyle w:val="BodyText"/>
      </w:pPr>
      <w:r>
        <w:t xml:space="preserve">Финансовый результат, формируемый по резервируемым финансовым активам и финансовым обязательствам за счет НВПИ, базисными активами которых являются объекты, отличные от иностранных валют и драгоценных металлов (например, процентная ставка), не включается в расчет величины регулятивного капитала кредитных организаций. В случае нерезервируемых финансовых активов финансовый результат, формируемый за счет вышеуказанных НВПИ, встроенных в такие активы, в полной мере включается в расчет величины регулятивного капитала кредитных организаций.</w:t>
      </w:r>
    </w:p>
    <w:p>
      <w:pPr>
        <w:pStyle w:val="BodyText"/>
      </w:pPr>
      <w:r>
        <w:t xml:space="preserve">С учетом вышеизложенного указанные НВПИ включаются в расчет ОВП лишь в том случае, если таковые встроены в валютные нерезервируемые финансовые активы или в валютные резервируемые финансовые активы, включаемые в расчет величин процентного и фондового рисков. В данных случаях вышеуказанные НВПИ подлежат отражению в расчете ОВП в составе справедливой стоимости указанных активов, в которой таковые включаются в расчет балансовой ОВП, по факту подверженности таких НВПИ валютному риску.</w:t>
      </w:r>
    </w:p>
    <w:p>
      <w:pPr>
        <w:pStyle w:val="BodyText"/>
      </w:pPr>
      <w:r>
        <w:t xml:space="preserve">2.3. Встроенные производные инструменты, не имеющие тесной экономической взаимосвязи с основным договором</w:t>
      </w:r>
    </w:p>
    <w:p>
      <w:pPr>
        <w:pStyle w:val="BodyText"/>
      </w:pPr>
      <w:r>
        <w:t xml:space="preserve">В ряде случаев встроенные производные инструменты могут признаваться не отделяемыми от основного договора в соответствии с МСФО 9, несмотря на отсутствие экономической взаимосвязи таких инструментов с основным договором (например, в случае встраивания таких производных инструментов в финансовые активы).</w:t>
      </w:r>
    </w:p>
    <w:p>
      <w:pPr>
        <w:pStyle w:val="BodyText"/>
      </w:pPr>
      <w:r>
        <w:t xml:space="preserve">С учетом того, что изменение справедливой стоимости таких встроенных производных инструментов в полной мере включается в состав финансового результата для целей расчета регулятивного капитала, кредитным организациям следует рассматривать таковые для целей расчета ОВП в общем порядке аналогично встроенным производным инструментам, отделяемым от основного договора (см. пункт 1 настоящего ответа), исходя из величин требований и обязательств, которые в таком случае были бы отражены на внебалансовых счетах. При этом при определении стоимости валютных резервируемых финансовых активов, включаемых в расчет величин процентного и фондового рисков, и валютных нерезервируемых финансовых активов, содержащих такие встроенные производные инструменты, величина справедливой стоимости данных встроенных производных инструментов подлежит изъятию из состава справедливой стоимости указанных активов, включаемой в расчет ОВП.</w:t>
      </w:r>
    </w:p>
    <w:p>
      <w:pPr>
        <w:pStyle w:val="BodyText"/>
      </w:pPr>
      <w:r>
        <w:t xml:space="preserve">В каком порядке выданные банковские гарантии (иные аналогичные финансовые инструменты), а также полученное обеспечение включаются в расчет открытых валютных позиций с учетом применения порядка бухгалтерского учета в соответствии с МСФО 9 (в частности, в части компонентов стоимости внебалансовых обязательств, учитываемых на балансовых счетах по учету, например, корректировок и переоценок, увеличивающих/уменьшающих стоимость обязательств)?</w:t>
      </w:r>
    </w:p>
    <w:p>
      <w:pPr>
        <w:pStyle w:val="BodyText"/>
      </w:pPr>
      <w:r>
        <w:t xml:space="preserve">Обновлено: 08.07.2020</w:t>
      </w:r>
    </w:p>
    <w:p>
      <w:pPr>
        <w:pStyle w:val="BodyText"/>
      </w:pPr>
      <w:r>
        <w:t xml:space="preserve">Порядок включения в расчет ОВП выданных независимых (банковских) гарантий, удовлетворяющих установленному Инструкцией Банка России № 178-И условию включения таковых в расчет ОВП (далее — выданные гарантии), а также полученных банковских гарантий (иного аналогичного обеспечения) и принятого в обеспечение залога (далее в совокупности — полученное обеспечение), отражаемых кредитными организациями на соответствующих внебалансовых счетах, с учетом порядка бухгалтерского учета в соответствии с положениями МСФО 9 состоит в следующем. В отношении выданных поручительств, выставленных аккредитивов, удовлетворяющих установленному Инструкцией Банка России № 178-И условию включения таковых в расчет ОВП, применяется тот же порядок включения в расчет ОВП, что и по выданным гарантиям.</w:t>
      </w:r>
    </w:p>
    <w:p>
      <w:pPr>
        <w:pStyle w:val="Compact"/>
        <w:numPr>
          <w:ilvl w:val="0"/>
          <w:numId w:val="1007"/>
        </w:numPr>
      </w:pPr>
      <w:r>
        <w:t xml:space="preserve">Общий подход к включению выданных гарантий и полученного обеспечения в расчет ОВП</w:t>
      </w:r>
    </w:p>
    <w:p>
      <w:pPr>
        <w:pStyle w:val="FirstParagraph"/>
      </w:pPr>
      <w:r>
        <w:t xml:space="preserve">В соответствии с Инструкцией Банка России № 178‑И необходимость включения выданных гарантий и полученного обеспечения в расчет ОВП обусловлена возможностью изменения степени подверженности кредитных организаций влиянию валютного риска в результате трансформации таких гарантий и обеспечения в балансовые активы, подверженные валютному риску, и (или) в балансовые активы, стоимость которых при проведении такой трансформации будет зависеть от курсов иностранных валют (цен на драгоценные металлы) (далее — выданные валютные гарантии и полученное валютное обеспечение соответственно).</w:t>
      </w:r>
    </w:p>
    <w:p>
      <w:pPr>
        <w:pStyle w:val="BodyText"/>
      </w:pPr>
      <w:r>
        <w:t xml:space="preserve">С учетом вышеизложенного выданные валютные гарантии и полученное валютное обеспечение включаются в расчет внебалансовой ОВП в величине, определяемой исходя из остатков на соответствующих внебалансовых счетах и корректируемой в соответствии с подпунктами 1.9.1–1.9.3 пункта 1.9 Инструкции Банка России № 178‑И на величину отдельных элементов, отражаемых на балансовых счетах (например, резервы на возможные потери). Включение последних в расчет производится по признаку наличия непосредственного (отложенного) влияния на величину регулятивного капитала кредитных организаций.</w:t>
      </w:r>
    </w:p>
    <w:p>
      <w:pPr>
        <w:pStyle w:val="Compact"/>
        <w:numPr>
          <w:ilvl w:val="0"/>
          <w:numId w:val="1008"/>
        </w:numPr>
      </w:pPr>
      <w:r>
        <w:t xml:space="preserve">Балансовые компоненты, используемые для определения величины, в которой выданные валютные гарантии включаются в расчет ОВП</w:t>
      </w:r>
    </w:p>
    <w:p>
      <w:pPr>
        <w:pStyle w:val="FirstParagraph"/>
      </w:pPr>
      <w:r>
        <w:t xml:space="preserve">2.1. Остатки на балансовых счетах по учету сформированных резервов на возможные потери, а также остатки на счетах по учету корректировок резервов</w:t>
      </w:r>
    </w:p>
    <w:p>
      <w:pPr>
        <w:pStyle w:val="BodyText"/>
      </w:pPr>
      <w:r>
        <w:t xml:space="preserve">Ввиду того, что в расчет величины регулятивного капитала кредитных организаций включается финансовый результат, формируемый с учетом сумм резервов на возможные потери, сформированных по выданным валютным гарантиям в соответствии с Положением Банка России № 611-П, соответствующая величина резервов используется в целях определения величины, в которой выданные валютные гарантии включаются в расчет внебалансовой ОВП.</w:t>
      </w:r>
    </w:p>
    <w:p>
      <w:pPr>
        <w:pStyle w:val="BodyText"/>
      </w:pPr>
      <w:r>
        <w:t xml:space="preserve">Величина корректировок резервов по выданным валютным гарантиям (до величины резервов под ожидаемые кредитные убытки в соответствии с МСФО 9) не учитывается в расчете ОВП, так как данные корректировки не оказывают влияния на величину регулятивного капитала кредитных организаций.</w:t>
      </w:r>
    </w:p>
    <w:p>
      <w:pPr>
        <w:pStyle w:val="BodyText"/>
      </w:pPr>
      <w:r>
        <w:t xml:space="preserve">2.2. Остатки на балансовом счете по учету расчетов по выданным банковским гарантиям, а также остатки на счетах по учету корректировок и переоценок, увеличивающих или уменьшающих стоимость обязательств по договорам банковской гарантии</w:t>
      </w:r>
    </w:p>
    <w:p>
      <w:pPr>
        <w:pStyle w:val="BodyText"/>
      </w:pPr>
      <w:r>
        <w:t xml:space="preserve">В связи с тем, что в расчете внебалансовой ОВП используется номинальная (контрактная) величина выданных валютных гарантий, отражаемая на внебалансовых счетах, включение рассматриваемых балансовых компонентов в расчет ОВП может привести к двойному счету, так как на данных балансовых счетах отражается справедливая стоимость выданных гарантий на дату их первоначального признания, а также на текущую дату оценки (в тех случаях, когда такие инструменты оцениваются по справедливой стоимости через прибыль или убыток). Кроме того, рассматриваемые корректировки и переоценки не оказывают непосредственного (отложенного) влияния на величину регулятивного капитала кредитных организаций.</w:t>
      </w:r>
    </w:p>
    <w:p>
      <w:pPr>
        <w:pStyle w:val="BodyText"/>
      </w:pPr>
      <w:r>
        <w:t xml:space="preserve">В данной связи рассматриваемые компоненты не включаются в расчет ОВП (как в части балансовой, так и внебалансовой ОВП).</w:t>
      </w:r>
    </w:p>
    <w:p>
      <w:pPr>
        <w:pStyle w:val="Compact"/>
        <w:numPr>
          <w:ilvl w:val="0"/>
          <w:numId w:val="1009"/>
        </w:numPr>
      </w:pPr>
      <w:r>
        <w:t xml:space="preserve">Балансовые компоненты, используемые для определения величины, в которой полученное валютное обеспечение включается в расчет ОВП</w:t>
      </w:r>
    </w:p>
    <w:p>
      <w:pPr>
        <w:pStyle w:val="FirstParagraph"/>
      </w:pPr>
      <w:r>
        <w:t xml:space="preserve">Аналогично выданным валютным гарантиям (см. пункт 2.1 настоящего ответа) в целях корректировки величины, в которой полученное валютное обеспечение подлежит включению в расчет внебалансовой ОВП, используется величина резервов, сформированных по соответствующим финансовым активам (обязательствам) в соответствии с Положением Банка России № 590-П и (или) Положением Банка России № 611-П, и не учитывается величина корректировок резервов (до величины резервов под ожидаемые кредитные убытки в соответствии с МСФО 9).</w:t>
      </w:r>
    </w:p>
    <w:p>
      <w:pPr>
        <w:pStyle w:val="BodyText"/>
      </w:pPr>
      <w:r>
        <w:t xml:space="preserve">В каком порядке в расчет открытых валютных позиций включаются балансовые активы и обязательства с учетом применения порядка бухгалтерского учета в соответствии с МСФО 9, например, в части остатков на балансовых счетах по учету корректировок резервов на возможные потери, корректировок, увеличивающих/уменьшающих стоимость финансовых активов/обязательств, а также остатков на иных балансовых счетах?</w:t>
      </w:r>
    </w:p>
    <w:p>
      <w:pPr>
        <w:pStyle w:val="BodyText"/>
      </w:pPr>
      <w:r>
        <w:t xml:space="preserve">Обновлено: 22.09.2020</w:t>
      </w:r>
    </w:p>
    <w:p>
      <w:pPr>
        <w:pStyle w:val="BodyText"/>
      </w:pPr>
      <w:r>
        <w:t xml:space="preserve">Порядок отражения в расчете величины балансовой позиции в составе открытых валютных позиций (далее — ОВП) в соответствии с Инструкцией Банка России № 178‑И 1 включаемых в данный расчет активов и обязательств (далее — балансовые активы и обязательства) с учетом применения порядка бухгалтерского учета в соответствии с положениями Международного стандарта финансовой отчетности ( IFRS ) 9 «Финансовые инструменты» (далее — МСФО 9) состоит в следующем.</w:t>
      </w:r>
    </w:p>
    <w:p>
      <w:pPr>
        <w:pStyle w:val="Compact"/>
        <w:numPr>
          <w:ilvl w:val="0"/>
          <w:numId w:val="1010"/>
        </w:numPr>
      </w:pPr>
      <w:r>
        <w:t xml:space="preserve">Общий подход к включению балансовых активов и обязательств в расчет ОВП</w:t>
      </w:r>
    </w:p>
    <w:p>
      <w:pPr>
        <w:pStyle w:val="FirstParagraph"/>
      </w:pPr>
      <w:r>
        <w:t xml:space="preserve">Согласно пункту 1.1 Инструкции Банка России № 178‑И расчет ОВП осуществляется в целях ограничения (лимитирования) подверженности кредитных организаций влиянию валютного риска путем соотнесения величины открытых позиций с величиной собственных средств (капитала) кредитных организаций, рассчитываемой в соответствии с Положением Банка России № 646‑П 2 (далее — регулятивный капитал), а также в целях определения величины регулятивного капитала, необходимой для покрытия валютного риска в соответствии с Положением Банка России № 511‑П 3 . В связи с этим, а также исходя из подпунктов 1.1.1 и 1.1.2 пункта 1.1 и подпункта 1.5.2 пункта 1.5 Инструкции Банка России № 178‑И необходимость отражения балансовых активов и обязательств в расчете ОВП обусловлена фактом их подверженности валютному риску, определяемой на основании наличия зависимости величины их совокупной балансовой стоимости от изменения устанавливаемых Банком России официальных курсов иностранных валют по отношению к рублю и (или) цен на драгоценные металлы с учетом влияния (возможного влияния) результата реализации валютного риска на величину регулятивного капитала.</w:t>
      </w:r>
    </w:p>
    <w:p>
      <w:pPr>
        <w:pStyle w:val="BodyText"/>
      </w:pPr>
      <w:r>
        <w:t xml:space="preserve">Следовательно, балансовые активы и обязательства, подверженные валютному риску (далее — валютные активы и обязательства), подлежат включению в расчет балансовой ОВП в величине (далее — стоимость для целей расчета ОВП), состоящей из тех компонентов их балансовой стоимости, которые оказывают (могут оказать) непосредственное (отложенное) влияние на величину регулятивного капитала за счет переоценки либо уточнения (пересчета) в связи с изменением курсов иностранных валют (цен на драгоценные материалы) (далее — валютная переоценка).</w:t>
      </w:r>
    </w:p>
    <w:p>
      <w:pPr>
        <w:pStyle w:val="BodyText"/>
      </w:pPr>
      <w:r>
        <w:t xml:space="preserve">Отраженные в бухгалтерском учете отложенные налоговые активы и обязательства, подверженные валютному риску, а именно: отложенные налоговые активы и обязательства, сформированные исходя из сумм налога на прибыль (налога на доходы), подлежащего уплате либо возмещению в будущих отчетных периодах в иностранных юрисдикциях (в иностранной валюте), подлежат включению в расчет балансовой ОВП в величине, сформированной по тем компонентам балансовой стоимости соответствующих активов и обязательств, которые оказывают (могут оказать) непосредственное (отложенное) влияние на величину регулятивного капитала.</w:t>
      </w:r>
    </w:p>
    <w:p>
      <w:pPr>
        <w:pStyle w:val="Compact"/>
        <w:numPr>
          <w:ilvl w:val="0"/>
          <w:numId w:val="1011"/>
        </w:numPr>
      </w:pPr>
      <w:r>
        <w:t xml:space="preserve">Компоненты стоимости валютных активов и обязательств для целей расчета балансовой ОВП (в части тех финансовых активов и обязательств, порядок учета которых был изменен в связи с внедрением МСФО 9)</w:t>
      </w:r>
    </w:p>
    <w:p>
      <w:pPr>
        <w:pStyle w:val="FirstParagraph"/>
      </w:pPr>
      <w:r>
        <w:t xml:space="preserve">2.1. Остатки на балансовых счетах по учету предоставленных (размещенных, выплаченных) средств, вложений в приобретенные права требования и ценные бумаги (далее — вложения), а также остатки на балансовых счетах по учету привлеченных средств и выпущенных долговых ценных бумаг (далее — привлеченные средства)</w:t>
      </w:r>
    </w:p>
    <w:p>
      <w:pPr>
        <w:pStyle w:val="BodyText"/>
      </w:pPr>
      <w:r>
        <w:t xml:space="preserve">Валютная переоценка данных компонентов балансовой стоимости валютных финансовых активов и обязательств в общем случае непосредственно отражается в величине финансового результата кредитных организаций, включаемого в соответствии с подпунктами 2.1.7, 2.1.8, 2.2.7, 2.2.8 пункта 2 и подпунктами 3.1.6, 3.1.7 пункта 3 Положения Банка России № 646‑П в состав источников регулятивного капитала либо показателей, уменьшающих сумму источников регулятивного капитала (далее — финансовый результат для целей расчета регулятивного капитала).</w:t>
      </w:r>
    </w:p>
    <w:p>
      <w:pPr>
        <w:pStyle w:val="BodyText"/>
      </w:pPr>
      <w:r>
        <w:t xml:space="preserve">В то же время в отдельных случаях валютная переоценка вложений и привлеченных средств включается в финансовый результат кредитных организаций в составе финансового результата от переоценок, отражаемых на отдельных балансовых счетах по учету переоценок, увеличивающих или уменьшающих стоимость таких вложений и привлеченных средств после первоначального признания (далее — балансовые переоценки). В частности, указанное верно в отношении вложений в долевые ценные бумаги, а также участия в дочерних и зависимых обществах, паевых инвестиционных фондах и уставных капиталах прочих юридических лиц, в отношении которых кредитными организациями был выбран способ оценки по справедливой стоимости (далее в совокупности — немонетарные валютные финансовые активы). Тем не менее в данных случаях (в том числе в случае немонетарных валютных финансовых активов) валютная переоценка вложений и привлеченных средств также непосредственно отражается в величине финансового результата кредитных организаций для целей расчета регулятивного капитала.</w:t>
      </w:r>
    </w:p>
    <w:p>
      <w:pPr>
        <w:pStyle w:val="BodyText"/>
      </w:pPr>
      <w:r>
        <w:t xml:space="preserve">В данной связи величина вложений и привлеченных средств как в общем случае, так и в вышеуказанных отдельных случаях включается в стоимость валютных финансовых активов и обязательств для целей расчета ОВП по признаку наличия непосредственного влияния валютной переоценки данных компонентов на величину регулятивного капитала. При этом пересчет суммы вложений в немонетарные валютные финансовые активы в соответствующий валютный эквивалент осуществляется по официальным курсам иностранных валют по отношению к рублю, установленным Банком России на дату первоначального признания таких активов.</w:t>
      </w:r>
    </w:p>
    <w:p>
      <w:pPr>
        <w:pStyle w:val="BodyText"/>
      </w:pPr>
      <w:r>
        <w:t xml:space="preserve">2.2. Остатки на балансовых счетах по учету оценки по справедливой стоимости при первоначальном признании и корректировок, увеличивающих или уменьшающих стоимость вложений и привлеченных средств (далее в совокупности — балансовые корректировки), а также остатки на счетах по учету балансовых переоценок</w:t>
      </w:r>
    </w:p>
    <w:p>
      <w:pPr>
        <w:pStyle w:val="BodyText"/>
      </w:pPr>
      <w:r>
        <w:t xml:space="preserve">Абзацами 18–19, 22–24 подпункта 2.1.7 пункта 2 Положения Банка России № 646‑П предусматривается невключение в величину регулятивного капитала кредитных организаций финансового результата, формируемого за счет балансовых корректировок и переоценок финансовых активов, в отношении которых распространяются требования по формированию резервов на возможные потери в соответствии с Положением Банка России № 590‑П 4 и (или) Положением Банка России № 611‑П 5 (далее — резервируемые финансовые активы). Соответственно, балансовые корректировки и переоценки резервируемых валютных финансовых активов не оказывают непосредственного влияния на величину регулятивного капитала кредитных организаций (в том числе в части валютной переоценки), ввиду чего таковые в общем случае не включаются в стоимость данных активов для целей расчета ОВП.</w:t>
      </w:r>
    </w:p>
    <w:p>
      <w:pPr>
        <w:pStyle w:val="BodyText"/>
      </w:pPr>
      <w:r>
        <w:t xml:space="preserve">В то же время в случае отдельных резервируемых валютных финансовых активов , в отношении которых распространяются требования Положения Банка России № 511‑П, величина регулятивного капитала может сохранять отложенную зависимость от рассматриваемых компонентов стоимости (в том числе в части валютной переоценки) при последующей реализации таких активов в краткосрочной перспективе. В частности, указанное верно в отношении следующих резервируемых валютных финансовых активов :</w:t>
      </w:r>
    </w:p>
    <w:p>
      <w:pPr>
        <w:pStyle w:val="BodyText"/>
      </w:pPr>
      <w:r>
        <w:t xml:space="preserve">долговых и долевых ценных бумаг, оцениваемых по справедливой стоимости через прочий совокупный доход (в части тех из них, в отношении которых имеются намерения о продаже в краткосрочной перспективе);</w:t>
      </w:r>
    </w:p>
    <w:p>
      <w:pPr>
        <w:pStyle w:val="BodyText"/>
      </w:pPr>
      <w:r>
        <w:t xml:space="preserve">долевых ценных бумаг, классифицированных в качестве участия в дочерних и зависимых обществах, в отношении которых кредитными организациями был выбран способ оценки по справедливой стоимости (в части тех из них, в отношении которых имеются намерения о продаже в краткосрочной перспективе).</w:t>
      </w:r>
    </w:p>
    <w:p>
      <w:pPr>
        <w:pStyle w:val="BodyText"/>
      </w:pPr>
      <w:r>
        <w:t xml:space="preserve">В связи с этим балансовые корректировки и переоценки перечисленных резервируемых валютных финансовых активов подлежат включению в состав их стоимости для целей расчета ОВП аналогично тому, как такие финансовые активы включаются в расчет величин процентного и фондового рисков, а именно: в величине справедливой стоимости, учитывающей балансовые корректировки и переоценки и не учитывающей сформированные резервы на возможные потери.</w:t>
      </w:r>
    </w:p>
    <w:p>
      <w:pPr>
        <w:pStyle w:val="BodyText"/>
      </w:pPr>
      <w:r>
        <w:t xml:space="preserve">В случае нерезервируемых валютных финансовых активов финансовый результат, формируемый за счет балансовых корректировок и переоценок (в том числе в части валютной переоценки), непосредственно отражается в составе финансового результата кредитных организаций для целей расчета регулятивного капитала, ввиду чего таковые включаются в стоимость соответствующих активов для целей расчета ОВП. В частности, к данным финансовым активам относятся долговые и долевые ценные бумаги, оцениваемые по справедливой стоимости через прибыль или убыток.</w:t>
      </w:r>
    </w:p>
    <w:p>
      <w:pPr>
        <w:pStyle w:val="BodyText"/>
      </w:pPr>
      <w:r>
        <w:t xml:space="preserve">При этом балансовые переоценки по немонетарным резервируемым валютным финансовым активам , включаемым в расчет величин процентного и фондового рисков, и немонетарным нерезервируемым валютным финансовым активам (см. пункт 2.1 настоящего ответа) включаются в стоимость таких активов для целей расчета ОВП за вычетом величины валютных переоценок вложений в указанные активы, учитываемых в составе балансовых переоценок (то есть, например, по акциям, справедливая стоимость которых выражена в иностранной валюте и оценивается по котировкам биржевого рынка, в результате данного изъятия величина балансовых переоценок, включаемая в стоимость данных акций для целей расчета ОВП, должна составить только величину изменения данной котировки).</w:t>
      </w:r>
    </w:p>
    <w:p>
      <w:pPr>
        <w:pStyle w:val="BodyText"/>
      </w:pPr>
      <w:r>
        <w:t xml:space="preserve">Пересчет величины балансовых корректировок и переоценок (с учетом вышеуказанного изъятия) в соответствующий валютный эквивалент осуществляется по курсам иностранных валют (цен на драгоценные металлы) на дату проведения последней корректировки (ее уточнения в связи с изменением курсов иностранных валют) и последней переоценки по справедливой стоимости соответственно.</w:t>
      </w:r>
    </w:p>
    <w:p>
      <w:pPr>
        <w:pStyle w:val="BodyText"/>
      </w:pPr>
      <w:r>
        <w:t xml:space="preserve">В отношении валютных финансовых обязательств абзацами 18, 20 и 25 подпункта 2.1.7 пункта 2 Положения Банка России № 646‑П предусматривается невключение в величину регулятивного капитала кредитных организаций финансового результата, формируемого за счет балансовых корректировок и переоценок (в том числе в части валютной переоценки), ввиду чего таковые не включаются в стоимость валютных финансовых обязательств для целей расчета ОВП.</w:t>
      </w:r>
    </w:p>
    <w:p>
      <w:pPr>
        <w:pStyle w:val="BodyText"/>
      </w:pPr>
      <w:r>
        <w:t xml:space="preserve">2.3. Остатки на балансовых счетах по учету процентов, начисленных по привлеченным средствам, по предоставленным (размещенным) средствам и ценным бумагам, а также на счетах по учету прочих доходов и начисленных расходов</w:t>
      </w:r>
    </w:p>
    <w:p>
      <w:pPr>
        <w:pStyle w:val="BodyText"/>
      </w:pPr>
      <w:r>
        <w:t xml:space="preserve">Валютная переоценка указанных компонентов стоимости валютных финансовых активов и обязательств непосредственно учитывается в составе финансового результата кредитных организаций для целей расчета регулятивного капитала (в том числе в отдельных случаях, когда таковая отражается в составе балансовых переоценок; см. пункт 2.1 настоящего ответа), ввиду чего данные компоненты включаются в стоимость таких активов и обязательств для целей расчета ОВП.</w:t>
      </w:r>
    </w:p>
    <w:p>
      <w:pPr>
        <w:pStyle w:val="BodyText"/>
      </w:pPr>
      <w:r>
        <w:t xml:space="preserve">В то же время абзацами 15–16 подпункта 2.1.7 пункта 2 Положения Банка России № 646‑П предусматривается проведение корректировки финансового результата кредитных организаций для целей расчета регулятивного капитала на величину начисленных, но фактически не полученных процентных доходов по ссудам и иным активам, классифицированным в IV и V категории качества в соответствии с требованиями Положения Банка России № 590‑П и (или) Положения Банка России № 611‑П, с учетом резервов на возможные потери, сформированных в соответствии с Положением Банка России № 611‑П.</w:t>
      </w:r>
    </w:p>
    <w:p>
      <w:pPr>
        <w:pStyle w:val="BodyText"/>
      </w:pPr>
      <w:r>
        <w:t xml:space="preserve">В результате данной корректировки валютная переоценка неполученных процентов, отраженных в балансе, не оказывает непосредственного влияния на величину регулятивного капитала, однако последний сохраняет отложенную зависимость от изменения курсов иностранных валют (цен на драгоценные металлы) в случае фактического получения процентов. В связи с этим рассматриваемые неполученные проценты подлежат включению в стоимость валютных финансовых активов для целей расчета балансовой ОВП с учетом сформированных резервов на возможные потери (исключение составляют неполученные проценты по резервируемым валютным финансовым активам , учитываемым в расчете величин процентного и фондового рисков, которые включаются в стоимость данных активов для целей расчета ОВП без учета сформированных резервов, как указано в пунктах 2.2 и 2.5 настоящего ответа). Одновременно с этим в силу прекращения с 01.01.2019 внебалансового учета рассматриваемых неполученных процентов таковые не включаются в расчет внебалансовой ОВП.</w:t>
      </w:r>
    </w:p>
    <w:p>
      <w:pPr>
        <w:pStyle w:val="BodyText"/>
      </w:pPr>
      <w:r>
        <w:t xml:space="preserve">2.4. Остатки на балансовых счетах по учету затрат по сделкам (далее — затраты)</w:t>
      </w:r>
    </w:p>
    <w:p>
      <w:pPr>
        <w:pStyle w:val="BodyText"/>
      </w:pPr>
      <w:r>
        <w:t xml:space="preserve">Абзацами 15 и 17 подпункта 2.1.7 пункта 2 Положения Банка России № 646‑П предусматривается необходимость проведения корректировки финансового результата для целей расчета регулятивного капитала (в части финансового результата текущего года) на величину остатка затрат (в течение всего периода нахождения соответствующих финансовых активов и обязательств на балансе кредитных организаций).</w:t>
      </w:r>
    </w:p>
    <w:p>
      <w:pPr>
        <w:pStyle w:val="BodyText"/>
      </w:pPr>
      <w:r>
        <w:t xml:space="preserve">Соответственно, несмотря на то, что сумма валютной переоценки затрат по валютным финансовым активам и обязательствам непосредственно отражается в составе финансового результата кредитных организаций для целей расчета регулятивного капитала, данная валютная переоценка не оказывает влияния на величину регулятивного капитала ввиду вышеуказанной корректировки. В связи с этим затраты не подлежат включению в стоимость валютных финансовых активов и обязательств для целей расчета ОВП.</w:t>
      </w:r>
    </w:p>
    <w:p>
      <w:pPr>
        <w:pStyle w:val="BodyText"/>
      </w:pPr>
      <w:r>
        <w:t xml:space="preserve">2.5. Остатки на балансовых счетах по учету сформированных резервов на возможные потери</w:t>
      </w:r>
    </w:p>
    <w:p>
      <w:pPr>
        <w:pStyle w:val="BodyText"/>
      </w:pPr>
      <w:r>
        <w:t xml:space="preserve">Уточнение величины сформированных резервов на возможные потери по валютным финансовым активам, обусловленное изменением курсов иностранных валют (цен на драгоценные металлы) (в том числе в случае немонетарных валютных финансовых активов), непосредственно отражается в величине финансового результата кредитных организаций для целей расчета регулятивного капитала, ввиду чего данный компонент включается в стоимость соответствующих активов для целей расчета ОВП.</w:t>
      </w:r>
    </w:p>
    <w:p>
      <w:pPr>
        <w:pStyle w:val="BodyText"/>
      </w:pPr>
      <w:r>
        <w:t xml:space="preserve">В то же время в случае тех резервируемых финансовых активов , которые включаются в расчет величин процентного и фондового рисков и стоимость которых для целей расчета ОВП содержит суммы балансовых корректировок и переоценок, как указано в пункте 2.2 настоящего ответа, резервы на возможные потери не подлежат включению в состав их стоимости для целей расчета ОВП.</w:t>
      </w:r>
    </w:p>
    <w:p>
      <w:pPr>
        <w:pStyle w:val="BodyText"/>
      </w:pPr>
      <w:r>
        <w:t xml:space="preserve">2.6. Остатки на балансовых счетах по учету корректировок сформированных резервов на возможные потери (далее — корректировки резервов)</w:t>
      </w:r>
    </w:p>
    <w:p>
      <w:pPr>
        <w:pStyle w:val="BodyText"/>
      </w:pPr>
      <w:r>
        <w:t xml:space="preserve">Абзацами 18, 26 и 27 подпункта 2.1.7 пункта 2 Положения Банка России № 646‑П предусматривается невключение в величину регулятивного капитала кредитных организаций финансового результата, формируемого за счет сумм корректировок резервов. Соответственно, такие суммы корректировок резервов по валютным финансовым активам не включаются в их стоимость для целей расчета ОВП.</w:t>
      </w:r>
    </w:p>
    <w:p>
      <w:pPr>
        <w:pStyle w:val="BodyText"/>
      </w:pPr>
      <w:r>
        <w:t xml:space="preserve">1 Инструкция Банка России от 28.12.2016 № 178-И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w:t>
      </w:r>
    </w:p>
    <w:p>
      <w:pPr>
        <w:pStyle w:val="BodyText"/>
      </w:pPr>
      <w:r>
        <w:t xml:space="preserve">2 Положение Банка России от 04.07.2018 № 646-П «О методике определения собственных средств (капитала) кредитных организаций („Базель III“)».</w:t>
      </w:r>
    </w:p>
    <w:p>
      <w:pPr>
        <w:pStyle w:val="BodyText"/>
      </w:pPr>
      <w:r>
        <w:t xml:space="preserve">3 Положение Банка России от 03.12.2015 № 511-П «О порядке расчета кредитными организациями величины рыночного риска».</w:t>
      </w:r>
    </w:p>
    <w:p>
      <w:pPr>
        <w:pStyle w:val="BodyText"/>
      </w:pPr>
      <w:r>
        <w:t xml:space="preserve">4 Положение Банка России от 28.06.2017 № 590-П «О порядке формирования кредитными организациями резервов на возможные потери по ссудам, ссудной и приравненной к ней задолженности».</w:t>
      </w:r>
    </w:p>
    <w:p>
      <w:pPr>
        <w:pStyle w:val="BodyText"/>
      </w:pPr>
      <w:r>
        <w:t xml:space="preserve">5 Положение Банка России от 23.10.2017 № 611-П «О порядке формирования кредитными организациями резервов на возможные потери».</w:t>
      </w:r>
    </w:p>
    <w:p>
      <w:pPr>
        <w:pStyle w:val="BodyText"/>
      </w:pPr>
      <w:r>
        <w:t xml:space="preserve">Разъяснения по вопросу о порядке включения в расчет величины рыночного риска в соответствии с Положением Банка России от 03.12.2015 № 511-П «О порядке расчета кредитными организациями величины рыночного риска» однотраншевых ипотечных ценных бумаг, обеспеченных поручительством единого института развития в жилищной сфере</w:t>
      </w:r>
    </w:p>
    <w:p>
      <w:pPr>
        <w:pStyle w:val="BodyText"/>
      </w:pPr>
      <w:r>
        <w:t xml:space="preserve">Может ли банк классифицировать вложения в ипотечные ценные бумаги, обеспеченные поручительством единого института развития в жилищной сфере, с учетом наличия указанного поручительства в целях расчета величины рыночного риска в соответствии с Положением Банка России от 03.12.2015 № 511-П «О порядке расчета кредитными организациями величины рыночного риска»?</w:t>
      </w:r>
    </w:p>
    <w:p>
      <w:pPr>
        <w:pStyle w:val="BodyText"/>
      </w:pPr>
      <w:r>
        <w:t xml:space="preserve">Обновлено: 20.12.2019</w:t>
      </w:r>
    </w:p>
    <w:p>
      <w:pPr>
        <w:pStyle w:val="BodyText"/>
      </w:pPr>
      <w:r>
        <w:t xml:space="preserve">До реализации в отношении российских кредитных организаций нового стандарта Базельского комитета по банковскому надзору («Minimum capital requirements for market risk (January 2019)»), основываясь на определении инструментов секьюритизации в «Базеле II» (параграф 61 приложения 11 к стандарту «International Convergence of Capital Measurement and Capital Standards. A Revised Framework Comprehensive Version (June 2006)»), реализованном в Положении Банка России от 03.12.2015 № 511-П «О порядке расчета кредитными организациями величины рыночного риска» (далее — Положение Банка России № 511-П), согласно которому к инструментам секьюритизации относятся ценные бумаги, выпущенные в рамках сделок, результатом которых является привлечение денежных средств посредством выпуска не менее двух траншей долговых ценных бумаг с различным уровнем кредитного риска, исполнение обязательств по каждому из которых обеспечивается полностью или частично поступлениями денежных средств от активов, переданных в обеспечение, кредитные организации в целях расчета величины специального процентного риска в соответствии с Положением Банка России № 511-П могут классифицировать однотраншевые ипотечные ценные бумаги в соответствии с пунктом 2.4 Положения Банка России № 511-П.</w:t>
      </w:r>
    </w:p>
    <w:p>
      <w:pPr>
        <w:pStyle w:val="BodyText"/>
      </w:pPr>
      <w:r>
        <w:t xml:space="preserve">При этом поскольку в соответствии с абзацем двадцатым подпункта 2.3.2 пункта 2.3 Инструкции Банка России от 28.06.2017 № 180-И «Об обязательных нормативах банков» (далее — Инструкция Банка России № 180-И) ипотечные ценные бумаги, номинированные в рублях и обеспеченные номинированным в рублях поручительством единого института развития в жилищной сфере, относятся ко II группе активов, в отношении которой в соответствии с абзацем двенадцатым подпункта 2.1.1 пункта 2.1 Инструкции Банка России № 180-И показатель ПК не применяется, однотраншевые ипотечные ценные бумаги, номинированные в рублях и обеспеченные номинированным в рублях поручительством единого института развития в жилищной сфере, классифицируются как ценные бумаги со средним риском в соответствии с подпунктом 2.4.3 пункта 2.4 Положения Банка России № 511-П.</w:t>
      </w:r>
    </w:p>
    <w:p>
      <w:pPr>
        <w:pStyle w:val="BodyText"/>
      </w:pPr>
      <w:r>
        <w:t xml:space="preserve">Разъяснение о порядке расчета показателей в соответствии с Указанием Банка России от 3 апреля 2017 года № 4336-У «Об оценке экономического положения банков»</w:t>
      </w:r>
    </w:p>
    <w:p>
      <w:pPr>
        <w:pStyle w:val="BodyText"/>
      </w:pPr>
      <w:r>
        <w:t xml:space="preserve">Каков порядок округления показателей, входящих в состав групп показателей оценки капитала, активов, доходности и ликвидности в целях присвоения им бальной оценки:</w:t>
      </w:r>
      <w:r>
        <w:t xml:space="preserve"> </w:t>
      </w:r>
      <w:r>
        <w:t xml:space="preserve">— в каких случаях применяются правила математического округления;</w:t>
      </w:r>
      <w:r>
        <w:t xml:space="preserve"> </w:t>
      </w:r>
      <w:r>
        <w:t xml:space="preserve">— в каких случаях показатели включаются в расчет обобщающего результата по группе показателей без применения правил математического округления?</w:t>
      </w:r>
    </w:p>
    <w:p>
      <w:pPr>
        <w:pStyle w:val="BodyText"/>
      </w:pPr>
      <w:r>
        <w:t xml:space="preserve">Обновлено: 20.12.2019</w:t>
      </w:r>
    </w:p>
    <w:p>
      <w:pPr>
        <w:pStyle w:val="BodyText"/>
      </w:pPr>
      <w:r>
        <w:t xml:space="preserve">Показатели, входящие в состав групп показателей оценки капитала, активов, доходности и ликвидности, в целях присвоения им балльной оценки округляются по математическим правилам, за исключением показателей, представляющих собой обязательные нормативы, фактическое значение которых включается в расчет непосредственно из отчетности по формам, установленным Указанием Банка России от 8 октября 2018 года № 4927-У «О перечне, формах и порядке составления и представления форм отчетности кредитных организаций в Центральный банк Российской Федерации».</w:t>
      </w:r>
    </w:p>
    <w:p>
      <w:pPr>
        <w:pStyle w:val="BodyText"/>
      </w:pPr>
      <w:r>
        <w:t xml:space="preserve">О применении рейтингов в целях расчета величины рыночного риска в соответствии с Положением Банка России от 03.12.2015 № 511-П «О порядке расчета кредитными организациями величины рыночного риска» и показателя (норматива) краткосрочной ликвидности в соответствии с Положением Банка России от 30.05.2014 № 421-П «О порядке расчета показателя краткосрочной ликвидности («Базель III»)»</w:t>
      </w:r>
    </w:p>
    <w:p>
      <w:pPr>
        <w:pStyle w:val="BodyText"/>
      </w:pPr>
      <w:r>
        <w:t xml:space="preserve">Правомерно ли банкам применять рейтинги, присвоенные кредитными рейтинговыми агентствами «Standard &amp; Poor’s», «Fitch Ratings», «Moody’s Investors Service» для ценных бумаг, эмитированных резидентами Российской Федерации, при расчете рыночного риска и показателя (норматива) краткосрочной ликвидности с 14.07.17, как и ранее, в связи с тем, что согласно Федеральному закону от 13.07.2015 № 222-ФЗ «О деятельности кредитных рейтинговых агентств в Российской Федерации, о внесении изменения в статью 761 Федерального закона „О Центральном банке Российской Федерации (Банке России)“ и признании утратившими силу отдельных положений законодательных актов Российской Федерации», для российских объектов рейтинга применяются только рейтинги по национальной шкале для Российской Федерации только от внесенных в реестр кредитных рейтинговых агентств?</w:t>
      </w:r>
      <w:r>
        <w:t xml:space="preserve"> </w:t>
      </w:r>
      <w:r>
        <w:t xml:space="preserve">Если да, то продолжает ли действовать Указание Банка России от 25.11.2014 № 3453-У «Об особенностях использования рейтингов кредитоспособности в целях применения нормативных актов Банка России»?</w:t>
      </w:r>
    </w:p>
    <w:p>
      <w:pPr>
        <w:pStyle w:val="BodyText"/>
      </w:pPr>
      <w:r>
        <w:t xml:space="preserve">Обновлено: 20.12.2019</w:t>
      </w:r>
    </w:p>
    <w:p>
      <w:pPr>
        <w:pStyle w:val="BodyText"/>
      </w:pPr>
      <w:r>
        <w:t xml:space="preserve">Положение Банка России от 03.12.2015 № 511-П «О порядке расчета кредитными организациями величины рыночного риска» и Положение Банка России от 30.05.2014 № 421-П «О порядке расчета показателя краткосрочной ликвидности („Базель III“)» предусматривают использование кредитных рейтингов с учетом положений документов, принятых международными организациями и международными объединениями, а именно в соответствии со стандартами Базельского комитета по банковскому надзору, что соответствует нормам части 5 статьи 3 Федерального закона от 13.07.2015 № 222-ФЗ «О деятельности кредитных рейтинговых агентств в Российской Федерации, о внесении изменения в статью 761 Федерального закона „О Центральном</w:t>
      </w:r>
    </w:p>
    <w:p>
      <w:pPr>
        <w:pStyle w:val="BodyText"/>
      </w:pPr>
      <w:r>
        <w:t xml:space="preserve">банке Российской Федерации (Банке России)“ и признании утратившими силу отдельных положений законодательных актов Российской Федерации».</w:t>
      </w:r>
    </w:p>
    <w:p>
      <w:pPr>
        <w:pStyle w:val="BodyText"/>
      </w:pPr>
      <w:r>
        <w:t xml:space="preserve">В этой связи в целях расчета рыночного риска и показателя (норматива) краткосрочной ликвидности использование международных рейтингов, установленных кредитными рейтинговыми агентствами «Standard &amp; Poor’s», «Fitch Ratings», «Moody’s Investors Service», для национальных объектов рейтинга сохраняется.</w:t>
      </w:r>
    </w:p>
    <w:p>
      <w:pPr>
        <w:pStyle w:val="BodyText"/>
      </w:pPr>
      <w:r>
        <w:t xml:space="preserve">При этом в указанных целях продолжает применяться Указание Банка России от 25.11.2014 № 3453-У «Об особенностях использования рейтингов кредитоспособности в целях применения нормативных актов Банка России».</w:t>
      </w:r>
    </w:p>
    <w:p>
      <w:pPr>
        <w:pStyle w:val="BodyText"/>
      </w:pPr>
      <w:r>
        <w:t xml:space="preserve">Общие вопросы по расчету величины рыночного риска</w:t>
      </w:r>
    </w:p>
    <w:p>
      <w:pPr>
        <w:pStyle w:val="BodyText"/>
      </w:pPr>
      <w:r>
        <w:t xml:space="preserve">Допускается ли взаимозачет балансовой позиции по ценной бумаге, переданной по операции прямого репо, и короткой позиции по тому же выпуску ценных бумаг, полученному по операции обратного репо, с последующей продажей этой ценной бумаги на рынке.</w:t>
      </w:r>
    </w:p>
    <w:p>
      <w:pPr>
        <w:pStyle w:val="BodyText"/>
      </w:pPr>
      <w:r>
        <w:t xml:space="preserve">Обновлено: 20.12.2019</w:t>
      </w:r>
    </w:p>
    <w:p>
      <w:pPr>
        <w:pStyle w:val="BodyText"/>
      </w:pPr>
      <w:r>
        <w:t xml:space="preserve">При расчете чистой позиции по сделкам прямого и обратного репо применительно к условиям, изложенным в вопросе, рекомендуется использовать следующий подход:</w:t>
      </w:r>
    </w:p>
    <w:p>
      <w:pPr>
        <w:pStyle w:val="BodyText"/>
      </w:pPr>
      <w:r>
        <w:t xml:space="preserve">в случае если срок исполнения обязательств по первой сделке (сделке прямого репо) наступает ранее срока исполнения обязательств по второй сделке (сделке обратного репо с реализацией ценных бумаг на рынке), противоположные позиции по вложениям в ценные бумаги могут взаимозачитываться;</w:t>
      </w:r>
    </w:p>
    <w:p>
      <w:pPr>
        <w:pStyle w:val="BodyText"/>
      </w:pPr>
      <w:r>
        <w:t xml:space="preserve">в случае если срок исполнения обязательств по первой сделке (сделке прямого репо) наступает позднее срока исполнения обязательств по второй сделке (сделке обратного репо с реализацией ценных бумаг на рынке), противоположные позиции по вложениям в ценные бумаги не взаимозачитываются и включаются в расчет рыночного риска как отдельные позиции по сроку до погашения выпуска.</w:t>
      </w:r>
    </w:p>
    <w:p>
      <w:pPr>
        <w:pStyle w:val="BodyText"/>
      </w:pPr>
      <w:r>
        <w:t xml:space="preserve">Следует ли при расчете чистой позиции по драгоценным металлам (не являющимися товарами, полученными в залог) корректировать балансовые требования на фактически сформированные резервы (аналогично пункту 1.4 Инструкции № 124-И)?</w:t>
      </w:r>
    </w:p>
    <w:p>
      <w:pPr>
        <w:pStyle w:val="BodyText"/>
      </w:pPr>
      <w:r>
        <w:t xml:space="preserve">Обновлено: 20.12.2019</w:t>
      </w:r>
    </w:p>
    <w:p>
      <w:pPr>
        <w:pStyle w:val="BodyText"/>
      </w:pPr>
      <w:r>
        <w:t xml:space="preserve">В соответствии с пунктом 4.3 Положения № 511-П чистая позиция по каждому виду драгоценного металла (кроме золота), включаемая в расчет товарного риска, рассчитывается в количественном выражении (в граммах), которая пересчитывается в рубли по учетным ценам, установленным Банком России на дату расчета товарного риска. Корректировка балансовых требований на фактически сформированные резервы на возможные потери Положением № 511-П не предусмотрена.</w:t>
      </w:r>
    </w:p>
    <w:p>
      <w:pPr>
        <w:pStyle w:val="BodyText"/>
      </w:pPr>
      <w:r>
        <w:t xml:space="preserve">Взаимозачитываются ли при расчете чистой позиции по долговым ценным бумагам балансовые активы (обязательства) и внебалансовые позиции по кредитным ПФИ только в случае, если между ними установлены отношения хеджирования и кредитной организацией производится бухгалтерский учет данных отношений хеджирования в соответствии с Положением Банка России от 28.12.2015 № 525-П «Отраслевой стандарт бухгалтерского учета хеджирования кредитными организациями» (далее — Положение № 525-П), или достаточно факта признания кредитной организацией сделки хеджирующей независимо от бухгалтерского учета соответствующих отношений хеджирования?</w:t>
      </w:r>
    </w:p>
    <w:p>
      <w:pPr>
        <w:pStyle w:val="BodyText"/>
      </w:pPr>
      <w:r>
        <w:t xml:space="preserve">Обновлено: 20.12.2019</w:t>
      </w:r>
    </w:p>
    <w:p>
      <w:pPr>
        <w:pStyle w:val="BodyText"/>
      </w:pPr>
      <w:r>
        <w:t xml:space="preserve">Взаимозачет балансовых активов и обязательств и внебалансовых требований и обязательств по долговым ценным бумагам по кредитным производным финансовым инструментам в целях расчета процентного риска при расчете чистой позиции по долговым ценным бумагам возможен при выполнении требований пункта 1.4 Положения № 511-П в случае наличия установленных отношений хеджирования, независимо от того, отражены ли они в бухгалтерском учете в соответствии с Положением № 525-П или нет. Факт заключения сделки в целях хеджирования должен подтверждаться внутренними документами кредитной организации в целях управления рисками.</w:t>
      </w:r>
    </w:p>
    <w:p>
      <w:pPr>
        <w:pStyle w:val="BodyText"/>
      </w:pPr>
      <w:r>
        <w:t xml:space="preserve">Аналогично кредитные производные финансовые инструменты не включаются в расчет рыночного риска в соответствии с пунктом 1.2 Положения № 511-П, если они хеджируют активы и (или) обязательства, не включаемые в расчет рыночного риска в соответствии с пунктом 1.1 Положения № 511-П, что должно быть отражено во внутренних документах кредитной организации в целях управления рисками.</w:t>
      </w:r>
    </w:p>
    <w:p>
      <w:pPr>
        <w:pStyle w:val="BodyText"/>
      </w:pPr>
      <w:r>
        <w:t xml:space="preserve">Согласно пункту 1.4 Положения № 511-П в целях определения однородных товаров используется коэффициент линейной корреляции между ценами рассматриваемых товаров. Просьба уточнить, какие цены необходимо использовать при определении величины коэффициента линейной корреляции.</w:t>
      </w:r>
    </w:p>
    <w:p>
      <w:pPr>
        <w:pStyle w:val="BodyText"/>
      </w:pPr>
      <w:r>
        <w:t xml:space="preserve">Обновлено: 20.12.2019</w:t>
      </w:r>
    </w:p>
    <w:p>
      <w:pPr>
        <w:pStyle w:val="BodyText"/>
      </w:pPr>
      <w:r>
        <w:t xml:space="preserve">В связи с тем, что согласно пункту 1.1 Положения № 511-П позиции, включаемые в расчет величины рыночного риска, включаются по справедливой стоимости, то при расчете коэффициента линейной корреляции целесообразно использовать те же цены, что и для оценки справедливой стоимости в соответствии с учетной политикой банка.</w:t>
      </w:r>
    </w:p>
    <w:p>
      <w:pPr>
        <w:pStyle w:val="BodyText"/>
      </w:pPr>
      <w:r>
        <w:t xml:space="preserve">Возможно ли сворачивание противоположных балансовой и внебалансовой позиций по ценным бумагам на стадии расчета чистой позиции?</w:t>
      </w:r>
    </w:p>
    <w:p>
      <w:pPr>
        <w:pStyle w:val="BodyText"/>
      </w:pPr>
      <w:r>
        <w:t xml:space="preserve">Обновлено: 20.12.2019</w:t>
      </w:r>
    </w:p>
    <w:p>
      <w:pPr>
        <w:pStyle w:val="BodyText"/>
      </w:pPr>
      <w:r>
        <w:t xml:space="preserve">Порядок взаимозачета балансовых активов и обязательств и внебалансовых требований и обязательств по ценным бумагами при расчете чистой позиции приведен в пункте 1.4 Положения № 511-П.</w:t>
      </w:r>
    </w:p>
    <w:p>
      <w:pPr>
        <w:pStyle w:val="BodyText"/>
      </w:pPr>
      <w:r>
        <w:t xml:space="preserve">По долговым ценным бумагам и по кредитным производным финансовым инструментам при расчете чистой позиции (в целях оценки процентного риска) возможно полное или частичное сворачивание в зависимости от типа кредитного производного финансового инструмента и особенностей установленных между ними отношений хеджирования при условии, что на указанный кредитный ПФИ распространяется расчетный и ликвидационный неттинг.</w:t>
      </w:r>
    </w:p>
    <w:p>
      <w:pPr>
        <w:pStyle w:val="BodyText"/>
      </w:pPr>
      <w:r>
        <w:t xml:space="preserve">По ценным бумагам и по форвардным договорам при расчете чистой позиции (в целях расчета процентного и фондового рисков) допускается полное сворачивание, в случае если форвардный договор не содержит встроенных производных финансовых инструментов, не отделяемых от основного договора, и на указанный ПФИ распространяется расчетный и ликвидационный неттинг.</w:t>
      </w:r>
    </w:p>
    <w:p>
      <w:pPr>
        <w:pStyle w:val="BodyText"/>
      </w:pPr>
      <w:r>
        <w:t xml:space="preserve">По ПФИ на долговые ценные бумаги, по которым сворачивание не допускается, компенсация чистых позиций по долговым ценным бумагам происходит только внутри одного временного интервала, к которому они относятся в целях расчета общего процентного риска (далее — ОПР). При этом рассчитывается открытая взвешенная позиция (в случае если короткая позиция по величине равняется длинной позиции, открытая взвешенная позиция равна нулю), а к закрытой взвешенной позиции применяется коэффициент риска 10% для покрытия т.н. базисного риска.</w:t>
      </w:r>
    </w:p>
    <w:p>
      <w:pPr>
        <w:pStyle w:val="BodyText"/>
      </w:pPr>
      <w:r>
        <w:t xml:space="preserve">По ПФИ на долевые ценные бумаги, по которым сворачивание позиций не допускается, в целях расчета общего фондового риска компенсация осуществляется только в рамках расчета абсолютного значения разности между суммой чистых длинных позиций и суммой чистых коротких позиций по ценным бумагам (без учета знака позиций).</w:t>
      </w:r>
    </w:p>
    <w:p>
      <w:pPr>
        <w:pStyle w:val="BodyText"/>
      </w:pPr>
      <w:r>
        <w:t xml:space="preserve">Пример 1 Торговые вложения в долговую ценную бумагу со сроком, оставшимся до погашения 1,5 года, и ставкой купона 8% составляют по справедливой стоимости 100 руб., при этом заключен форвардный контракт на продажу указанных бумаг по цене исполнения 90 руб., удовлетворяющий требованиям пункта 1.4 Положения № 511-П, с оставшимся сроком до исполнения 2 месяца. Ценная бумага относится к инструментам со средним риском с коэффициентом 8%.</w:t>
      </w:r>
    </w:p>
    <w:p>
      <w:pPr>
        <w:pStyle w:val="BodyText"/>
      </w:pPr>
      <w:r>
        <w:t xml:space="preserve">Вложения в долговую ценную бумагу формируют длинную позицию по ценной бумаге в величине 100 руб. (балансовая позиция), заключенный форвардный контракт формирует короткую позицию по долговой ценной бумаге в величине 100 руб. (внебалансовые обязательства по поставке ценных бумаг) и длинную позицию в размере 90 руб. (внебалансовые требования по поставке денежных средств). Поскольку форвардный контракт удовлетворяет требованиям пункта 1.4 Положения № 511-П, длинная балансовая позиция по долговой ценной бумаге и короткая внебалансовая позиция по той же долговой ценной бумаге взаимозачитываются. Таким образом, в расчет процентного риска включается одна позиция, подверженная общему процентному риску: 90 руб. (длинная); чистая позиция по долговой ценной бумаге составляет 0 руб. Принцип формирования позиций единый вне зависимости от того, является ли производный финансовый инструмент поставочным или расчетным.</w:t>
      </w:r>
    </w:p>
    <w:p>
      <w:pPr>
        <w:pStyle w:val="BodyText"/>
      </w:pPr>
      <w:r>
        <w:t xml:space="preserve">При отсутствии каких-либо иных позиций величина процентного риска составит:</w:t>
      </w:r>
    </w:p>
    <w:p>
      <w:pPr>
        <w:pStyle w:val="BodyText"/>
      </w:pPr>
      <w:r>
        <w:t xml:space="preserve">СПР = 0 * 8% = 0 руб. (чистая позиция по долговой ценной бумаге равна 0);</w:t>
      </w:r>
    </w:p>
    <w:p>
      <w:pPr>
        <w:pStyle w:val="BodyText"/>
      </w:pPr>
      <w:r>
        <w:t xml:space="preserve">ОПР = 90 * 0,2% (открытая взвешенная позиция в интервале от 1 до 3 месяцев) * 100% + 0 (взвешенная позиция в интервале от 1 года до 2 лет) = 0,18 руб.;</w:t>
      </w:r>
    </w:p>
    <w:p>
      <w:pPr>
        <w:pStyle w:val="BodyText"/>
      </w:pPr>
      <w:r>
        <w:t xml:space="preserve">ПР = 0 + 0,18 = 0,18 руб.;</w:t>
      </w:r>
    </w:p>
    <w:p>
      <w:pPr>
        <w:pStyle w:val="BodyText"/>
      </w:pPr>
      <w:r>
        <w:t xml:space="preserve">РР = 12,5 * 0,18 = 2,25 руб.;</w:t>
      </w:r>
    </w:p>
    <w:p>
      <w:pPr>
        <w:pStyle w:val="BodyText"/>
      </w:pPr>
      <w:r>
        <w:t xml:space="preserve">Требование к капиталу на покрытие риска = 2,25 * 8% = 0,18 руб.</w:t>
      </w:r>
    </w:p>
    <w:p>
      <w:pPr>
        <w:pStyle w:val="BodyText"/>
      </w:pPr>
      <w:r>
        <w:t xml:space="preserve">Пример 1.1. В случае несоответствия форварда требованиям пункта 1.4 Положения № 511-П в целях расчета процентного риска формируются три позиции: 100 руб. (длинная), 90 руб. (длинная), 100 руб. (короткая).</w:t>
      </w:r>
    </w:p>
    <w:p>
      <w:pPr>
        <w:pStyle w:val="BodyText"/>
      </w:pPr>
      <w:r>
        <w:t xml:space="preserve">При отсутствии каких-либо иных позиций величина процентного риска составит:</w:t>
      </w:r>
    </w:p>
    <w:p>
      <w:pPr>
        <w:pStyle w:val="BodyText"/>
      </w:pPr>
      <w:r>
        <w:t xml:space="preserve">СПР = 100 * 8% + 100 * 8% = 8 + 8 = 16 руб.;</w:t>
      </w:r>
    </w:p>
    <w:p>
      <w:pPr>
        <w:pStyle w:val="BodyText"/>
      </w:pPr>
      <w:r>
        <w:t xml:space="preserve">ОПР = 90 * 0,2% (открытая взвешенная позиция в интервале от 1 до 3 месяцев) * 100% + 0 (открытая взвешенная позиция в интервале от 1 года до 2 лет) + 100 * 1,25% (закрытая взвешенная позиция в интервале от 1 года до 2 лет) * 10% = 0,18 + 0,125 = 0,305 руб.;</w:t>
      </w:r>
    </w:p>
    <w:p>
      <w:pPr>
        <w:pStyle w:val="BodyText"/>
      </w:pPr>
      <w:r>
        <w:t xml:space="preserve">ПР = 16,305 руб.;</w:t>
      </w:r>
    </w:p>
    <w:p>
      <w:pPr>
        <w:pStyle w:val="BodyText"/>
      </w:pPr>
      <w:r>
        <w:t xml:space="preserve">РР = 12,5 * 16,305 = 203,8125 руб.;</w:t>
      </w:r>
    </w:p>
    <w:p>
      <w:pPr>
        <w:pStyle w:val="BodyText"/>
      </w:pPr>
      <w:r>
        <w:t xml:space="preserve">Требование к капиталу на покрытие риска = 203,8125 * 8% = 16,305 руб.</w:t>
      </w:r>
    </w:p>
    <w:p>
      <w:pPr>
        <w:pStyle w:val="BodyText"/>
      </w:pPr>
      <w:r>
        <w:t xml:space="preserve">Примечание. Здесь и далее результаты расчетов представлены без округления. При составлении отчетности в Банк России количество знаков после запятой определяется порядком заполнения соответствующей формы отчетности.</w:t>
      </w:r>
    </w:p>
    <w:p>
      <w:pPr>
        <w:pStyle w:val="BodyText"/>
      </w:pPr>
      <w:r>
        <w:t xml:space="preserve">Пример 2. Торговые вложения в долевую ценную бумагу составляют по справедливой стоимости 100 руб., при этом заключен форвардный контракт, удовлетворяющий требованиям пункта 1.4 Положения № 511-П, с оставшимся сроком до исполнения 2 месяца на продажу указанной ценной бумаги по цене исполнения 90 руб.</w:t>
      </w:r>
    </w:p>
    <w:p>
      <w:pPr>
        <w:pStyle w:val="BodyText"/>
      </w:pPr>
      <w:r>
        <w:t xml:space="preserve">В целях расчета фондового и процентного рисков формируется одна позиция: 90 руб. (длинная внебалансовая), чистая позиция по долевой ценной бумаге составляет 0 руб. в силу взаимозачета длинной балансовой позиции по долевой ценной бумаге и короткой внебалансовой позиции по указанной бумаге, обусловленной форвардным контрактом. Принцип формирования позиций единый вне зависимости от того, является ли производный финансовый инструмент поставочным или расчетным.</w:t>
      </w:r>
    </w:p>
    <w:p>
      <w:pPr>
        <w:pStyle w:val="BodyText"/>
      </w:pPr>
      <w:r>
        <w:t xml:space="preserve">При отсутствии каких-либо иных позиций величина рыночного риска составит:</w:t>
      </w:r>
    </w:p>
    <w:p>
      <w:pPr>
        <w:pStyle w:val="BodyText"/>
      </w:pPr>
      <w:r>
        <w:t xml:space="preserve">СФР = 0 * 8% = 0 руб.;</w:t>
      </w:r>
    </w:p>
    <w:p>
      <w:pPr>
        <w:pStyle w:val="BodyText"/>
      </w:pPr>
      <w:r>
        <w:t xml:space="preserve">ОФР = 0 * 8% = 0 руб.;</w:t>
      </w:r>
    </w:p>
    <w:p>
      <w:pPr>
        <w:pStyle w:val="BodyText"/>
      </w:pPr>
      <w:r>
        <w:t xml:space="preserve">ФР = 0 руб.;</w:t>
      </w:r>
    </w:p>
    <w:p>
      <w:pPr>
        <w:pStyle w:val="BodyText"/>
      </w:pPr>
      <w:r>
        <w:t xml:space="preserve">ОПР = 90 * 0,2% * 100% = 0,18 руб.;</w:t>
      </w:r>
    </w:p>
    <w:p>
      <w:pPr>
        <w:pStyle w:val="BodyText"/>
      </w:pPr>
      <w:r>
        <w:t xml:space="preserve">РР = 12,5 * 0,18 = 2,25 руб.;</w:t>
      </w:r>
    </w:p>
    <w:p>
      <w:pPr>
        <w:pStyle w:val="BodyText"/>
      </w:pPr>
      <w:r>
        <w:t xml:space="preserve">Требование к капиталу на покрытие риска = 2,25 * 8% = 0,18 руб.</w:t>
      </w:r>
    </w:p>
    <w:p>
      <w:pPr>
        <w:pStyle w:val="BodyText"/>
      </w:pPr>
      <w:r>
        <w:t xml:space="preserve">Пример 2.1. В случае несоответствия форварда требованиям пункта 1.4 Положения № 511-П в целях расчета фондового и процентного рисков формируются три позиции: 100 руб. (длинная балансовая), 90 руб. (длинная внебалансовая), 100 руб. (короткая внебалансовая).</w:t>
      </w:r>
    </w:p>
    <w:p>
      <w:pPr>
        <w:pStyle w:val="BodyText"/>
      </w:pPr>
      <w:r>
        <w:t xml:space="preserve">При отсутствии каких-либо иных позиций величина рыночного риска составит:</w:t>
      </w:r>
    </w:p>
    <w:p>
      <w:pPr>
        <w:pStyle w:val="BodyText"/>
      </w:pPr>
      <w:r>
        <w:t xml:space="preserve">СФР = (100 + 100) * 8% = 16 руб.;</w:t>
      </w:r>
    </w:p>
    <w:p>
      <w:pPr>
        <w:pStyle w:val="BodyText"/>
      </w:pPr>
      <w:r>
        <w:t xml:space="preserve">ОФР = (100 — 100) * 8% = 0 руб.;</w:t>
      </w:r>
    </w:p>
    <w:p>
      <w:pPr>
        <w:pStyle w:val="BodyText"/>
      </w:pPr>
      <w:r>
        <w:t xml:space="preserve">ФР = 16 руб.;</w:t>
      </w:r>
    </w:p>
    <w:p>
      <w:pPr>
        <w:pStyle w:val="BodyText"/>
      </w:pPr>
      <w:r>
        <w:t xml:space="preserve">ОПР = 90 * 0,2% * 100% = 0,18 руб.;</w:t>
      </w:r>
    </w:p>
    <w:p>
      <w:pPr>
        <w:pStyle w:val="BodyText"/>
      </w:pPr>
      <w:r>
        <w:t xml:space="preserve">РР = 12,5 * 16,18 = 202,25 руб.;</w:t>
      </w:r>
    </w:p>
    <w:p>
      <w:pPr>
        <w:pStyle w:val="BodyText"/>
      </w:pPr>
      <w:r>
        <w:t xml:space="preserve">Требование к капиталу на покрытие риска = 202,25 * 8% = 16,18 руб.</w:t>
      </w:r>
    </w:p>
    <w:p>
      <w:pPr>
        <w:pStyle w:val="BodyText"/>
      </w:pPr>
      <w:r>
        <w:t xml:space="preserve">Пример 3. Торговые вложения в долговую ценную бумагу со сроком, оставшимся до погашения, равным 1,5 года, номинальной стоимостью 95 руб., и ставкой купона 8% составляют по справедливой стоимости 100 руб., при этом заключен кредитно-дефолтный своп сроком на 1,5 года, хеджирующий вложения в указанную бумагу и предусматривающий физическую поставку продавцу кредитно-дефолтного свопа ценной бумаги в случае дефолта эмитента. Величина требований к продавцу кредитно-</w:t>
      </w:r>
    </w:p>
    <w:p>
      <w:pPr>
        <w:pStyle w:val="BodyText"/>
      </w:pPr>
      <w:r>
        <w:t xml:space="preserve">дефолтного свопа по рассматриваемому кредитному ПФИ в случае наступления кредитного события составляет 95 руб. Ценная бумага относится к инструментам со средним риском с коэффициентом 8%. Таким образом, вложения в долговую ценную бумагу формируют длинную позицию в ценной бумаге величиной 100 руб. (балансовая позиция), заключенный кредитно-дефолтный своп формирует короткую позицию по ценной бумаге в величине 100 руб. (внебалансовая позиция) и длинную позицию в величине 95 руб. (внебалансовая позиция). Принцип формирования позиций единый вне зависимости от того, является ли производный финансовый инструмент поставочным или расчетным.</w:t>
      </w:r>
    </w:p>
    <w:p>
      <w:pPr>
        <w:pStyle w:val="BodyText"/>
      </w:pPr>
      <w:r>
        <w:t xml:space="preserve">В целях расчета процентного риска формируются две позиции: 100 — 80 % * 100 = 20 руб. (чистая длинная позиция по долговой ценной бумаге с учетом взаимозачета в величине 80%), 95 руб. (длинная внебалансовая позиция).</w:t>
      </w:r>
    </w:p>
    <w:p>
      <w:pPr>
        <w:pStyle w:val="BodyText"/>
      </w:pPr>
      <w:r>
        <w:t xml:space="preserve">При отсутствии каких-либо иных позиций величина рыночного риска составит:</w:t>
      </w:r>
    </w:p>
    <w:p>
      <w:pPr>
        <w:pStyle w:val="BodyText"/>
      </w:pPr>
      <w:r>
        <w:t xml:space="preserve">СПР = 20 * 8 % = 1,6 руб.;</w:t>
      </w:r>
    </w:p>
    <w:p>
      <w:pPr>
        <w:pStyle w:val="BodyText"/>
      </w:pPr>
      <w:r>
        <w:t xml:space="preserve">ОПР = (20 + 95) * 1,25% * 100% (открытая взвешенная позиция в интервале от 1 года до 2 лет) = 1,4375 руб.;</w:t>
      </w:r>
    </w:p>
    <w:p>
      <w:pPr>
        <w:pStyle w:val="BodyText"/>
      </w:pPr>
      <w:r>
        <w:t xml:space="preserve">ПР = 1,6 + 1,4375 = 3,0375 руб.;</w:t>
      </w:r>
    </w:p>
    <w:p>
      <w:pPr>
        <w:pStyle w:val="BodyText"/>
      </w:pPr>
      <w:r>
        <w:t xml:space="preserve">РР = 12,5 * 3,0375 = 37,96875 руб.;</w:t>
      </w:r>
    </w:p>
    <w:p>
      <w:pPr>
        <w:pStyle w:val="BodyText"/>
      </w:pPr>
      <w:r>
        <w:t xml:space="preserve">Требование к капиталу на покрытие риска = 37,96875 * 8 % = 3,0375 руб.</w:t>
      </w:r>
    </w:p>
    <w:p>
      <w:pPr>
        <w:pStyle w:val="BodyText"/>
      </w:pPr>
      <w:r>
        <w:t xml:space="preserve">Вопрос 1.8. Каков порядок расчета ОПР по ценным бумагам с высоким риском и производным финансовым инструментам, базисным (базовым) активом которых являются ценные бумаги с высоким риском?</w:t>
      </w:r>
    </w:p>
    <w:p>
      <w:pPr>
        <w:pStyle w:val="BodyText"/>
      </w:pPr>
      <w:r>
        <w:t xml:space="preserve">Ответ. В целях расчета ОПР длинные и короткие позиции умножаются на коэффициент взвешивания, соответствующий временному интервалу, к которому они относятся. Полученные взвешенные чистые длинные и короткие позиции в соответствии с подпунктом 2.9.12 пункта 2.9 Положения № 511-П суммируются без учета знака позиций.</w:t>
      </w:r>
    </w:p>
    <w:p>
      <w:pPr>
        <w:pStyle w:val="BodyText"/>
      </w:pPr>
      <w:r>
        <w:t xml:space="preserve">В этом случае результат расчета в Примере 1 Вопроса 1.7 при условии наличия взаимозачета балансовой и внебалансовой позиции (соответствие форварда требованиям пункта 1.4 Положения № 511-П) составит:</w:t>
      </w:r>
    </w:p>
    <w:p>
      <w:pPr>
        <w:pStyle w:val="BodyText"/>
      </w:pPr>
      <w:r>
        <w:t xml:space="preserve">СПР = 0 * 12% = 0 руб.;</w:t>
      </w:r>
    </w:p>
    <w:p>
      <w:pPr>
        <w:pStyle w:val="BodyText"/>
      </w:pPr>
      <w:r>
        <w:t xml:space="preserve">ОПР = 90 * 0,2% * 100% + 0 * 1,25% * 100% = 0,18 руб.;</w:t>
      </w:r>
    </w:p>
    <w:p>
      <w:pPr>
        <w:pStyle w:val="BodyText"/>
      </w:pPr>
      <w:r>
        <w:t xml:space="preserve">ПР = 0,18 руб.</w:t>
      </w:r>
    </w:p>
    <w:p>
      <w:pPr>
        <w:pStyle w:val="BodyText"/>
      </w:pPr>
      <w:r>
        <w:t xml:space="preserve">В случае несоответствия форварда требованиям пункта 1.4 Положения № 511-П результат расчета составит:</w:t>
      </w:r>
    </w:p>
    <w:p>
      <w:pPr>
        <w:pStyle w:val="BodyText"/>
      </w:pPr>
      <w:r>
        <w:t xml:space="preserve">СПР = 100 * 12% + 100 * 12% = 24 руб.;</w:t>
      </w:r>
    </w:p>
    <w:p>
      <w:pPr>
        <w:pStyle w:val="BodyText"/>
      </w:pPr>
      <w:r>
        <w:t xml:space="preserve">ОПР = 90 * 0,2% * 100% + 100 * 1,25% * 100% + 100 * 1,25% * 100% = 2,68 руб.;</w:t>
      </w:r>
    </w:p>
    <w:p>
      <w:pPr>
        <w:pStyle w:val="BodyText"/>
      </w:pPr>
      <w:r>
        <w:t xml:space="preserve">ПР = 26,68 руб.</w:t>
      </w:r>
    </w:p>
    <w:p>
      <w:pPr>
        <w:pStyle w:val="BodyText"/>
      </w:pPr>
      <w:r>
        <w:t xml:space="preserve">Не приводит ли включение производных финансовых инструментов, базисным активом которых являются иностранная валюта, долевые инструменты и товары, в расчет общего процентного риска к двойному учету рисков?</w:t>
      </w:r>
    </w:p>
    <w:p>
      <w:pPr>
        <w:pStyle w:val="BodyText"/>
      </w:pPr>
      <w:r>
        <w:t xml:space="preserve">Обновлено: 20.12.2019</w:t>
      </w:r>
    </w:p>
    <w:p>
      <w:pPr>
        <w:pStyle w:val="BodyText"/>
      </w:pPr>
      <w:r>
        <w:t xml:space="preserve">Нет. В соответствии с принципами ценообразования ПФИ справедливая стоимость ПФИ вне зависимости от вида базисного актива является чувствительной к изменению рыночных процентных ставок. В соответствии со стандартизированным подходом Базельского комитета по банковскому надзору к оценке рыночного риска требования к капиталу на покрытие процентного, фондового, валютного и товарного рисков рассчитываются отдельно и затем суммируются.</w:t>
      </w:r>
    </w:p>
    <w:p>
      <w:pPr>
        <w:pStyle w:val="BodyText"/>
      </w:pPr>
      <w:r>
        <w:t xml:space="preserve">Каков порядок применения коэффициента фондирования, в частности, каким образом оценить фондированность вложений в ценные бумаги, номинированные в иностранной валюте?</w:t>
      </w:r>
    </w:p>
    <w:p>
      <w:pPr>
        <w:pStyle w:val="BodyText"/>
      </w:pPr>
      <w:r>
        <w:t xml:space="preserve">Обновлено: 20.12.2019</w:t>
      </w:r>
    </w:p>
    <w:p>
      <w:pPr>
        <w:pStyle w:val="BodyText"/>
      </w:pPr>
      <w:r>
        <w:t xml:space="preserve">При классификации по уровню риска ценных бумаг, номинированных в валюте страны эмитента, в целях оценки специального процентного риска (далее — СПР) коэффициент фондирования рассчитывается как соотношение пассивов и активов, включенных в расчет размеров (лимитов) открытых валютных позиций по соответствующей валюте согласно Инструкции № 124-И, аналогично порядку расчета коэффициента рублевого фондирования, установленному подпунктом 2.3.8 пункта 2.3 Инструкции № 139-И.</w:t>
      </w:r>
    </w:p>
    <w:p>
      <w:pPr>
        <w:pStyle w:val="BodyText"/>
      </w:pPr>
      <w:r>
        <w:t xml:space="preserve">В случае если на дату расчета рыночных рисков коэффициент фондирования меньше 1, вложения в ценные бумаги относятся к фондированным в валюте страны эмитента пропорционально коэффициенту фондирования. Оставшаяся часть вложений относится к ценным бумагам, фондированным в валюте, отличной от валюты страны эмитента, с применением более высокого коэффициента риска.</w:t>
      </w:r>
    </w:p>
    <w:p>
      <w:pPr>
        <w:pStyle w:val="BodyText"/>
      </w:pPr>
      <w:r>
        <w:t xml:space="preserve">По позициям по ценным бумагам, возникшим вследствие заключенных ПФИ, указанных в ответе на вопрос 1.4 выше, коэффициент фондирования не рассчитывается. К указанным позициям применяется тот же коэффициент риска, что и к вложениям в ценные бумаги, номинированные и (или) фондированные в валюте, отличной от валюты страны эмитента.</w:t>
      </w:r>
    </w:p>
    <w:p>
      <w:pPr>
        <w:pStyle w:val="BodyText"/>
      </w:pPr>
      <w:r>
        <w:t xml:space="preserve">Включаются ли в расчет рыночных рисков сделки, по которым расчеты и поставка осуществляются не ранее следующего дня после дня заключения сделки, относящиеся к сделкам спот?</w:t>
      </w:r>
    </w:p>
    <w:p>
      <w:pPr>
        <w:pStyle w:val="BodyText"/>
      </w:pPr>
      <w:r>
        <w:t xml:space="preserve">Обновлено: 20.12.2019</w:t>
      </w:r>
    </w:p>
    <w:p>
      <w:pPr>
        <w:pStyle w:val="BodyText"/>
      </w:pPr>
      <w:r>
        <w:t xml:space="preserve">В настоящее время указанные в вопросе сделки спот в расчет процентного и фондового рисков не включаются.</w:t>
      </w:r>
    </w:p>
    <w:p>
      <w:pPr>
        <w:pStyle w:val="BodyText"/>
      </w:pPr>
      <w:r>
        <w:t xml:space="preserve">В расчет процентного и фондового рисков включаются договоры (сделки), на которые распространяется Положение Банка России от 04.07.2011 № 372-П «О порядке бухгалтерского учета производных финансовых инструментов» (далее — производные финансовые инструменты (ПФИ), при этом в пункте 1.1 Положения Банка России содержится уточнение по видам финансовых инструментов, которые в целях расчета рыночного риска должны рассматриваться как кредитные производные финансовые инструменты. Например, сделка на условиях Т+2 включается в расчет процентного и фондового рисков в случае, когда сделка вне зависимости от срока со дня заключения до ее исполнения признается ПФИ в соответствии с Федеральным законом от 22.04.1996 № 39-ФЗ «О рынке ценных бумаг» и Указанием Банка России от 16.02.2015 № 3565-У «О видах производных финансовых инструментов» или в соответствии с правом иностранного государства, нормами международного договора или обычаями делового оборота, в случае если правом иностранного государства или нормами международного договора предусмотрена их судебная защита.</w:t>
      </w:r>
    </w:p>
    <w:p>
      <w:pPr>
        <w:pStyle w:val="BodyText"/>
      </w:pPr>
      <w:r>
        <w:t xml:space="preserve">При этом в рамках заключенных договоров ПФИ первоначальный обмен номиналами (базисными активами) по сделкам своп в расчет процентного и фондового рисков не включается.</w:t>
      </w:r>
    </w:p>
    <w:p>
      <w:pPr>
        <w:pStyle w:val="BodyText"/>
      </w:pPr>
      <w:r>
        <w:t xml:space="preserve">Сделки спот с иностранной валютой и золотом включаются в расчет величины валютного риска в соответствии с пунктом 1.6 Инструкции Банка России от 15.07.2005 № 124-И «Об установлении размеров (лимитов) открытых валютных позиций, методике их расчета и особенностях осуществления надзора за их соблюдением кредитными организациями» (далее — Инструкция № 124-И). Сделки спот с товарами (драгоценными металлами, за исключением золота) включаются в расчет величины товарного риска в соответствии с главой 4 Положения № 511-П.</w:t>
      </w:r>
    </w:p>
    <w:p>
      <w:pPr>
        <w:pStyle w:val="BodyText"/>
      </w:pPr>
      <w:r>
        <w:t xml:space="preserve">Возможно ли исключение из расчета величины рыночного риска ценных бумаг, в случае если на рынке сложилась устойчивая ситуация, при которой банк не может реализовать данные ценные бумаги?</w:t>
      </w:r>
    </w:p>
    <w:p>
      <w:pPr>
        <w:pStyle w:val="BodyText"/>
      </w:pPr>
      <w:r>
        <w:t xml:space="preserve">Обновлено: 20.12.2019</w:t>
      </w:r>
    </w:p>
    <w:p>
      <w:pPr>
        <w:pStyle w:val="BodyText"/>
      </w:pPr>
      <w:r>
        <w:t xml:space="preserve">В случае устойчивой ситуации невозможности реализации финансовых активов на рынке (при отсутствии активного рынка) и, как следствие, изменения политики кредитной организацией относительно формирования торгового портфеля (отраженной во внутренних документах кредитной организации), соответствующие активы исключаются из расчета величины рыночного риска и включаются в расчет величины кредитного риска в соответствии с Инструкцией № 139-И.</w:t>
      </w:r>
    </w:p>
    <w:p>
      <w:pPr>
        <w:pStyle w:val="BodyText"/>
      </w:pPr>
      <w:r>
        <w:t xml:space="preserve">Если у банка есть отраженное во внутренних документах намерение о реализации в краткосрочной перспективе ценных бумаг, классифицированных как оцениваемые по справедливой стоимости через прибыль или убыток, а также имеющихся в наличии для продажи, но ценные бумаги не были реализованы в заданный срок, то каков порядок включения в расчет рыночного риска указанных ценных бумаг?</w:t>
      </w:r>
    </w:p>
    <w:p>
      <w:pPr>
        <w:pStyle w:val="BodyText"/>
      </w:pPr>
      <w:r>
        <w:t xml:space="preserve">Обновлено: 20.12.2019</w:t>
      </w:r>
    </w:p>
    <w:p>
      <w:pPr>
        <w:pStyle w:val="BodyText"/>
      </w:pPr>
      <w:r>
        <w:t xml:space="preserve">В случае если кредитная организация отразила намерение о реализации ценных бумаг в краткосрочной перспективе, но не реализовала их в установленные сроки, данные ценные бумаги продолжают включаться в расчет рыночного риска. Определение нового срока реализации ценных бумаг возможно только в случае изменения стратегии кредитной организации относительно ценных бумаг, находящихся в наличии для продажи. Если новый срок превышает длительность краткосрочной перспективы, определенной во внутренних документах кредитной организации, то данные ценные бумаги включаются в расчет кредитного риска в соответствии с Инструкцией Банка России от 03.12.2012 № 139-И «Об обязательных нормативах банков» (далее — Инструкция № 139-И). Если в течение года имеются неоднократные случаи отсутствия торговых операций с приобретенными ценными бумагами в силу невозможности их реализации на рынке (отсутствия активного рынка), это может свидетельствовать о необходимости принятия достоверной политики кредитной организации по формированию и управлению торговым портфелем ценных бумаг.</w:t>
      </w:r>
    </w:p>
    <w:p>
      <w:pPr>
        <w:pStyle w:val="BodyText"/>
      </w:pPr>
      <w:r>
        <w:t xml:space="preserve">Каким образом определяется торговый портфель ценных бумаг в соответствии с абзацем 2 пункта 1.1 Положения Банка России от 03.12.2015 № 511-П «О порядке расчета кредитными организациями величины рыночного риска» (далее — Положение № 511-П): что понимается под краткосрочной перспективой и когда необходимо определять намерение о продаже (на момент приобретения ценной бумаги или в любой момент нахождения ценной бумаги в портфеле банка)?</w:t>
      </w:r>
    </w:p>
    <w:p>
      <w:pPr>
        <w:pStyle w:val="BodyText"/>
      </w:pPr>
      <w:r>
        <w:t xml:space="preserve">Обновлено: 20.12.2019</w:t>
      </w:r>
    </w:p>
    <w:p>
      <w:pPr>
        <w:pStyle w:val="BodyText"/>
      </w:pPr>
      <w:r>
        <w:t xml:space="preserve">Положение № 511-П распространяется на ценные бумаги, имеющие справедливую стоимость и классифицированные в соответствии с приложением 10 к Положению Банка России от 16.07.2012 № 385-П «О правилах ведения бухгалтерского учета в кредитных организациях, расположенных на территории Российской Федерации» (далее — Положение № 385-П) как:</w:t>
      </w:r>
    </w:p>
    <w:p>
      <w:pPr>
        <w:pStyle w:val="BodyText"/>
      </w:pPr>
      <w:r>
        <w:t xml:space="preserve">ценные бумаги, оцениваемые по справедливой стоимости через прибыль или убыток и приобретенные с целью продажи в краткосрочной перспективе, определяемой в соответствии с внутренними документами кредитной организации;</w:t>
      </w:r>
    </w:p>
    <w:p>
      <w:pPr>
        <w:pStyle w:val="BodyText"/>
      </w:pPr>
      <w:r>
        <w:t xml:space="preserve">ценные бумаги, имеющиеся в наличии для продажи, при наличии намерения о реализации в краткосрочной перспективе, отраженного во внутренних документах кредитной организации.</w:t>
      </w:r>
    </w:p>
    <w:p>
      <w:pPr>
        <w:pStyle w:val="BodyText"/>
      </w:pPr>
      <w:r>
        <w:t xml:space="preserve">В соответствии с пунктом 2.2 главы 2 приложения 10 к Положению № 385-П ценные бумаги, классифицированные при первоначальном признании как «оцениваемые по справедливой стоимости через прибыль или убыток», включают в себя, в том числе, ценные бумаги, приобретенные с целью продажи в краткосрочной перспективе (предназначенные для торговли). В отношении указанных ценных бумаг в момент первоначального признания кредитная организация должна иметь намерение о реализации в краткосрочной перспективе, при этом понятие краткосрочной перспективы устанавливается в учетной политике кредитной организации.</w:t>
      </w:r>
    </w:p>
    <w:p>
      <w:pPr>
        <w:pStyle w:val="BodyText"/>
      </w:pPr>
      <w:r>
        <w:t xml:space="preserve">Ценные бумаги согласно Положению № 385-П классифицируются как «имеющиеся в наличии для продажи» в случае, когда на момент приобретения они не могут быть отнесены к категории «оцениваемые по справедливой стоимости через прибыль или убыток» или «удерживаемые до погашения». В отношении указанных ценных бумаг решение о реализации принимается впоследствии уполномоченным органом, которое в регулятивных целях должно быть задокументировано. Период времени, соответствующий понятию «краткосрочной перспективы», должен отражать политику кредитной организации по управлению торговым портфелем (портфелями) ценных бумаг. При этом согласно Международному стандарту финансовой отчетности (IAS) 1 «Представление финансовой отчетности» при классификации активов и обязательств на краткосрочные и долгосрочные одним из критериев служит период в 12 месяцев после окончания отчетного периода. Банк должен обеспечить последовательное применение избранного подхода.</w:t>
      </w:r>
    </w:p>
    <w:p>
      <w:pPr>
        <w:pStyle w:val="BodyText"/>
      </w:pPr>
      <w:r>
        <w:t xml:space="preserve">Определение величины дополнительного оценочного снижения справедливой стоимости</w:t>
      </w:r>
    </w:p>
    <w:p>
      <w:pPr>
        <w:pStyle w:val="BodyText"/>
      </w:pPr>
      <w:r>
        <w:t xml:space="preserve">В случае если банк учитывает все факторы, указанные в пункте 1.8 Положения № 511-П, при определении справедливой стоимости финансовых инструментов, необходимо ли производить корректировку стоимости финансовых инструментов на дополнительное оценочное снижение их справедливой стоимости, обусловленное низкой активностью и низкой ликвидностью рынка?</w:t>
      </w:r>
    </w:p>
    <w:p>
      <w:pPr>
        <w:pStyle w:val="BodyText"/>
      </w:pPr>
      <w:r>
        <w:t xml:space="preserve">Обновлено: 20.12.2019</w:t>
      </w:r>
    </w:p>
    <w:p>
      <w:pPr>
        <w:pStyle w:val="BodyText"/>
      </w:pPr>
      <w:r>
        <w:t xml:space="preserve">В случае если кредитной организацией при определении справедливой стоимости финансовых инструментов в целях бухгалтерского учета осуществляется детальный анализ степени активности и ликвидности рынка (не ограничиваясь только делением рынка на активный и неактивный), рассматриваются все факторы активности и ликвидности рынка указанные в пункте 1.8 Положения № 511-П (в том числе в отношении финансовых инструментов, оцениваемых по рыночной цене), а также покрывается модельный риск для инструментов, справедливая стоимость которых определяется на основе методов оценки, в том числе риск использования ненаблюдаемых данных (потенциально некорректных параметров для калибровки модели) в применяемой модели оценки, то дополнительная корректировка справедливой стоимости для целей расчета величины рыночного риска не требуется.</w:t>
      </w:r>
    </w:p>
    <w:p>
      <w:pPr>
        <w:pStyle w:val="BodyText"/>
      </w:pPr>
      <w:r>
        <w:t xml:space="preserve">Просьба уточнить порядок определения величины дополнительного оценочного снижения справедливой стоимости активов в соответствии с пунктом 1.8 Положения № 511-П и ее включения в расчет величины рыночного риска и капитала кредитной организации, определяемого в соответствии с Положением Банка России от 28.12.2012 № 395-П «О методике определения величины собственных средств (капитала) кредитных организаций („Базель III“)» (далее — Положение № 395-П).</w:t>
      </w:r>
    </w:p>
    <w:p>
      <w:pPr>
        <w:pStyle w:val="BodyText"/>
      </w:pPr>
      <w:r>
        <w:t xml:space="preserve">Обновлено: 20.12.2019</w:t>
      </w:r>
    </w:p>
    <w:p>
      <w:pPr>
        <w:pStyle w:val="BodyText"/>
      </w:pPr>
      <w:r>
        <w:t xml:space="preserve">Корректировка справедливой стоимости распространяется только на финансовые инструменты (активы), включаемые в расчет величины рыночного риска и обращающиеся на рынке, характеризующемся низкой ликвидностью и низкой активностью. В отношении ПФИ следует учесть, что при включении соответствующих позиций в базисных (базовых) активах в расчет величины рыночного риска к ним также применяется регуляторная корректировка справедливой стоимости базисных (базовых) активов, в случае если данные активы обращаются на рынке, характеризующемся низкой ликвидностью и активностью. В случае если базисный (базовый) актив ПФИ обращается на ликвидном рынке, но сам ПФИ обращается на рынке, характеризующемся низкой ликвидностью и активностью, то банком производится только корректировка на дополнительное оценочное снижение справедливой стоимости самого производного финансового инструмента в расчете величины собственных средств (капитала) банка в соответствии с Положением № 395-П без корректировки справедливой стоимости базисного (базового) актива в целях расчета величины рыночного риска.</w:t>
      </w:r>
    </w:p>
    <w:p>
      <w:pPr>
        <w:pStyle w:val="BodyText"/>
      </w:pPr>
      <w:r>
        <w:t xml:space="preserve">Положение № 511-П не устанавливает порядок определения величины оценочного снижения справедливой стоимости активов, а также ограничений на его величину (в то же время величина оценочного снижения справедливой стоимости актива не может превосходить его справедливую стоимость). Таким образом, кредитная организация самостоятельно разрабатывает порядок определения указанной корректировки, количественные и качественные критерии активности и ликвидности рынка, а также перечень используемой для определения информации с учетом требований пункта 1.8 Положения № 511-П.</w:t>
      </w:r>
    </w:p>
    <w:p>
      <w:pPr>
        <w:pStyle w:val="BodyText"/>
      </w:pPr>
      <w:r>
        <w:t xml:space="preserve">С целью обеспечения согласованности между величиной изменения справедливой стоимости включаемых в расчет величины рыночного риска финансовых инструментов (активов), обращающихся на рынке, характеризующемся низкой ликвидностью и низкой активностью, и величиной собственных средств (капитала) кредитной организации дополнительное оценочное снижение справедливой стоимости указанных активов корректирует величину собственных средств (капитала) кредитной организации в следующем порядке:</w:t>
      </w:r>
    </w:p>
    <w:p>
      <w:pPr>
        <w:pStyle w:val="BodyText"/>
      </w:pPr>
      <w:r>
        <w:t xml:space="preserve">в полном объеме, если на дату расчета рыночного риска и величины собственных средств (капитала) кредитной организации результатом переоценки соответствующего финансового инструмента (актива), включаемым в расчет агрегированных показателей прибыли (убытка), относящимся к переоценке активов (финансовых инструментов) (далее — результат переоценки финансового инструмента (актива), при расчете собственных средств (капитала) кредитной организации в соответствии с порядком, установленным Положением № 395-П, является расход;</w:t>
      </w:r>
    </w:p>
    <w:p>
      <w:pPr>
        <w:pStyle w:val="BodyText"/>
      </w:pPr>
      <w:r>
        <w:t xml:space="preserve">в части, превышающей (по модулю) величину результата переоценки соответствующего финансового инструмента (актива), не включаемого в состав источников капитала в соответствии с пунктом 8.1 Положения № 395-П, в случае если указанным результатом переоценки соответствующего финансового инструмента (актива), является доход.</w:t>
      </w:r>
    </w:p>
    <w:p>
      <w:pPr>
        <w:pStyle w:val="BodyText"/>
      </w:pPr>
      <w:r>
        <w:t xml:space="preserve">Пример 1. Стоимость приобретения ценной бумаги, в январе 2016 года составляет 1000 единиц, по состоянию на дату расчета рыночного риска (1 февраля 2016 года) справедливая стоимость ценной бумаги, оцениваемой с использованием метода, отличного от метода «средневзвешенной цены», составляет 1100 единиц, величина дополнительного оценочного снижения справедливой стоимости составляет 35 единиц. Таким образом, ценная бумага должна включаться в расчет рыночного риска в величине 1100 — 35 = 1065 единиц.</w:t>
      </w:r>
    </w:p>
    <w:p>
      <w:pPr>
        <w:pStyle w:val="BodyText"/>
      </w:pPr>
      <w:r>
        <w:t xml:space="preserve">Положительная переоценка ценной бумаги на указанную дату включается в расчет собственных средств (капитала) в величине 60%, т.е. в величине 60 единиц, 40 единиц от положительной переоценки не учитываются в капитале в соответствии с пунктом 8.1</w:t>
      </w:r>
    </w:p>
    <w:p>
      <w:pPr>
        <w:pStyle w:val="BodyText"/>
      </w:pPr>
      <w:r>
        <w:t xml:space="preserve">Положения Банка России № 395-П. Поскольку при расчете собственных средств (капитала) дополнительное оценочное снижение справедливой стоимости ценной бумаги в величине 35 единиц не превышает не включаемую в расчет капитала величину дохода от положительной переоценки (40 единиц), дополнительная корректировка капитала не производится.</w:t>
      </w:r>
    </w:p>
    <w:p>
      <w:pPr>
        <w:pStyle w:val="BodyText"/>
      </w:pPr>
      <w:r>
        <w:t xml:space="preserve">Пример 2. Стоимость приобретения ценной бумаги в январе 2016 года составляет 1000 единиц, по состоянию на дату расчета рыночного риска (1 февраля 2016 года) — справедливая стоимость ценной бумаги, оцениваемой с использованием метода, отличного от метода «средневзвешенной цены», составляет 1100 единиц, величина дополнительного оценочного снижения справедливой стоимости составляет 55 единиц. Таким образом, ценная бумага должна включаться в расчет рыночного риска в величине 1100 — 55 = 1045 единиц.</w:t>
      </w:r>
    </w:p>
    <w:p>
      <w:pPr>
        <w:pStyle w:val="BodyText"/>
      </w:pPr>
      <w:r>
        <w:t xml:space="preserve">Поскольку дополнительное оценочное снижение справедливой стоимости в величине 55 единиц превышает не включаемую в расчет капитала величину положительной переоценки (40 единиц), то дополнительная корректировка капитала производится в величине превышения дополнительного оценочного снижения справедливой стоимости над уже исключенной из расчета капитала величиной положительной переоценки, т.е. в величине 55 — 40 = 15 единиц.</w:t>
      </w:r>
    </w:p>
    <w:p>
      <w:pPr>
        <w:pStyle w:val="BodyText"/>
      </w:pPr>
      <w:r>
        <w:t xml:space="preserve">Пример 3. Стоимость приобретения ценной бумаги в январе 2016 года составляет 1000 единиц, по состоянию на дату расчета рыночного риска (1 февраля 2016 года) справедливая стоимость ценной бумаги, оцениваемой с использованием метода, отличного от метода «средневзвешенной цены», составляет 900 единиц, величина дополнительного оценочного снижения справедливой стоимости составляет 35 единиц. Ценная бумага должна включаться в расчет рыночного риска в величине 900 — 35 = 865 единиц. В силу того, что результатом отрицательной переоценки ценной бумаги, включаемым при расчете собственных средств (капитала) в состав агрегированного показателя прибыли/убытка, является расход, капитал корректируется на полную сумму дополнительного оценочного снижения справедливой стоимости, т.е. на 35 единиц.</w:t>
      </w:r>
    </w:p>
    <w:p>
      <w:pPr>
        <w:pStyle w:val="BodyText"/>
      </w:pPr>
      <w:r>
        <w:t xml:space="preserve">Просьба уточнить порядок определения величины дополнительного оценочного снижения справедливой стоимости активов в соответствии с пунктом 1.8 Положения № 511-П и ее включения в расчет величины рыночного риска и капитала кредитной организации, определяемого в соответствии с Положением Банка России от 28.12.2012 № 395-П «О методике определения величины собственных средств (капитала) кредитных организаций („Базель III“)» (далее — Положение № 395-П).</w:t>
      </w:r>
    </w:p>
    <w:p>
      <w:pPr>
        <w:pStyle w:val="BodyText"/>
      </w:pPr>
      <w:r>
        <w:t xml:space="preserve">Обновлено: 20.12.2019</w:t>
      </w:r>
    </w:p>
    <w:p>
      <w:pPr>
        <w:pStyle w:val="BodyText"/>
      </w:pPr>
      <w:r>
        <w:t xml:space="preserve">Корректировка справедливой стоимости распространяется только на финансовые инструменты (активы), включаемые в расчет величины рыночного риска и обращающиеся на рынке, характеризующемся низкой ликвидностью и низкой активностью. В отношении ПФИ следует учесть, что при включении соответствующих позиций в базисных (базовых) активах в расчет величины рыночного риска к ним также применяется регуляторная корректировка справедливой стоимости базисных (базовых) активов, в случае если данные активы обращаются на рынке, характеризующемся низкой ликвидностью и активностью. В случае если базисный (базовый) актив ПФИ обращается на ликвидном рынке, но сам ПФИ обращается на рынке, характеризующемся низкой ликвидностью и активностью, то банком производится только корректировка на дополнительное оценочное снижение справедливой стоимости самого производного финансового инструмента в расчете величины собственных средств (капитала) банка в соответствии с Положением № 395-П без корректировки справедливой стоимости базисного (базового) актива в целях расчета величины рыночного риска.</w:t>
      </w:r>
    </w:p>
    <w:p>
      <w:pPr>
        <w:pStyle w:val="BodyText"/>
      </w:pPr>
      <w:r>
        <w:t xml:space="preserve">Положение № 511-П не устанавливает порядок определения величины оценочного снижения справедливой стоимости активов, а также ограничений на его величину (в то же время величина оценочного снижения справедливой стоимости актива не может превосходить его справедливую стоимость). Таким образом, кредитная организация самостоятельно разрабатывает порядок определения указанной корректировки, количественные и качественные критерии активности и ликвидности рынка, а также перечень используемой для определения информации с учетом требований пункта 1.8 Положения № 511-П.</w:t>
      </w:r>
    </w:p>
    <w:p>
      <w:pPr>
        <w:pStyle w:val="BodyText"/>
      </w:pPr>
      <w:r>
        <w:t xml:space="preserve">С целью обеспечения согласованности между величиной изменения справедливой стоимости включаемых в расчет величины рыночного риска финансовых инструментов (активов), обращающихся на рынке, характеризующемся низкой ликвидностью и низкой активностью, и величиной собственных средств (капитала) кредитной организации дополнительное оценочное снижение справедливой стоимости указанных активов корректирует величину собственных средств (капитала) кредитной организации в следующем порядке:</w:t>
      </w:r>
    </w:p>
    <w:p>
      <w:pPr>
        <w:pStyle w:val="BodyText"/>
      </w:pPr>
      <w:r>
        <w:t xml:space="preserve">в полном объеме, если на дату расчета рыночного риска и величины собственных средств (капитала) кредитной организации результатом переоценки соответствующего финансового инструмента (актива), включаемым в расчет агрегированных показателей прибыли (убытка), относящимся к переоценке активов (финансовых инструментов) (далее — результат переоценки финансового инструмента (актива), при расчете собственных средств (капитала) кредитной организации в соответствии с порядком, установленным Положением № 395-П, является расход;</w:t>
      </w:r>
    </w:p>
    <w:p>
      <w:pPr>
        <w:pStyle w:val="BodyText"/>
      </w:pPr>
      <w:r>
        <w:t xml:space="preserve">в части, превышающей (по модулю) величину результата переоценки соответствующего финансового инструмента (актива), не включаемого в состав источников капитала в соответствии с пунктом 8.1 Положения № 395-П, в случае если указанным результатом переоценки соответствующего финансового инструмента (актива), является доход.</w:t>
      </w:r>
    </w:p>
    <w:p>
      <w:pPr>
        <w:pStyle w:val="BodyText"/>
      </w:pPr>
      <w:r>
        <w:t xml:space="preserve">Влияет ли дополнительное оценочное снижение справедливой стоимости активов, указанное в п. 1.8 Положения № 511-П, на отражение данных активов на счетах бухгалтерского учета?</w:t>
      </w:r>
    </w:p>
    <w:p>
      <w:pPr>
        <w:pStyle w:val="BodyText"/>
      </w:pPr>
      <w:r>
        <w:t xml:space="preserve">Обновлено: 20.12.2019</w:t>
      </w:r>
    </w:p>
    <w:p>
      <w:pPr>
        <w:pStyle w:val="BodyText"/>
      </w:pPr>
      <w:r>
        <w:t xml:space="preserve">Дополнительное оценочное снижение справедливой стоимости финансовых инструментов (активов), указанное в пункте 1.8 Положения № 511-П, не отражается на счетах бухгалтерского учета и является пруденциальной корректировкой стоимости финансовых инструментов (активов) и величины собственных средств (капитала) в целях расчета нормативов.</w:t>
      </w:r>
    </w:p>
    <w:p>
      <w:pPr>
        <w:pStyle w:val="BodyText"/>
      </w:pPr>
      <w:r>
        <w:t xml:space="preserve">Расчет процентного риска</w:t>
      </w:r>
    </w:p>
    <w:p>
      <w:pPr>
        <w:pStyle w:val="BodyText"/>
      </w:pPr>
      <w:r>
        <w:t xml:space="preserve">Какая процентная ставка по облигации используется для целей их отнесения к финансовым инструментам с процентной ставкой менее 3% или к прочим финансовым инструментам?</w:t>
      </w:r>
    </w:p>
    <w:p>
      <w:pPr>
        <w:pStyle w:val="BodyText"/>
      </w:pPr>
      <w:r>
        <w:t xml:space="preserve">Обновлено: 20.12.2019</w:t>
      </w:r>
    </w:p>
    <w:p>
      <w:pPr>
        <w:pStyle w:val="BodyText"/>
      </w:pPr>
      <w:r>
        <w:t xml:space="preserve">В целях Положения Банка России № 511-П под процентной ставкой долговой ценной бумаги понимается ставка купона, установленная эмитентом и действующая на дату расчета величины рыночного риска. При этом ценные бумаги с плавающей (пересматриваемой) ставкой подлежат включению в расчет общего процентного риска на основе ставки купона, установленной на дату расчета рыночного риска.</w:t>
      </w:r>
    </w:p>
    <w:p>
      <w:pPr>
        <w:pStyle w:val="BodyText"/>
      </w:pPr>
      <w:r>
        <w:t xml:space="preserve">Пример. Купон по ОФЗ 52001 с привязкой к инфляции составляет 2,5%. Указанная ценная бумага учитывается для целей расчета общего процентного риска как финансовый инструмент с процентной ставкой менее 3% (графа 3 Таблицы 1 «Распределение коэффициентов взвешивания по временным интервалам» приложения к Положению № 511-П) несмотря на индексацию номинала, приводящей к тому, что со временем размер купонных платежей по данной ценной бумаге превысит 3% от номинала.</w:t>
      </w:r>
    </w:p>
    <w:p>
      <w:pPr>
        <w:pStyle w:val="BodyText"/>
      </w:pPr>
      <w:r>
        <w:t xml:space="preserve">Применяется ли критерий процентной ставки менее 3% к процентным свопам и другим ПФИ на процентную ставку, по которым в целях расчета ОПР формируются позиции по условной безрисковой облигации?</w:t>
      </w:r>
    </w:p>
    <w:p>
      <w:pPr>
        <w:pStyle w:val="BodyText"/>
      </w:pPr>
      <w:r>
        <w:t xml:space="preserve">Обновлено: 20.12.2019</w:t>
      </w:r>
    </w:p>
    <w:p>
      <w:pPr>
        <w:pStyle w:val="BodyText"/>
      </w:pPr>
      <w:r>
        <w:t xml:space="preserve">Критерий процентной ставки менее 3% к процентным свопам и другим ПФИ на процентную ставку, по которым в целях расчета ОПР формируются позиции по условной безрисковой облигации, не применяется. В соответствии с абзацем восьмым подпункта 2.9.3 пункта 2.9 критерий процентной ставки менее 3% применяется только к долговым ценным бумагам и производным финансовым инструментам, базисным (базовым) активом которых являются указанные ценные бумаги (поставочным или расчетным). В целях расчета ОПР процентные свопы и другие ПФИ на процентную ставку распределяются по временным интервалам в соответствии с графой 4 «Прочие финансовые инструменты» Таблицы 1 «Распределение коэффициентов взвешивания по временным интервалам», приведенной в приложении к Положению № 511-П.</w:t>
      </w:r>
    </w:p>
    <w:p>
      <w:pPr>
        <w:pStyle w:val="BodyText"/>
      </w:pPr>
      <w:r>
        <w:t xml:space="preserve">Каков порядок определения позиций по фьючерсу на процентную ставку в целях расчета общего процентного риска?</w:t>
      </w:r>
    </w:p>
    <w:p>
      <w:pPr>
        <w:pStyle w:val="BodyText"/>
      </w:pPr>
      <w:r>
        <w:t xml:space="preserve">Обновлено: 20.12.2019</w:t>
      </w:r>
    </w:p>
    <w:p>
      <w:pPr>
        <w:pStyle w:val="BodyText"/>
      </w:pPr>
      <w:r>
        <w:t xml:space="preserve">Приобретенный фьючерс формирует длинную позицию по базисному (базовому) активу и короткую позицию со сроком до истечения, равным сроку до исполнения фьючерса.</w:t>
      </w:r>
    </w:p>
    <w:p>
      <w:pPr>
        <w:pStyle w:val="BodyText"/>
      </w:pPr>
      <w:r>
        <w:t xml:space="preserve">Пример. По приобретенному фьючерсу на трехмесячную ставку со сроком, оставшимся до истечения, 2 месяца и номинальной суммой 100 денежных единиц формируются две позиции:</w:t>
      </w:r>
    </w:p>
    <w:p>
      <w:pPr>
        <w:pStyle w:val="BodyText"/>
      </w:pPr>
      <w:r>
        <w:t xml:space="preserve">длинная позиция по условной безрисковой облигации (здесь и далее — не несущей специальный процентный риск) с плавающей ставкой, стоимостью 100 денежных единиц и сроком до погашения 5 месяцев (2 месяца плюс 3 месяца);</w:t>
      </w:r>
    </w:p>
    <w:p>
      <w:pPr>
        <w:pStyle w:val="BodyText"/>
      </w:pPr>
      <w:r>
        <w:t xml:space="preserve">короткая позиция по условной безрисковой облигации стоимостью 100 денежных единиц с фиксированной доходностью и сроком до погашения 2 месяца.</w:t>
      </w:r>
    </w:p>
    <w:p>
      <w:pPr>
        <w:pStyle w:val="BodyText"/>
      </w:pPr>
      <w:r>
        <w:t xml:space="preserve">Каков порядок определения позиций по соглашению о будущей процентной ставке (FRA) в целях расчета общего процентного риска?</w:t>
      </w:r>
    </w:p>
    <w:p>
      <w:pPr>
        <w:pStyle w:val="BodyText"/>
      </w:pPr>
      <w:r>
        <w:t xml:space="preserve">Обновлено: 20.12.2019</w:t>
      </w:r>
    </w:p>
    <w:p>
      <w:pPr>
        <w:pStyle w:val="BodyText"/>
      </w:pPr>
      <w:r>
        <w:t xml:space="preserve">В целях расчета ОПР по соглашению о будущей процентной ставке (FRA), по которому банк уплачивает денежные средства по фиксированной ставке, т.е. приобретает контракт для защиты от роста процентных ставок, формируются две позиции:</w:t>
      </w:r>
    </w:p>
    <w:p>
      <w:pPr>
        <w:pStyle w:val="BodyText"/>
      </w:pPr>
      <w:r>
        <w:t xml:space="preserve">длинная позиция по условной безрисковой облигации (здесь и далее — не несущей специальный процентный риск) с плавающей ставкой и сроком до погашения, равным сроку до даты расчета по FRA;</w:t>
      </w:r>
    </w:p>
    <w:p>
      <w:pPr>
        <w:pStyle w:val="BodyText"/>
      </w:pPr>
      <w:r>
        <w:t xml:space="preserve">короткая позиция по условной безрисковой облигации с фиксированной ставкой со сроком до погашения, равным сроку до погашения операции заимствования средств. 20</w:t>
      </w:r>
    </w:p>
    <w:p>
      <w:pPr>
        <w:pStyle w:val="BodyText"/>
      </w:pPr>
      <w:r>
        <w:t xml:space="preserve">Пример. Банк приобрел защиту от роста процентной ставки, заключив соглашение о будущей процентной ставке с процентным периодом на срок от 2 до 5 месяцев от даты заключения FRA, номинальной суммой 10 денежных единиц и уплатой фиксированной процентной ставки 5%.</w:t>
      </w:r>
    </w:p>
    <w:p>
      <w:pPr>
        <w:pStyle w:val="BodyText"/>
      </w:pPr>
      <w:r>
        <w:t xml:space="preserve">Данный инструмент разбивается на две противоположные позиции:</w:t>
      </w:r>
    </w:p>
    <w:p>
      <w:pPr>
        <w:pStyle w:val="BodyText"/>
      </w:pPr>
      <w:r>
        <w:t xml:space="preserve">длинная позиция по условной безрисковой облигации со сроком до погашения 2 месяца и доходностью, соответствующей рыночной ставке процента;</w:t>
      </w:r>
    </w:p>
    <w:p>
      <w:pPr>
        <w:pStyle w:val="BodyText"/>
      </w:pPr>
      <w:r>
        <w:t xml:space="preserve">короткая позиция по условной безрисковой облигации с фиксированной доходностью со сроком до погашения 5 месяцев.</w:t>
      </w:r>
    </w:p>
    <w:p>
      <w:pPr>
        <w:pStyle w:val="BodyText"/>
      </w:pPr>
      <w:r>
        <w:t xml:space="preserve">Каков порядок определения величины позиции по фьючерсу на корзину ценных бумаг в случае, если согласно спецификации фьючерсного контракта выбор поставляемых ценных бумаг из списка выпусков, установленного биржей, осуществляется перед исполнением контракта?</w:t>
      </w:r>
    </w:p>
    <w:p>
      <w:pPr>
        <w:pStyle w:val="BodyText"/>
      </w:pPr>
      <w:r>
        <w:t xml:space="preserve">Обновлено: 20.12.2019</w:t>
      </w:r>
    </w:p>
    <w:p>
      <w:pPr>
        <w:pStyle w:val="BodyText"/>
      </w:pPr>
      <w:r>
        <w:t xml:space="preserve">Подход к определению базисного (базового) актива в данном случае может основываться на принципах ценообразования ПФИ, т.е. можно исходить из предположения относительно того, какие выпуски ценных бумаг были бы поставлены на дату расчета рыночного риска, и рассчитывать величину позиции по рыночной (справедливой) стоимости данных ценных бумаг.</w:t>
      </w:r>
    </w:p>
    <w:p>
      <w:pPr>
        <w:pStyle w:val="BodyText"/>
      </w:pPr>
      <w:r>
        <w:t xml:space="preserve">Каков порядок определения позиций по процентным свопам?</w:t>
      </w:r>
    </w:p>
    <w:p>
      <w:pPr>
        <w:pStyle w:val="BodyText"/>
      </w:pPr>
      <w:r>
        <w:t xml:space="preserve">Обновлено: 20.12.2019</w:t>
      </w:r>
    </w:p>
    <w:p>
      <w:pPr>
        <w:pStyle w:val="BodyText"/>
      </w:pPr>
      <w:r>
        <w:t xml:space="preserve">Расчет ОПР по процентным свопам осуществляется на основе данных внесистемного учета (в части включения свопов в расчет рыночного риска см. также ответ на вопрос 1.4 выше). Процентный своп рассматривается как инструмент, по которому имеются длинная и короткая позиции, которые распределяются по временным интервалам в зависимости от срока от даты расчета совокупной величины рыночного риска до следующей даты пересмотра процентной ставки (по позиции с плавающей процентной ставкой) и до даты истечения срока договора (по позиции с фиксированной процентной ставкой). В качестве величины длинной и короткой позиций принимается номинальная сумма, т.е. величина, исходя из которой рассчитываются процентные платежи согласно условиям договора, без учета начисленных процентов.</w:t>
      </w:r>
    </w:p>
    <w:p>
      <w:pPr>
        <w:pStyle w:val="BodyText"/>
      </w:pPr>
      <w:r>
        <w:t xml:space="preserve">Так, если по договору процентного свопа, по которому банк получает платежи по плавающей ставке, а платит — по фиксированной, следующая дата пересмотра процентной ставки наступает через 6 месяцев, а оставшийся срок до истечения договора составляет 5 лет, требование в размере номинальной суммы должно отражаться в зоне № 1, в интервале 3 — 6 месяцев, а соответствующее обязательство — в зоне № 3, в интервале 4 — 5 лет.</w:t>
      </w:r>
    </w:p>
    <w:p>
      <w:pPr>
        <w:pStyle w:val="BodyText"/>
      </w:pPr>
      <w:r>
        <w:t xml:space="preserve">Возможна ли компенсация противоположных позиций по форвардным контрактам на валюту в случае, если цена исполнения различается?</w:t>
      </w:r>
    </w:p>
    <w:p>
      <w:pPr>
        <w:pStyle w:val="BodyText"/>
      </w:pPr>
      <w:r>
        <w:t xml:space="preserve">Обновлено: 20.12.2019</w:t>
      </w:r>
    </w:p>
    <w:p>
      <w:pPr>
        <w:pStyle w:val="BodyText"/>
      </w:pPr>
      <w:r>
        <w:t xml:space="preserve">Нет, компенсация противоположных позиций на стадии расчета чистых позиций согласно подпункту 2.9.2.3 пункта 2.9 Положения № 511-П осуществляется только в случае совпадения базисных (базовых) активов, их стоимости, установленной договором, и выполнения условий по соотношению сроков до истечения соответствующих договоров ПФИ. В целях расчета ОПР взаимозачет позиций производится только внутри одного временного интервала по соответствующей валюте. Данное требование обусловлено тем, что чувствительность стоимости производного финансового инструмента к процентному риску зависит от цены исполнения.</w:t>
      </w:r>
    </w:p>
    <w:p>
      <w:pPr>
        <w:pStyle w:val="BodyText"/>
      </w:pPr>
      <w:r>
        <w:t xml:space="preserve">Каков порядок расчета общего процентного риска по позициям в разных валютах?</w:t>
      </w:r>
    </w:p>
    <w:p>
      <w:pPr>
        <w:pStyle w:val="BodyText"/>
      </w:pPr>
      <w:r>
        <w:t xml:space="preserve">Обновлено: 20.12.2019</w:t>
      </w:r>
    </w:p>
    <w:p>
      <w:pPr>
        <w:pStyle w:val="BodyText"/>
      </w:pPr>
      <w:r>
        <w:t xml:space="preserve">Общий процентный риск рассчитывается по позициям в рублях и по каждой валюте отдельно. Все позиции, подлежащие включению в расчет риска, должны быть выражены в той валюте, в которой они номинированы, или валюте, от которой зависит их стоимость. Результаты расчета риска по каждой валюте конвертируются в рубли по официальному курсу Банка России на дату расчета, а затем суммируются с результатом расчета риска по позициям в рублях.</w:t>
      </w:r>
    </w:p>
    <w:p>
      <w:pPr>
        <w:pStyle w:val="BodyText"/>
      </w:pPr>
      <w:r>
        <w:t xml:space="preserve">Пример. По форвардному контракту с оставшимся сроком до исполнения 2 месяца, по которому банк приобретает 100 долл. США по цене 60 руб., при курсе Банка России, равном 64 руб. за долл. США, в целях расчета ОПР формируются две позиции:</w:t>
      </w:r>
    </w:p>
    <w:p>
      <w:pPr>
        <w:numPr>
          <w:ilvl w:val="0"/>
          <w:numId w:val="1012"/>
        </w:numPr>
      </w:pPr>
      <w:r>
        <w:t xml:space="preserve">длинная в размере 100 долл. США, относимая во временной интервал от 1 до 3 месяцев («Зона 1»);</w:t>
      </w:r>
    </w:p>
    <w:p>
      <w:pPr>
        <w:numPr>
          <w:ilvl w:val="0"/>
          <w:numId w:val="1012"/>
        </w:numPr>
      </w:pPr>
      <w:r>
        <w:t xml:space="preserve">короткая в размере 6000 руб., относимая к тому же временному интервалу.</w:t>
      </w:r>
    </w:p>
    <w:p>
      <w:pPr>
        <w:pStyle w:val="FirstParagraph"/>
      </w:pPr>
      <w:r>
        <w:t xml:space="preserve">При отсутствии каких-либо иных позиций величина общего процентного риска составит:</w:t>
      </w:r>
    </w:p>
    <w:p>
      <w:pPr>
        <w:pStyle w:val="BodyText"/>
      </w:pPr>
      <w:r>
        <w:t xml:space="preserve">ОПР по длинной позиции = 100 долл. * 0,2% * 100% = 0,2 долл. США;</w:t>
      </w:r>
    </w:p>
    <w:p>
      <w:pPr>
        <w:pStyle w:val="BodyText"/>
      </w:pPr>
      <w:r>
        <w:t xml:space="preserve">ОПР по короткой позиции = 6000 руб. * 0,2% * 100% = 12 руб.;</w:t>
      </w:r>
    </w:p>
    <w:p>
      <w:pPr>
        <w:pStyle w:val="BodyText"/>
      </w:pPr>
      <w:r>
        <w:t xml:space="preserve">ПР = 0,2 * 64 + 12 = 24,8 руб.</w:t>
      </w:r>
    </w:p>
    <w:p>
      <w:pPr>
        <w:pStyle w:val="BodyText"/>
      </w:pPr>
      <w:r>
        <w:t xml:space="preserve">Возможно ли применение Указания № 3453-У в целях расчета величины рыночного риска по ценным бумагам, выпущенным после даты рейтинга, если текущий рейтинг ценной бумаги не соответствует требованиям Положения № 511-П?</w:t>
      </w:r>
    </w:p>
    <w:p>
      <w:pPr>
        <w:pStyle w:val="BodyText"/>
      </w:pPr>
      <w:r>
        <w:t xml:space="preserve">Обновлено: 20.12.2019</w:t>
      </w:r>
    </w:p>
    <w:p>
      <w:pPr>
        <w:pStyle w:val="BodyText"/>
      </w:pPr>
      <w:r>
        <w:t xml:space="preserve">Пунктом 2.7 Положения № 511-П в целях расчета СПР предусмотрен приоритет рейтинга кредитоспособности выпуска ценных бумаг по отношению к рейтингу кредитоспособности их эмитента. Таким образом, с учетом норм абзаца третьего пункта 2 Указания № 3453-У в случае отсутствия у выпуска ценных бумаг присвоенного рейтинга кредитоспособности по состоянию на дату рейтинга при расчете СПР группу риска по таким ценным бумагам необходимо определять исходя из текущего уровня рейтинга кредитоспособности, присвоенного указанному выпуску.</w:t>
      </w:r>
    </w:p>
    <w:p>
      <w:pPr>
        <w:pStyle w:val="BodyText"/>
      </w:pPr>
      <w:r>
        <w:t xml:space="preserve">Вместе с тем, учитывая, что Положение № 511-П допускает возможность использования рейтинга эмитента при отсутствии рейтинга у выпуска ценных бумаг, в случае, если на все даты с момента выпуска и присвоения рейтинга кредитоспособности выпуску ценных бумаг, включая дату расчета величины рыночного риска, этот выпуск оценивался рейтинговым агентством по международной шкале не хуже, чем эмитент, то по ценным бумагам, эмитированным после даты рейтинга, возможно использование в целях классификации ценных бумаг рейтинга кредитоспособности эмитента, присвоенного на дату рейтинга.</w:t>
      </w:r>
    </w:p>
    <w:p>
      <w:pPr>
        <w:pStyle w:val="BodyText"/>
      </w:pPr>
      <w:r>
        <w:t xml:space="preserve">Какие рейтинговые агентства рассматриваются в целях классификации по уровню риска ценных бумаг, не являющихся инструментами секьюритизации и инструментами повторной секьюритизации, к ценным бумагам с низким риском и для классификации инструментов секьюритизации и инструментов повторной секьюритизации?</w:t>
      </w:r>
    </w:p>
    <w:p>
      <w:pPr>
        <w:pStyle w:val="BodyText"/>
      </w:pPr>
      <w:r>
        <w:t xml:space="preserve">Обновлено: 20.12.2019</w:t>
      </w:r>
    </w:p>
    <w:p>
      <w:pPr>
        <w:pStyle w:val="BodyText"/>
      </w:pPr>
      <w:r>
        <w:t xml:space="preserve">В настоящее время используются только оценки международных рейтинговых агентств, поименованных в Положении № 511-П (Standard &amp; Poor’s, Fitch Ratings, Moody’s Investors Service), при этом применяется Указание Банка России от 25.11.2014 № 3453-У «Об особенностях использования рейтингов кредитоспособности в целях применения нормативных актов Банка России» (далее — Указание № 3453-У).</w:t>
      </w:r>
    </w:p>
    <w:p>
      <w:pPr>
        <w:pStyle w:val="BodyText"/>
      </w:pPr>
      <w:r>
        <w:t xml:space="preserve">При расчете специального процентного риска по ценной бумаге, эмитированной компанией специального назначения (SPV), можно ли учитывать рейтинг юридического лица, осуществляющего выпуск ценных бумаг через данную SPV?</w:t>
      </w:r>
    </w:p>
    <w:p>
      <w:pPr>
        <w:pStyle w:val="BodyText"/>
      </w:pPr>
      <w:r>
        <w:t xml:space="preserve">Обновлено: 20.12.2019</w:t>
      </w:r>
    </w:p>
    <w:p>
      <w:pPr>
        <w:pStyle w:val="BodyText"/>
      </w:pPr>
      <w:r>
        <w:t xml:space="preserve">Нет, при классификации ценных бумаг, эмитированных компанией специального назначения (SPV) в интересах компании — бенефициара, в случае отсутствия рейтинга у SPV рейтинг конечного бенефициара не используется. Для определения данного выпуска в ту или иную категорию риска необходимо учитывать рейтинги, присвоенные непосредственно выпуску ценных бумаг.</w:t>
      </w:r>
    </w:p>
    <w:p>
      <w:pPr>
        <w:pStyle w:val="BodyText"/>
      </w:pPr>
      <w:r>
        <w:t xml:space="preserve">В случае если по ценной бумаге, выпущенной SPV, конечный бенефициар, имеющий рейтинги долгосрочной кредитоспособности по международной шкале, соответствующие требованиям абзаца одиннадцатого подпункта 2.4.2 пункта 2.4 Положения № 511-П, предоставил гарантию (поручительство), покрывающие номинал и купонные выплаты, при расчете СПР соответствующие вложения относятся к ценным бумагам с низким риском.</w:t>
      </w:r>
    </w:p>
    <w:p>
      <w:pPr>
        <w:pStyle w:val="BodyText"/>
      </w:pPr>
      <w:r>
        <w:t xml:space="preserve">Разъясните порядок отнесения к ценным бумагам с низким риском ценных бумаг юридических лиц, отличных от инструментов секьюритизации и повторной секьюритизации, в случае одновременного наличия различных рейтингов долгосрочной кредитоспособности у эмитента и выпуска ценных бумаг, присвоенных международными рейтинговыми агентствами, имея в виду приоритет рейтинга выпуска ценных бумаг.</w:t>
      </w:r>
    </w:p>
    <w:p>
      <w:pPr>
        <w:pStyle w:val="BodyText"/>
      </w:pPr>
      <w:r>
        <w:t xml:space="preserve">Обновлено: 20.12.2019</w:t>
      </w:r>
    </w:p>
    <w:p>
      <w:pPr>
        <w:pStyle w:val="BodyText"/>
      </w:pPr>
      <w:r>
        <w:t xml:space="preserve">В таблице ниже приведены примеры возможных комбинаций рейтингов долгосрочной кредитоспособности эмитентов и выпусков ценных бумаг, присвоенных международными рейтинговыми агентствами. Под рейтингом инвестиционного качества понимается рейтинг на уровне не ниже «BBB-» по классификации рейтинговых агентств Standard &amp; Poor’s или Fitch Ratings либо «Baa3» по классификации рейтингового агентства Moody’s Investors Service, присвоенных по обязательствам в иностранной или национальной валюте по международной шкале.</w:t>
      </w:r>
    </w:p>
    <w:p>
      <w:pPr>
        <w:pStyle w:val="BodyText"/>
      </w:pPr>
      <w:r>
        <w:t xml:space="preserve">Рейтинг, присвоенный выпуску ценных бумаг</w:t>
      </w:r>
    </w:p>
    <w:p>
      <w:pPr>
        <w:pStyle w:val="BodyText"/>
      </w:pPr>
      <w:r>
        <w:t xml:space="preserve">Рейтинг, присвоенный эмитенту ценных бумаг</w:t>
      </w:r>
    </w:p>
    <w:p>
      <w:pPr>
        <w:pStyle w:val="BodyText"/>
      </w:pPr>
      <w:r>
        <w:t xml:space="preserve">Возможность отнесения к ценным бумагам с низким риском</w:t>
      </w:r>
    </w:p>
    <w:p>
      <w:pPr>
        <w:pStyle w:val="BodyText"/>
      </w:pPr>
      <w:r>
        <w:t xml:space="preserve">Инвестиционный, присвоенный одним рейтинговым агентством</w:t>
      </w:r>
    </w:p>
    <w:p>
      <w:pPr>
        <w:pStyle w:val="BodyText"/>
      </w:pPr>
      <w:r>
        <w:t xml:space="preserve">Инвестиционный, присвоенный двумя рейтинговыми агентствами</w:t>
      </w:r>
    </w:p>
    <w:p>
      <w:pPr>
        <w:pStyle w:val="BodyText"/>
      </w:pPr>
      <w:r>
        <w:t xml:space="preserve">Да</w:t>
      </w:r>
    </w:p>
    <w:p>
      <w:pPr>
        <w:pStyle w:val="BodyText"/>
      </w:pPr>
      <w:r>
        <w:t xml:space="preserve">Два рейтинга — инвестиционный и неинвестиционный</w:t>
      </w:r>
    </w:p>
    <w:p>
      <w:pPr>
        <w:pStyle w:val="BodyText"/>
      </w:pPr>
      <w:r>
        <w:t xml:space="preserve">Инвестиционный, присвоенный двумя рейтинговыми агентствами</w:t>
      </w:r>
    </w:p>
    <w:p>
      <w:pPr>
        <w:pStyle w:val="BodyText"/>
      </w:pPr>
      <w:r>
        <w:t xml:space="preserve">Нет</w:t>
      </w:r>
    </w:p>
    <w:p>
      <w:pPr>
        <w:pStyle w:val="BodyText"/>
      </w:pPr>
      <w:r>
        <w:t xml:space="preserve">Нет рейтингов</w:t>
      </w:r>
    </w:p>
    <w:p>
      <w:pPr>
        <w:pStyle w:val="BodyText"/>
      </w:pPr>
      <w:r>
        <w:t xml:space="preserve">Инвестиционный, присвоенный двумя рейтинговыми агентствами</w:t>
      </w:r>
    </w:p>
    <w:p>
      <w:pPr>
        <w:pStyle w:val="BodyText"/>
      </w:pPr>
      <w:r>
        <w:t xml:space="preserve">Да</w:t>
      </w:r>
    </w:p>
    <w:p>
      <w:pPr>
        <w:pStyle w:val="BodyText"/>
      </w:pPr>
      <w:r>
        <w:t xml:space="preserve">Инвестиционный, присвоенный двумя рейтинговыми агентствами</w:t>
      </w:r>
    </w:p>
    <w:p>
      <w:pPr>
        <w:pStyle w:val="BodyText"/>
      </w:pPr>
      <w:r>
        <w:t xml:space="preserve">Нет рейтингов</w:t>
      </w:r>
    </w:p>
    <w:p>
      <w:pPr>
        <w:pStyle w:val="BodyText"/>
      </w:pPr>
      <w:r>
        <w:t xml:space="preserve">Да</w:t>
      </w:r>
    </w:p>
    <w:p>
      <w:pPr>
        <w:pStyle w:val="BodyText"/>
      </w:pPr>
      <w:r>
        <w:t xml:space="preserve">Неинвестиционный, присвоенный одним рейтинговым агентством</w:t>
      </w:r>
    </w:p>
    <w:p>
      <w:pPr>
        <w:pStyle w:val="BodyText"/>
      </w:pPr>
      <w:r>
        <w:t xml:space="preserve">Инвестиционный, присвоенный двумя рейтинговыми агентствами</w:t>
      </w:r>
    </w:p>
    <w:p>
      <w:pPr>
        <w:pStyle w:val="BodyText"/>
      </w:pPr>
      <w:r>
        <w:t xml:space="preserve">Нет</w:t>
      </w:r>
    </w:p>
    <w:p>
      <w:pPr>
        <w:pStyle w:val="BodyText"/>
      </w:pPr>
      <w:r>
        <w:t xml:space="preserve">Инвестиционный, присвоенный одним рейтинговым агентством</w:t>
      </w:r>
    </w:p>
    <w:p>
      <w:pPr>
        <w:pStyle w:val="BodyText"/>
      </w:pPr>
      <w:r>
        <w:t xml:space="preserve">Инвестиционный, присвоенный тем же рейтинговым агентством, что и рейтинг выпуска</w:t>
      </w:r>
    </w:p>
    <w:p>
      <w:pPr>
        <w:pStyle w:val="BodyText"/>
      </w:pPr>
      <w:r>
        <w:t xml:space="preserve">Нет</w:t>
      </w:r>
    </w:p>
    <w:p>
      <w:pPr>
        <w:pStyle w:val="BodyText"/>
      </w:pPr>
      <w:r>
        <w:t xml:space="preserve">Инвестиционный, присвоенный одним рейтинговым агентством</w:t>
      </w:r>
    </w:p>
    <w:p>
      <w:pPr>
        <w:pStyle w:val="BodyText"/>
      </w:pPr>
      <w:r>
        <w:t xml:space="preserve">Инвестиционный, присвоенный другим рейтинговым агентством, нежели рейтинг выпуска</w:t>
      </w:r>
    </w:p>
    <w:p>
      <w:pPr>
        <w:pStyle w:val="BodyText"/>
      </w:pPr>
      <w:r>
        <w:t xml:space="preserve">Да</w:t>
      </w:r>
    </w:p>
    <w:p>
      <w:pPr>
        <w:pStyle w:val="BodyText"/>
      </w:pPr>
      <w:r>
        <w:t xml:space="preserve">При расчете специального процентного риска признаются ли ценные бумаги, по которым гарантия распространяется только на номинал ценной бумаги, а не на купонные выплаты, «полностью обеспеченными гарантиями»?</w:t>
      </w:r>
    </w:p>
    <w:p>
      <w:pPr>
        <w:pStyle w:val="BodyText"/>
      </w:pPr>
      <w:r>
        <w:t xml:space="preserve">Обновлено: 20.12.2019</w:t>
      </w:r>
    </w:p>
    <w:p>
      <w:pPr>
        <w:pStyle w:val="BodyText"/>
      </w:pPr>
      <w:r>
        <w:t xml:space="preserve">Нет. При классификации ценных бумаг по уровню специального процентного риска в соответствии с пунктом 2.4 Положения № 511-П под полным обеспечением понимается обеспечение, покрывающее как номинальную сумму, так и процентные платежи в силу того, что в случае если гарантия распространяется только на основную сумму долга, дефолт по такому обязательству может наступить при невыплате купонного платежа. Этот риск дефолта может быть учтен только при расчете СПР, поскольку активы, по которым рассчитывается рыночный риск, не включаются в сумму взвешенных по уровню кредитного риска активов согласно подпункту 2.3.21 пункта 2.3 Инструкции № 139-И.</w:t>
      </w:r>
    </w:p>
    <w:p>
      <w:pPr>
        <w:pStyle w:val="BodyText"/>
      </w:pPr>
      <w:r>
        <w:t xml:space="preserve">В соответствии с каким сроком включаются в расчет величины процентного риска облигации, по которым процентная ставка не определена для всех купонных периодов?</w:t>
      </w:r>
    </w:p>
    <w:p>
      <w:pPr>
        <w:pStyle w:val="BodyText"/>
      </w:pPr>
      <w:r>
        <w:t xml:space="preserve">Обновлено: 20.12.2019</w:t>
      </w:r>
    </w:p>
    <w:p>
      <w:pPr>
        <w:pStyle w:val="BodyText"/>
      </w:pPr>
      <w:r>
        <w:t xml:space="preserve">В целях Положения № 511-П облигации, ставка купона по которым определена эмитентом на первые купонные периоды, но впоследствии пересматривается эмитентом, рассматриваются как финансовые инструменты с фиксированной процентной ставкой до даты окончания последнего купонного периода с определенной процентной ставкой и как финансовые инструменты с плавающей (пересматриваемой) процентной ставкой — в последующие купонные периоды.</w:t>
      </w:r>
    </w:p>
    <w:p>
      <w:pPr>
        <w:pStyle w:val="BodyText"/>
      </w:pPr>
      <w:r>
        <w:t xml:space="preserve">Какая дата в целях расчета общего процентного риска является датой пересмотра процентной ставки: дата, в которую осуществляется расчет (фиксация) числового значения соответствующей процентной ставки, или дата, начиная с которой значение соответствующей процентной ставки начинает использоваться в целях отражения в бухгалтерском учете требований / обязательств?</w:t>
      </w:r>
    </w:p>
    <w:p>
      <w:pPr>
        <w:pStyle w:val="BodyText"/>
      </w:pPr>
      <w:r>
        <w:t xml:space="preserve">Обновлено: 20.12.2019</w:t>
      </w:r>
    </w:p>
    <w:p>
      <w:pPr>
        <w:pStyle w:val="BodyText"/>
      </w:pPr>
      <w:r>
        <w:t xml:space="preserve">В соответствии с Положением № 511-П общий процентный риск представляет собой риск неблагоприятного изменения справедливой стоимости ценных бумаг и производных финансовых инструментов, связанный с рыночными колебаниями процентных ставок. Значение плавающей процентной ставки начинает оказывать влияние на изменение справедливой стоимости финансового инструмента с плавающей процентной ставкой с момента расчета (фиксации) величины соответствующей процентной ставки.</w:t>
      </w:r>
    </w:p>
    <w:p>
      <w:pPr>
        <w:pStyle w:val="BodyText"/>
      </w:pPr>
      <w:r>
        <w:t xml:space="preserve">Таким образом, в целях расчета величины общего процентного риска в соответствии с Положением № 511-П датой пересмотра процентной ставки является дата, в которую осуществляется расчет (фиксация) числового значения соответствующей процентной ставки, а не дата отражения в бухгалтерском учете требований / обязательств по пересмотренной ставке.</w:t>
      </w:r>
    </w:p>
    <w:p>
      <w:pPr>
        <w:pStyle w:val="BodyText"/>
      </w:pPr>
      <w:r>
        <w:t xml:space="preserve">Расчет рыночного риска по инструментам секьюритизации</w:t>
      </w:r>
    </w:p>
    <w:p>
      <w:pPr>
        <w:pStyle w:val="BodyText"/>
      </w:pPr>
      <w:r>
        <w:t xml:space="preserve">Необходимо ли осуществлять расчет специального процентного и специального фондового риска по ипотечным сертификатам участия?</w:t>
      </w:r>
    </w:p>
    <w:p>
      <w:pPr>
        <w:pStyle w:val="BodyText"/>
      </w:pPr>
      <w:r>
        <w:t xml:space="preserve">Обновлено: 20.12.2019</w:t>
      </w:r>
    </w:p>
    <w:p>
      <w:pPr>
        <w:pStyle w:val="BodyText"/>
      </w:pPr>
      <w:r>
        <w:t xml:space="preserve">Специальный процентный и фондовый риски отражают, в том числе, риск неблагоприятного изменения справедливой стоимости под влиянием различных факторов кредитного характера. В этой связи ценные бумаги, подлежащие включению в расчет величин процентного и фондового рисков, в том числе ипотечные сертификаты участия, включаются в расчет специального процентного и специального фондового рисков соответственно. При этом пунктом 2.3 Положения № 511-П введена отдельная шкала коэффициентов риска для расчета специального процентного риска по инструментам секьюритизации и повторной секьюритизации, которая распространяется, в том числе, на ипотечные сертификаты участия.</w:t>
      </w:r>
    </w:p>
    <w:p>
      <w:pPr>
        <w:pStyle w:val="BodyText"/>
      </w:pPr>
      <w:r>
        <w:t xml:space="preserve">Расчет каких видов риска осуществляется по вложениям в ипотечные сертификаты участия в соответствии с Положением № 511-П?</w:t>
      </w:r>
    </w:p>
    <w:p>
      <w:pPr>
        <w:pStyle w:val="BodyText"/>
      </w:pPr>
      <w:r>
        <w:t xml:space="preserve">Обновлено: 20.12.2019</w:t>
      </w:r>
    </w:p>
    <w:p>
      <w:pPr>
        <w:pStyle w:val="BodyText"/>
      </w:pPr>
      <w:r>
        <w:t xml:space="preserve">Поскольку в соответствии с Федеральным законом от 11.11.2003 № 152-ФЗ «Об ипотечных ценных бумагах» (далее — Федеральный закон № 152-ФЗ) доходом по ипотечным сертификатам участия являются денежные средства, полученные их владельцами в счет погашения заемщиком ипотечного займа (основного долга и процентов), по данным бумагам осуществляется расчет процентного риска.</w:t>
      </w:r>
    </w:p>
    <w:p>
      <w:pPr>
        <w:pStyle w:val="BodyText"/>
      </w:pPr>
      <w:r>
        <w:t xml:space="preserve">В то же время в соответствии с Федеральным законом № 152-ФЗ ипотечный сертификат участия удостоверяет долю его владельца в праве общей собственности на ипотечное покрытие и предоставляет право голоса при принятии решений общим собранием владельцев данных ценных бумаг. Таким образом, в связи с наличием ряда признаков, характерных для долевых ценных бумаг, по ипотечным сертификатам участия также необходимо осуществлять расчет величины фондового риска.</w:t>
      </w:r>
    </w:p>
    <w:p>
      <w:pPr>
        <w:pStyle w:val="BodyText"/>
      </w:pPr>
      <w:r>
        <w:t xml:space="preserve">Какие кредитные рейтинги краткосрочной кредитоспособности по обязательствам в иностранной или национальной валюте по международной рейтинговой шкале, установленные международными кредитными рейтинговыми агентствами, могут использоваться при классификации инструментов секьюритизации и инструментов повторной секьюритизации по группам специального процентного риска?</w:t>
      </w:r>
    </w:p>
    <w:p>
      <w:pPr>
        <w:pStyle w:val="BodyText"/>
      </w:pPr>
      <w:r>
        <w:t xml:space="preserve">Обновлено: 20.12.2019</w:t>
      </w:r>
    </w:p>
    <w:p>
      <w:pPr>
        <w:pStyle w:val="BodyText"/>
      </w:pPr>
      <w:r>
        <w:t xml:space="preserve">Ценные бумаги, являющиеся инструментами секьюритизации или повторной секьюритизации, классифицируются по группам специального процентного риска с учетом приведенного ниже соответствия шкал краткосрочной кредитоспособности кредитных рейтинговых агентств Standard &amp; Poor’s, Fitch Ratings и Moody’s Investors Service.</w:t>
      </w:r>
    </w:p>
    <w:p>
      <w:pPr>
        <w:pStyle w:val="BodyText"/>
      </w:pPr>
      <w:r>
        <w:t xml:space="preserve">Классификация по группам специального процентного риска в зависимости от рейтинга краткосрочной кредитоспособности Классификация по группам специального процентного риска</w:t>
      </w:r>
    </w:p>
    <w:p>
      <w:pPr>
        <w:pStyle w:val="BodyText"/>
      </w:pPr>
      <w:r>
        <w:t xml:space="preserve">Рейтинг краткосрочной кредитоспособности по классификации</w:t>
      </w:r>
    </w:p>
    <w:p>
      <w:pPr>
        <w:pStyle w:val="BodyText"/>
      </w:pPr>
      <w:r>
        <w:t xml:space="preserve">Standard &amp; Poor’s</w:t>
      </w:r>
    </w:p>
    <w:p>
      <w:pPr>
        <w:pStyle w:val="BodyText"/>
      </w:pPr>
      <w:r>
        <w:t xml:space="preserve">Fitch Ratings</w:t>
      </w:r>
    </w:p>
    <w:p>
      <w:pPr>
        <w:pStyle w:val="BodyText"/>
      </w:pPr>
      <w:r>
        <w:t xml:space="preserve">Moody’s Investors Service</w:t>
      </w:r>
    </w:p>
    <w:p>
      <w:pPr>
        <w:pStyle w:val="BodyText"/>
      </w:pPr>
      <w:r>
        <w:t xml:space="preserve">Низкий риск</w:t>
      </w:r>
    </w:p>
    <w:p>
      <w:pPr>
        <w:pStyle w:val="BodyText"/>
      </w:pPr>
      <w:r>
        <w:t xml:space="preserve">А-1</w:t>
      </w:r>
    </w:p>
    <w:p>
      <w:pPr>
        <w:pStyle w:val="BodyText"/>
      </w:pPr>
      <w:r>
        <w:t xml:space="preserve">F1</w:t>
      </w:r>
    </w:p>
    <w:p>
      <w:pPr>
        <w:pStyle w:val="BodyText"/>
      </w:pPr>
      <w:r>
        <w:t xml:space="preserve">Р-1</w:t>
      </w:r>
    </w:p>
    <w:p>
      <w:pPr>
        <w:pStyle w:val="BodyText"/>
      </w:pPr>
      <w:r>
        <w:t xml:space="preserve">Риск ниже среднего</w:t>
      </w:r>
    </w:p>
    <w:p>
      <w:pPr>
        <w:pStyle w:val="BodyText"/>
      </w:pPr>
      <w:r>
        <w:t xml:space="preserve">А-2</w:t>
      </w:r>
    </w:p>
    <w:p>
      <w:pPr>
        <w:pStyle w:val="BodyText"/>
      </w:pPr>
      <w:r>
        <w:t xml:space="preserve">F2</w:t>
      </w:r>
    </w:p>
    <w:p>
      <w:pPr>
        <w:pStyle w:val="BodyText"/>
      </w:pPr>
      <w:r>
        <w:t xml:space="preserve">Р-2</w:t>
      </w:r>
    </w:p>
    <w:p>
      <w:pPr>
        <w:pStyle w:val="BodyText"/>
      </w:pPr>
      <w:r>
        <w:t xml:space="preserve">Средний риск</w:t>
      </w:r>
    </w:p>
    <w:p>
      <w:pPr>
        <w:pStyle w:val="BodyText"/>
      </w:pPr>
      <w:r>
        <w:t xml:space="preserve">А-3</w:t>
      </w:r>
    </w:p>
    <w:p>
      <w:pPr>
        <w:pStyle w:val="BodyText"/>
      </w:pPr>
      <w:r>
        <w:t xml:space="preserve">F3</w:t>
      </w:r>
    </w:p>
    <w:p>
      <w:pPr>
        <w:pStyle w:val="BodyText"/>
      </w:pPr>
      <w:r>
        <w:t xml:space="preserve">Р-3</w:t>
      </w:r>
    </w:p>
    <w:p>
      <w:pPr>
        <w:pStyle w:val="BodyText"/>
      </w:pPr>
      <w:r>
        <w:t xml:space="preserve">Высокий риск</w:t>
      </w:r>
    </w:p>
    <w:p>
      <w:pPr>
        <w:pStyle w:val="BodyText"/>
      </w:pPr>
      <w:r>
        <w:t xml:space="preserve">В и ниже</w:t>
      </w:r>
    </w:p>
    <w:p>
      <w:pPr>
        <w:pStyle w:val="BodyText"/>
      </w:pPr>
      <w:r>
        <w:t xml:space="preserve">NP</w:t>
      </w:r>
    </w:p>
    <w:p>
      <w:pPr>
        <w:pStyle w:val="BodyText"/>
      </w:pPr>
      <w:r>
        <w:t xml:space="preserve">Товарный риск</w:t>
      </w:r>
    </w:p>
    <w:p>
      <w:pPr>
        <w:pStyle w:val="BodyText"/>
      </w:pPr>
      <w:r>
        <w:t xml:space="preserve">Относится ли к залогам для целей расчета товарного риска залог товаров в обороте или только твердый залог? Каким образом осуществляется расчет товарного риска в отношении принятого в залог товара, товаров в обороте?</w:t>
      </w:r>
    </w:p>
    <w:p>
      <w:pPr>
        <w:pStyle w:val="BodyText"/>
      </w:pPr>
      <w:r>
        <w:t xml:space="preserve">Обновлено: 20.12.2019</w:t>
      </w:r>
    </w:p>
    <w:p>
      <w:pPr>
        <w:pStyle w:val="BodyText"/>
      </w:pPr>
      <w:r>
        <w:t xml:space="preserve">Товары, полученные в залог, удовлетворяющие требованиям Положения № 511-П, подлежат включению в расчет величины товарного риска вне зависимости от того является залог твердым или залогом товара в обороте.</w:t>
      </w:r>
    </w:p>
    <w:p>
      <w:pPr>
        <w:pStyle w:val="BodyText"/>
      </w:pPr>
      <w:r>
        <w:t xml:space="preserve">Расчет величины товарного риска в отношении товаров, являющихся залогом товара в обороте, осуществляется с учетом следующего. В случае если заложенные товары в обороте представлены как обращающимися на организованном рынке товарами, так и необращающимися, то в состав расчета товарного риска включаются только товары, обращающиеся на организованном рынке. При превышении текущей справедливой стоимостью товаров, являющихся залогом товаров в обороте, величины кредитного требования к заемщику, банк определяет количество товара в натуральных единицах измерения (например, в баррелях, килограммах, граммах и т.д.) исходя из текущей справедливой стоимости единицы товара в залоге, скорректированной с учетом оценочного снижения справедливой стоимости в соответствии с требованиями пункта 1.8 Положения № 511-П, и общей договорной стоимости залога. Итоговое количество товара в натуральных единицах измерения, которое может быть получено банком в рамках 27</w:t>
      </w:r>
    </w:p>
    <w:p>
      <w:pPr>
        <w:pStyle w:val="BodyText"/>
      </w:pPr>
      <w:r>
        <w:t xml:space="preserve">стоимости, определенной договором залога товаров в обороте, принимается в расчет товарного риска только в части, необходимой для покрытия величины кредитного требования к заемщику (в случае если величина, определенная согласно договору залога превышает величину кредитного требования на дату расчета рыночного риска). Если стоимость, определенная договором залога товаров в обороте, равна или ниже величины кредитного требования к заемщику, то товары в обороте принимаются в расчет товарного риска полностью, но не более доступного количества товара.</w:t>
      </w:r>
    </w:p>
    <w:p>
      <w:pPr>
        <w:pStyle w:val="BodyText"/>
      </w:pPr>
      <w:r>
        <w:t xml:space="preserve">Пример 1. В соответствии с договором залога кредитная организация имеет право на получение следующего товара в счет погашения задолженности заемщика в размере 100 единиц при невыполнении им своих обязательств: обращающийся на организованном рынке Товар 1 (количество товара в наличии, подтвержденное кредитной организацией — 8 штук) и необращающийся на организованном рынке Товар 2 (количество товара в наличии, подтвержденное кредитной организацией — 10 штук).</w:t>
      </w:r>
    </w:p>
    <w:p>
      <w:pPr>
        <w:pStyle w:val="BodyText"/>
      </w:pPr>
      <w:r>
        <w:t xml:space="preserve">Вариант 1. По оценке кредитной организации справедливая стоимость Товара 1, скорректированная на оценочное снижение справедливой стоимости, рассчитанное в соответствии с требованиями пункта 1.8 Положения № 511-П, составляет 8 единиц за штуку. Таким образом, для покрытия кредитного требования к заемщику в размере 100 единиц необходимо 13 штук Товара 1. Поскольку в наличии имеется только 8 штук товара, в расчет величины товарного риска включаются только доступные 8 штук Товара 1 совокупной стоимостью 64 единицы.</w:t>
      </w:r>
    </w:p>
    <w:p>
      <w:pPr>
        <w:pStyle w:val="BodyText"/>
      </w:pPr>
      <w:r>
        <w:t xml:space="preserve">Вариант 2. По оценке кредитной организации стоимость Товара 1, скорректированная на оценочное снижение справедливой стоимости, рассчитанное в соответствии с требованиями пункта 1.8 Положения № 511-П, составляет 15 единиц. Таким образом, для покрытия требуемых 100 единиц необходимо 7 штук Товара 1, которые доступны кредитной организации. В расчет величины товарного риска включаются необходимые 7 штук Товара 1 стоимостью 105 единиц.</w:t>
      </w:r>
    </w:p>
    <w:p>
      <w:pPr>
        <w:pStyle w:val="BodyText"/>
      </w:pPr>
      <w:r>
        <w:t xml:space="preserve">Пример 2. В соответствии с договором залога кредитная организация имеет право на получение товара в обороте стоимостью 100 единиц в счет погашения задолженности заемщика при невыполнении им своих обязательств. Справедливая стоимость единицы товара с учетом требований пункта 1.8 Положения № 511-П составляет 12 единиц. Товар обращается на организованном рынке.</w:t>
      </w:r>
    </w:p>
    <w:p>
      <w:pPr>
        <w:pStyle w:val="BodyText"/>
      </w:pPr>
      <w:r>
        <w:t xml:space="preserve">Вариант 1. Подтвержденное количество единиц товара в ходе определения справедливой стоимости залога составляет 10 штук, совокупная справедливая стоимость 28</w:t>
      </w:r>
    </w:p>
    <w:p>
      <w:pPr>
        <w:pStyle w:val="BodyText"/>
      </w:pPr>
      <w:r>
        <w:t xml:space="preserve">товара — 120 единиц, что превышает договорную залоговую стоимость товаров в обороте. Таким образом, в расчет величины товарного риска необходимо включать минимально необходимое для покрытия обязательства по величине справедливой стоимости залога количество товара, в условиях примера — 9 штук товара стоимостью 108 единиц.</w:t>
      </w:r>
    </w:p>
    <w:p>
      <w:pPr>
        <w:pStyle w:val="BodyText"/>
      </w:pPr>
      <w:r>
        <w:t xml:space="preserve">Вариант 2. Подтвержденное количество единиц товара в ходе определения справедливой стоимости залога составляет 8 штук, совокупная справедливая стоимость товара — 96 единиц, что меньше договорной залоговую стоимости товаров в обороте. Таким образом, в расчет товарного риска включается весь доступный товар — 8 штук стоимостью 96 единиц.</w:t>
      </w:r>
    </w:p>
    <w:p>
      <w:pPr>
        <w:pStyle w:val="BodyText"/>
      </w:pPr>
      <w:r>
        <w:t xml:space="preserve">Подлежат ли включению в расчет рыночного риска товары, допущенные к обращению на организованном рынке, но по которым не было фактических сделок длительное время (например, более одного года)?</w:t>
      </w:r>
    </w:p>
    <w:p>
      <w:pPr>
        <w:pStyle w:val="BodyText"/>
      </w:pPr>
      <w:r>
        <w:t xml:space="preserve">Обновлено: 20.12.2019</w:t>
      </w:r>
    </w:p>
    <w:p>
      <w:pPr>
        <w:pStyle w:val="BodyText"/>
      </w:pPr>
      <w:r>
        <w:t xml:space="preserve">В соответствии с пунктом 4.1 Положения № 511-П в расчет величины товарного риска включаются товары, обращающиеся на организованном рынке. В случае если на протяжении длительного времени по товару не осуществлялись сделки купли-продажи, но товар не исключен из перечня допущенных к торгам, то позиция в данном товаре подлежит включению в расчет товарного риска с учетом анализа фактора низкой ликвидности рынка, отражаемой в дополнительном оценочном снижении справедливой стоимости товара, установленном пунктом 1.8 Положения № 511-П.</w:t>
      </w:r>
    </w:p>
    <w:p>
      <w:pPr>
        <w:pStyle w:val="BodyText"/>
      </w:pPr>
      <w:r>
        <w:t xml:space="preserve">Должны ли все товары, принятые кредитной организацией в залог и имеющие однородные товары, обращающиеся на организованном рынке, оцениваться (переоцениваться) кредитной организацией по справедливой стоимости и включаться в расчет товарного риска?</w:t>
      </w:r>
    </w:p>
    <w:p>
      <w:pPr>
        <w:pStyle w:val="BodyText"/>
      </w:pPr>
      <w:r>
        <w:t xml:space="preserve">Обновлено: 20.12.2019</w:t>
      </w:r>
    </w:p>
    <w:p>
      <w:pPr>
        <w:pStyle w:val="BodyText"/>
      </w:pPr>
      <w:r>
        <w:t xml:space="preserve">В расчет величины товарного риска в соответствии с Положением № 511-П включаются все товары в залоге, обращающиеся на организованном рынке, то есть товары, полностью соответствующие спецификации, установленной организаторами торгов, в том числе с учетом сорта, марки, категории товара и т.п. Указанные товары в залоге подлежат включению в расчет величины товарного риска по справедливой стоимости за вычетом величины дополнительного оценочного снижения их справедливой стоимости, установленного пунктом 1.8 Положения № 511-П (если применимо).</w:t>
      </w:r>
    </w:p>
    <w:p>
      <w:pPr>
        <w:pStyle w:val="BodyText"/>
      </w:pPr>
      <w:r>
        <w:t xml:space="preserve">Подлежат ли включению в расчет величины товарного риска принятые в залог ценные бумаги?</w:t>
      </w:r>
    </w:p>
    <w:p>
      <w:pPr>
        <w:pStyle w:val="BodyText"/>
      </w:pPr>
      <w:r>
        <w:t xml:space="preserve">Обновлено: 20.12.2019</w:t>
      </w:r>
    </w:p>
    <w:p>
      <w:pPr>
        <w:pStyle w:val="BodyText"/>
      </w:pPr>
      <w:r>
        <w:t xml:space="preserve">Ценные бумаги, принятые в залог, не подлежат включению в расчет величины товарного риска.</w:t>
      </w:r>
    </w:p>
    <w:p>
      <w:pPr>
        <w:pStyle w:val="BodyText"/>
      </w:pPr>
      <w:r>
        <w:t xml:space="preserve">Какую стоимость в целях расчета товарного риска следует использовать кредитной организации, в случае если на организованном рынке одновременно обращаются несколько фьючерсных контрактов с разными датами исполнения или если одновременно обращаются поставочные и беспоставочные контракты?</w:t>
      </w:r>
    </w:p>
    <w:p>
      <w:pPr>
        <w:pStyle w:val="BodyText"/>
      </w:pPr>
      <w:r>
        <w:t xml:space="preserve">Обновлено: 20.12.2019</w:t>
      </w:r>
    </w:p>
    <w:p>
      <w:pPr>
        <w:pStyle w:val="BodyText"/>
      </w:pPr>
      <w:r>
        <w:t xml:space="preserve">В расчет рыночного риска позиции по товару включаются не по расчетной цене ПФИ на указанный товар, а по справедливой стоимости товара при реализации на спот-рынке. Справедливая стоимость товара определяется в соответствии с учетной политикой и (или) внутренними документами кредитной организации с учетом пункта 1.8 Положения № 511-П об оценке и при необходимости корректировке справедливой стоимости товара (в том числе рыночной цены товара) с учетом факторов, влияющих на стоимость, по которой кредитная организация может реализовать указанный товар на спот-рынке. При этом согласно ответу на вопрос 5.2 в случае обращения товара на нескольких спот-рынках, справедливая стоимость товара должна определяться на основе цены на рынке, на котором кредитная организация планирует реализовать товар.</w:t>
      </w:r>
    </w:p>
    <w:p>
      <w:pPr>
        <w:pStyle w:val="BodyText"/>
      </w:pPr>
      <w:r>
        <w:t xml:space="preserve">Является ли наличие торгов расчетным (беспоставочным) контрактом, базисным активом которого является товар, основанием для включения указанного товара в расчет рыночного риска?</w:t>
      </w:r>
    </w:p>
    <w:p>
      <w:pPr>
        <w:pStyle w:val="BodyText"/>
      </w:pPr>
      <w:r>
        <w:t xml:space="preserve">Обновлено: 20.12.2019</w:t>
      </w:r>
    </w:p>
    <w:p>
      <w:pPr>
        <w:pStyle w:val="BodyText"/>
      </w:pPr>
      <w:r>
        <w:t xml:space="preserve">Пункты 1.1 и 4.1 Положения № 511-П устанавливают, что в расчет товарного риска включаются товары, обращающиеся на организованном рынке. При этом требования к параметрам обращения не устанавливаются. С учетом сказанного, наличие организованных торгов расчетными контрактами с соответствующим товаром в качестве базисного (базового) актива является основанием для включения позиций в соответствующих товарах в расчет величины товарного риска.</w:t>
      </w:r>
    </w:p>
    <w:p>
      <w:pPr>
        <w:pStyle w:val="BodyText"/>
      </w:pPr>
      <w:r>
        <w:t xml:space="preserve">В случае, если количество принятого банком в залог товара в натуральном выражении не равно минимальному лоту или кратным ему значениям, следует ли банку включать в расчет товарного риска только то количество товара, которое равно минимальному лоту или кратным ему значениям?</w:t>
      </w:r>
    </w:p>
    <w:p>
      <w:pPr>
        <w:pStyle w:val="BodyText"/>
      </w:pPr>
      <w:r>
        <w:t xml:space="preserve">Обновлено: 20.12.2019</w:t>
      </w:r>
    </w:p>
    <w:p>
      <w:pPr>
        <w:pStyle w:val="BodyText"/>
      </w:pPr>
      <w:r>
        <w:t xml:space="preserve">Товары, соответствующие требованиям Положения № 511-П, включаются в расчет величины товарного риска вне зависимости от размера лота торгуемых на организованном рынке контрактов. При этом в соответствии с пунктом 1.8 позиции по товарам подлежат оценке и, при необходимости, корректировке справедливой стоимости с учетом всех характеристик рынка данного товара (в т. ч. объемов), влияющих на цену, по которой он может быть реализован на спот-рынке, в том числе с учетом затрат, связанных с реализацией товара на организованном рынке.</w:t>
      </w:r>
    </w:p>
    <w:p>
      <w:pPr>
        <w:pStyle w:val="BodyText"/>
      </w:pPr>
      <w:r>
        <w:t xml:space="preserve">Возможно ли кредитной организации рассматривать в качестве критерия для включения товара в расчет величины товарного риска полное соответствие характеристик принятого в залог товара требованиям, указанным в спецификации торгуемого на бирже контракта на поставку рассматриваемого товара (в том числе таким требованиям, как ГОСТ; сорт/марка/категория)?</w:t>
      </w:r>
    </w:p>
    <w:p>
      <w:pPr>
        <w:pStyle w:val="BodyText"/>
      </w:pPr>
      <w:r>
        <w:t xml:space="preserve">Обновлено: 20.12.2019</w:t>
      </w:r>
    </w:p>
    <w:p>
      <w:pPr>
        <w:pStyle w:val="BodyText"/>
      </w:pPr>
      <w:r>
        <w:t xml:space="preserve">В расчет величины товарного риска в соответствии с Положением № 511-П включаются товары, обращающиеся на организованном рынке, то есть товары, полностью соответствующие спецификации, установленной организаторами торгов, в том числе с учетом сорта, марки, категории товара и т. п. При этом размер минимального лота торгуемого на организованном рынке товара при определении перечня товаров, подлежащих включению в расчет величины товарного риска, не учитывается.</w:t>
      </w:r>
    </w:p>
    <w:p>
      <w:pPr>
        <w:pStyle w:val="BodyText"/>
      </w:pPr>
      <w:r>
        <w:t xml:space="preserve">Имеется ли конкретный перечень товаров, по которым, в случае если они находятся в залоге у кредитной организации, нужно осуществлять расчет величины товарного риска?</w:t>
      </w:r>
    </w:p>
    <w:p>
      <w:pPr>
        <w:pStyle w:val="BodyText"/>
      </w:pPr>
      <w:r>
        <w:t xml:space="preserve">Обновлено: 20.12.2019</w:t>
      </w:r>
    </w:p>
    <w:p>
      <w:pPr>
        <w:pStyle w:val="BodyText"/>
      </w:pPr>
      <w:r>
        <w:t xml:space="preserve">В настоящее время публикация перечня товаров, в отношении которых рассчитывается величина товарного риска, не планируется. Кредитная организация самостоятельно определяет перечень товаров, в том числе полученных в залог, подлежащих включению в расчет величины товарного риска с учетом требований Положения № 511-П об их обращении на организованном рынке.</w:t>
      </w:r>
    </w:p>
    <w:p>
      <w:pPr>
        <w:pStyle w:val="BodyText"/>
      </w:pPr>
      <w:r>
        <w:t xml:space="preserve">Возможно ли исключение из расчета величины товарного риска товаров, обращающихся на организованном рынке, в случае отсутствия у кредитной организации доступа к нему?</w:t>
      </w:r>
    </w:p>
    <w:p>
      <w:pPr>
        <w:pStyle w:val="BodyText"/>
      </w:pPr>
      <w:r>
        <w:t xml:space="preserve">Обновлено: 20.12.2019</w:t>
      </w:r>
    </w:p>
    <w:p>
      <w:pPr>
        <w:pStyle w:val="BodyText"/>
      </w:pPr>
      <w:r>
        <w:t xml:space="preserve">Нет. В соответствии с пунктом 4.1 Положения № 511-П в расчет величины товарного риска включаются товары, обращающиеся на организованном рынке, при этом ограничение перечня организаторов торговли Положением № 511-П не предусмотрено. В расчет величины товарного риска включаются товары, обращающиеся на российских и (или) зарубежных биржах вне зависимости от наличия или отсутствия у кредитной организации доступа к соответствующей бирже на дату расчета рыночного риска. Критерий обращаемости товара на организованном рынке при определении круга товаров, включаемых в расчет рыночного риска, не подразумевает того факта, что товар будет реализован кредитной организацией исключительно на данной бирже. В целях оценки справедливой стоимости товара целесообразно рассматривать в первую очередь рынок, на котором кредитная организация планирует реализовать товар, с учетом дополнительных затрат, связанных с получением доступа к потенциальному рынку и непосредственно с реализацией товара (в т. ч. затрат на транспортировку, оплаты услуг посредников, включая услуги брокера, услуги по накоплению имеющегося количества товара до минимального лота торгуемого на бирже контракта на поставку рассматриваемого товара в случае, если реализация товара будет осуществляться на организованном рынке, и т.д.).</w:t>
      </w:r>
    </w:p>
    <w:p>
      <w:pPr>
        <w:pStyle w:val="BodyText"/>
      </w:pPr>
      <w:r>
        <w:t xml:space="preserve">Какой рынок в целях расчета величины товарного риска следует считать организованным?</w:t>
      </w:r>
    </w:p>
    <w:p>
      <w:pPr>
        <w:pStyle w:val="BodyText"/>
      </w:pPr>
      <w:r>
        <w:t xml:space="preserve">Обновлено: 20.12.2019</w:t>
      </w:r>
    </w:p>
    <w:p>
      <w:pPr>
        <w:pStyle w:val="BodyText"/>
      </w:pPr>
      <w:r>
        <w:t xml:space="preserve">В целях расчета величины товарного риска организованный рынок используется в значении термина «организованные торги» статьи 2 Федерального закона от 21.11.2011 № 325-ФЗ «Об организованных торгах» или аналогичного требования в соответствии с законодательством иностранного государства, то есть в значении торгов, проводимых на регулярной основе по установленным правилам, предусматривающим порядок допуска лиц к участию в торгах для заключения ими договоров купли-продажи товаров и договоров, являющихся производными финансовыми инструментами, базисным (базовым) активом которых являются товары.</w:t>
      </w:r>
    </w:p>
    <w:p>
      <w:pPr>
        <w:pStyle w:val="BodyText"/>
      </w:pPr>
      <w:r>
        <w:t xml:space="preserve">Расчет рисков по опционам</w:t>
      </w:r>
    </w:p>
    <w:p>
      <w:pPr>
        <w:pStyle w:val="BodyText"/>
      </w:pPr>
      <w:r>
        <w:t xml:space="preserve">Каков порядок расчета величин гамма-риска и вега-риска для опционов на фьючерс на фондовый индекс?</w:t>
      </w:r>
    </w:p>
    <w:p>
      <w:pPr>
        <w:pStyle w:val="BodyText"/>
      </w:pPr>
      <w:r>
        <w:t xml:space="preserve">Обновлено: 20.12.2019</w:t>
      </w:r>
    </w:p>
    <w:p>
      <w:pPr>
        <w:pStyle w:val="BodyText"/>
      </w:pPr>
      <w:r>
        <w:t xml:space="preserve">Опцион на фьючерс на фондовый индекс включается в расчет величин гамма-риска и вега-риска аналогично соответствующему опциону на фондовый индекс (т.е. как позиция, рассчитываемая как произведение фактического значения индекса на дату расчета величины рыночного риска и стоимости его пункта, указанной в спецификации контракта, и умноженная на количество контрактов).</w:t>
      </w:r>
    </w:p>
    <w:p>
      <w:pPr>
        <w:pStyle w:val="BodyText"/>
      </w:pPr>
      <w:r>
        <w:t xml:space="preserve">Числовое значение коэффициента гамма должно быть представлено в денежных единицах. При этом если числовые значения коэффициента гамма и (или) коэффициента вега представлены не в денежных единицах, а в пунктах индекса, кредитная организация должна осуществить перерасчет числовых значений указанных коэффициентов в денежные единицы по следующим формулам:</w:t>
      </w:r>
    </w:p>
    <w:p>
      <w:pPr>
        <w:pStyle w:val="BodyText"/>
      </w:pPr>
      <w:r>
        <w:t xml:space="preserve">ГМ = ГI / С, 30</w:t>
      </w:r>
    </w:p>
    <w:p>
      <w:pPr>
        <w:pStyle w:val="BodyText"/>
      </w:pPr>
      <w:r>
        <w:t xml:space="preserve">ВМ = ВI * С,</w:t>
      </w:r>
    </w:p>
    <w:p>
      <w:pPr>
        <w:pStyle w:val="BodyText"/>
      </w:pPr>
      <w:r>
        <w:t xml:space="preserve">где:</w:t>
      </w:r>
    </w:p>
    <w:p>
      <w:pPr>
        <w:pStyle w:val="BodyText"/>
      </w:pPr>
      <w:r>
        <w:t xml:space="preserve">ГМ — значение коэффициента гамма в денежных единицах;</w:t>
      </w:r>
    </w:p>
    <w:p>
      <w:pPr>
        <w:pStyle w:val="BodyText"/>
      </w:pPr>
      <w:r>
        <w:t xml:space="preserve">ГI — значение коэффициента гамма в пунктах индекса;</w:t>
      </w:r>
    </w:p>
    <w:p>
      <w:pPr>
        <w:pStyle w:val="BodyText"/>
      </w:pPr>
      <w:r>
        <w:t xml:space="preserve">ВМ — значение коэффициента вега в денежных единицах;</w:t>
      </w:r>
    </w:p>
    <w:p>
      <w:pPr>
        <w:pStyle w:val="BodyText"/>
      </w:pPr>
      <w:r>
        <w:t xml:space="preserve">ВI — значение коэффициента вега в пунктах индекса;</w:t>
      </w:r>
    </w:p>
    <w:p>
      <w:pPr>
        <w:pStyle w:val="BodyText"/>
      </w:pPr>
      <w:r>
        <w:t xml:space="preserve">С — стоимость пункта индекса в денежных единицах;</w:t>
      </w:r>
    </w:p>
    <w:p>
      <w:pPr>
        <w:pStyle w:val="BodyText"/>
      </w:pPr>
      <w:r>
        <w:t xml:space="preserve">Пример. Рассмотрим проданный опцион на покупку фьючерса (short call option) на индекс S&amp;P 500 со следующими параметрами (рассматривается один контракт):</w:t>
      </w:r>
    </w:p>
    <w:p>
      <w:pPr>
        <w:pStyle w:val="BodyText"/>
      </w:pPr>
      <w:r>
        <w:t xml:space="preserve">значение индекса S&amp;P 500 — 2040;</w:t>
      </w:r>
    </w:p>
    <w:p>
      <w:pPr>
        <w:pStyle w:val="BodyText"/>
      </w:pPr>
      <w:r>
        <w:t xml:space="preserve">цена исполнения опциона — 2750;</w:t>
      </w:r>
    </w:p>
    <w:p>
      <w:pPr>
        <w:pStyle w:val="BodyText"/>
      </w:pPr>
      <w:r>
        <w:t xml:space="preserve">расчетная цена фьючерса — 2100;</w:t>
      </w:r>
    </w:p>
    <w:p>
      <w:pPr>
        <w:pStyle w:val="BodyText"/>
      </w:pPr>
      <w:r>
        <w:t xml:space="preserve">стоимость 1 пункта индекса S&amp;P 500 согласно спецификации опционного договора — 50 долл. США;</w:t>
      </w:r>
    </w:p>
    <w:p>
      <w:pPr>
        <w:pStyle w:val="BodyText"/>
      </w:pPr>
      <w:r>
        <w:t xml:space="preserve">вмененная волатильность фьючерса — 18%.</w:t>
      </w:r>
    </w:p>
    <w:p>
      <w:pPr>
        <w:pStyle w:val="BodyText"/>
      </w:pPr>
      <w:r>
        <w:t xml:space="preserve">Поскольку текущее значение расчетной цены фьючерса ниже цены исполнения опциона, значение коэффициента дельта в соответствии с Инструкцией № 124-И принимается равным 0, в этом случае величина дельта — эквивалента опциона равна 0.</w:t>
      </w:r>
    </w:p>
    <w:p>
      <w:pPr>
        <w:pStyle w:val="BodyText"/>
      </w:pPr>
      <w:r>
        <w:t xml:space="preserve">Числовые значения коэффициентов гамма и вега (по модулю), раскрытые организатором торгов, составляют 0,0059 и 1,2046 (представлены в пунктах индекса S&amp;P 500).</w:t>
      </w:r>
    </w:p>
    <w:p>
      <w:pPr>
        <w:pStyle w:val="BodyText"/>
      </w:pPr>
      <w:r>
        <w:t xml:space="preserve">Таким образом, значения коэффициентов гамма и вега (по модулю) в денежных единицах (в долл. США) составляют:</w:t>
      </w:r>
    </w:p>
    <w:p>
      <w:pPr>
        <w:pStyle w:val="BodyText"/>
      </w:pPr>
      <w:r>
        <w:t xml:space="preserve">ГМ = 0,0059 / 50 = 1,18·10-4;</w:t>
      </w:r>
    </w:p>
    <w:p>
      <w:pPr>
        <w:pStyle w:val="BodyText"/>
      </w:pPr>
      <w:r>
        <w:t xml:space="preserve">ВМ = 1,2046 * 50 = 60,23.</w:t>
      </w:r>
    </w:p>
    <w:p>
      <w:pPr>
        <w:pStyle w:val="BodyText"/>
      </w:pPr>
      <w:r>
        <w:t xml:space="preserve">Величина чистой позиции для расчета специального и общего фондового рисков, общего процентного риска и валютного риска составляет 0 долл. США, так как величина дельта — эквивалента опциона равна 0.</w:t>
      </w:r>
    </w:p>
    <w:p>
      <w:pPr>
        <w:pStyle w:val="BodyText"/>
      </w:pPr>
      <w:r>
        <w:t xml:space="preserve">Величина ИБА = 2040 * 50 долл. * 1 контракт * 8% = 8160 долл. США;</w:t>
      </w:r>
    </w:p>
    <w:p>
      <w:pPr>
        <w:pStyle w:val="BodyText"/>
      </w:pPr>
      <w:r>
        <w:t xml:space="preserve">Гамма-риск (в составе фондового риска) = ½ * 1,18·10-4 * 81602 = 3 928,5504 долл. США;</w:t>
      </w:r>
    </w:p>
    <w:p>
      <w:pPr>
        <w:pStyle w:val="BodyText"/>
      </w:pPr>
      <w:r>
        <w:t xml:space="preserve">Вега-риск (в составе фондового риска) = 60,23 * 0,25 * 18 = 271,035 долл. США.</w:t>
      </w:r>
    </w:p>
    <w:p>
      <w:pPr>
        <w:pStyle w:val="BodyText"/>
      </w:pPr>
      <w:r>
        <w:t xml:space="preserve">Совокупный риск по опциону = 3 928,5504 + 271,035 = 4 199,5854 долл. США.</w:t>
      </w:r>
    </w:p>
    <w:p>
      <w:pPr>
        <w:pStyle w:val="BodyText"/>
      </w:pPr>
      <w:r>
        <w:t xml:space="preserve">Необходимо ли осуществлять расчет величины гамма-риска и вега-риска в случае, когда коэффициент дельта, определенный согласно п. 1.8 Инструкции № 124-И, равен нулю?</w:t>
      </w:r>
    </w:p>
    <w:p>
      <w:pPr>
        <w:pStyle w:val="BodyText"/>
      </w:pPr>
      <w:r>
        <w:t xml:space="preserve">Обновлено: 20.12.2019</w:t>
      </w:r>
    </w:p>
    <w:p>
      <w:pPr>
        <w:pStyle w:val="BodyText"/>
      </w:pPr>
      <w:r>
        <w:t xml:space="preserve">В соответствии с пунктом 1.7 Положения № 511-П расчет величин гамма-риска и вега-риска осуществляется для каждого опциона, т.е. вне зависимости от числового значения коэффициента дельта, определенного согласно п. 1.8 Инструкции № 124-И, соответствующего опциона. Включение в расчет рыночного риска по опционам гамма-риска и вега-риска обеспечивает покрытие капиталом потерь вследствие изменения стоимости опциона в результате: изменения коэффициента дельта при изменении стоимости базисного (базового) актива (в части гамма-риска) и изменения волатильности стоимости базисного (базового) актива (в части вега-риска).</w:t>
      </w:r>
    </w:p>
    <w:p>
      <w:pPr>
        <w:pStyle w:val="BodyText"/>
      </w:pPr>
      <w:r>
        <w:t xml:space="preserve">В случае если опцион подвержен нескольким факторам различных видов рыночного риска, необходимо ли рассчитывать гамма-риск и вега-риск отдельно для каждого вида риска?</w:t>
      </w:r>
    </w:p>
    <w:p>
      <w:pPr>
        <w:pStyle w:val="BodyText"/>
      </w:pPr>
      <w:r>
        <w:t xml:space="preserve">Обновлено: 20.12.2019</w:t>
      </w:r>
    </w:p>
    <w:p>
      <w:pPr>
        <w:pStyle w:val="BodyText"/>
      </w:pPr>
      <w:r>
        <w:t xml:space="preserve">Величины гамма-риска и вега-риска по опционам, подверженным различным факторам рыночного риска, подлежат включению в расчет рыночного риска только один раз в зависимости от вида базисного (базового) актива. Например, по опциону на облигацию, номинированную в долл. США, величины гамма-риска и вега-риска рассчитывается в рамках процентного риска.</w:t>
      </w:r>
    </w:p>
    <w:p>
      <w:pPr>
        <w:pStyle w:val="BodyText"/>
      </w:pPr>
      <w:r>
        <w:t xml:space="preserve">В случае если справедливая стоимость опциона для целей бухгалтерского учета определяется с использованием модели оценки, возможно ли при расчете величины рыночного риска использование иных моделей определения справедливой стоимости опционов для расчета коэффициентов гамма и вега?</w:t>
      </w:r>
    </w:p>
    <w:p>
      <w:pPr>
        <w:pStyle w:val="BodyText"/>
      </w:pPr>
      <w:r>
        <w:t xml:space="preserve">Обновлено: 20.12.2019</w:t>
      </w:r>
    </w:p>
    <w:p>
      <w:pPr>
        <w:pStyle w:val="BodyText"/>
      </w:pPr>
      <w:r>
        <w:t xml:space="preserve">Нет. В случае использования моделей количественной оценки справедливой стоимости опционов в целях бухгалтерского учета расчет коэффициентов гамма и вега должен осуществляться с использованием данных моделей.</w:t>
      </w:r>
    </w:p>
    <w:p>
      <w:pPr>
        <w:pStyle w:val="BodyText"/>
      </w:pPr>
      <w:r>
        <w:t xml:space="preserve">Каков порядок включения в расчет рыночного риска опционов на фьючерс на фондовый индекс?</w:t>
      </w:r>
    </w:p>
    <w:p>
      <w:pPr>
        <w:pStyle w:val="BodyText"/>
      </w:pPr>
      <w:r>
        <w:t xml:space="preserve">Обновлено: 20.12.2019</w:t>
      </w:r>
    </w:p>
    <w:p>
      <w:pPr>
        <w:pStyle w:val="BodyText"/>
      </w:pPr>
      <w:r>
        <w:t xml:space="preserve">Опцион на фьючерс на фондовый индекс включается в расчет фондового риска как позиция по индексу (т.е. позиция, рассчитываемая как произведение фактического значения индекса на дату расчета величины рыночного риска и стоимости его пункта, указанной в спецификации контракта, и умноженная на количество контрактов) с учетом коэффициента дельта. Порядок определения значения индекса, используемого при расчете фондового риска, должен соответствовать порядку определения значения индекса при исполнении фьючерсного контракта согласно его спецификации (например, в случае фьючерса на индекс РТС — как среднее значение индекса за установленный период времени).</w:t>
      </w:r>
    </w:p>
    <w:p>
      <w:pPr>
        <w:pStyle w:val="BodyText"/>
      </w:pPr>
      <w:r>
        <w:t xml:space="preserve">Требования или обязательства по поставке денежных средств по рассматриваемому опциону (с учетом коэффициента дельта) включаются в расчет ОПР с распределением во временной интервал по сроку до истечения (исполнения) опциона.</w:t>
      </w:r>
    </w:p>
    <w:p>
      <w:pPr>
        <w:pStyle w:val="BodyText"/>
      </w:pPr>
      <w:r>
        <w:t xml:space="preserve">Коэффициент дельта определяется в зависимости от изменения рыночной (расчетной) цены фьючерса, являющегося базисным (базовым) активом опциона, в соответствии с порядком определения коэффициента дельта в Инструкции № 124-И.</w:t>
      </w:r>
    </w:p>
    <w:p>
      <w:pPr>
        <w:pStyle w:val="BodyText"/>
      </w:pPr>
      <w:r>
        <w:t xml:space="preserve">Расчет и структура высоколиквидных активов</w:t>
      </w:r>
    </w:p>
    <w:p>
      <w:pPr>
        <w:pStyle w:val="BodyText"/>
      </w:pPr>
      <w:r>
        <w:t xml:space="preserve">Какие сделки следует учитывать при расчете величины скорректированных показателей ВЛА (ВЛА-1 скорр, ВЛА-2А скорр и ВЛА-2Б скорр) в соответствии с пунктами 2.11 и 2.12 Положения № 421-П?</w:t>
      </w:r>
    </w:p>
    <w:p>
      <w:pPr>
        <w:pStyle w:val="BodyText"/>
      </w:pPr>
      <w:r>
        <w:t xml:space="preserve">Обновлено: 24.03.2020</w:t>
      </w:r>
    </w:p>
    <w:p>
      <w:pPr>
        <w:pStyle w:val="BodyText"/>
      </w:pPr>
      <w:r>
        <w:t xml:space="preserve">В соответствии с пунктами 2.11 и 2.12 Положения № 421-П при расчете скорректированной величины ВЛА учитываются только договоры (сделки), при исполнении которых происходит замещение активов, включенных в один из уровней ВЛА, активами, соответствующими тому же или другому уровню ВЛА (например, кредиты под обеспечение активами, свопы ценных бумаг (обеспечения), репо при определенных условиях). ВЛА, получаемые в результате исполнения договора,</w:t>
      </w:r>
    </w:p>
    <w:p>
      <w:pPr>
        <w:pStyle w:val="BodyText"/>
      </w:pPr>
      <w:r>
        <w:t xml:space="preserve">включаются в расчет скорректированной величины ВЛА с учетом соответствующего им коэффициента дисконта.</w:t>
      </w:r>
    </w:p>
    <w:p>
      <w:pPr>
        <w:pStyle w:val="BodyText"/>
      </w:pPr>
      <w:r>
        <w:t xml:space="preserve">Так, договоры (сделки), в результате которых происходит движение денежных средств по корреспондентскому счету банка, открытому в другой кредитной организации, не учитываются при расчете ВЛА-1 скорр. При этом сделку прямого репо с Банком России, в результате исполнения первой части которой денежные средства, поступившие на корреспондентский счет, открытый в другой кредитной организации, в полном объеме перечисляются на корреспондентский счет банка в Банке России и исполнение второй части сделки репо также будет осуществляться за счет средств на корреспондентском счете банка в Банке России (т.е. счет НОСТРО используется в качестве «транзитного» счета), следует учитывать при расчете скорректированной величины ВЛА.</w:t>
      </w:r>
    </w:p>
    <w:p>
      <w:pPr>
        <w:pStyle w:val="BodyText"/>
      </w:pPr>
      <w:r>
        <w:t xml:space="preserve">Каким образом включаются в расчет показателя краткосрочной ликвидности сделки репо?</w:t>
      </w:r>
    </w:p>
    <w:p>
      <w:pPr>
        <w:pStyle w:val="BodyText"/>
      </w:pPr>
      <w:r>
        <w:t xml:space="preserve">Обновлено: 24.03.2020</w:t>
      </w:r>
    </w:p>
    <w:p>
      <w:pPr>
        <w:pStyle w:val="BodyText"/>
      </w:pPr>
      <w:r>
        <w:t xml:space="preserve">Прямое репо.</w:t>
      </w:r>
    </w:p>
    <w:p>
      <w:pPr>
        <w:pStyle w:val="BodyText"/>
      </w:pPr>
      <w:r>
        <w:t xml:space="preserve">В соответствии с подпунктом 2.1.2 пункта 2.1 Положения Банка России от 30.05.2014 № 421-П «О порядке расчета показателя краткосрочной ликвидности („Базель III“)» (далее — Положение № 421-П) ценные бумаги, переданные банком без прекращения признания по договорам репо, не включаются в расчет высоколиквидных активов (далее — ВЛА).</w:t>
      </w:r>
    </w:p>
    <w:p>
      <w:pPr>
        <w:pStyle w:val="BodyText"/>
      </w:pPr>
      <w:r>
        <w:t xml:space="preserve">При расчете ожидаемого оттока денежных средств, привлеченных по операциям репо, применяются коэффициенты оттока денежных средств в зависимости от обеспечения и (или) типа контрагента по сделке в соответствии с классификацией, установленной подпунктом 3.4.5 пункта 3.4 или подпунктом 3.5.24 пункта 3.5 Положения</w:t>
      </w:r>
    </w:p>
    <w:p>
      <w:pPr>
        <w:pStyle w:val="BodyText"/>
      </w:pPr>
      <w:r>
        <w:t xml:space="preserve">№ 421-П.</w:t>
      </w:r>
    </w:p>
    <w:p>
      <w:pPr>
        <w:pStyle w:val="BodyText"/>
      </w:pPr>
      <w:r>
        <w:t xml:space="preserve">Обратное репо.</w:t>
      </w:r>
    </w:p>
    <w:p>
      <w:pPr>
        <w:pStyle w:val="BodyText"/>
      </w:pPr>
      <w:r>
        <w:t xml:space="preserve">Ценные бумаги, полученные по операциям обратного репо, при соответствии критериям, установленным Главой 2 Положения № 421-П, в соответствии с подпунктом</w:t>
      </w:r>
    </w:p>
    <w:p>
      <w:pPr>
        <w:pStyle w:val="BodyText"/>
      </w:pPr>
      <w:r>
        <w:t xml:space="preserve">пункта 1 Положения № 421-П включаются в расчет ВЛА вне зависимости от срока, оставшегося до исполнения второй части сделки, в случае отсутствия ограничений прав банка по их продаже и (или) передаче, в том числе по договору прямого репо. Исключение составляют только удовлетворяющие критериям ВЛА ценные бумаги, полученные в результате совершения «цепочки» сделок репо, по которым имеется возможность требования об их досрочном возврате со стороны первоначального продавца или собственника в течение ближайших 30 календарных дней с даты расчета показателя краткосрочной ликвидности (далее — ПКЛ). Данное исключение применимо и к случаям получения ценных бумаг по операциям обратного репо, если сделка репо единичная.</w:t>
      </w:r>
    </w:p>
    <w:p>
      <w:pPr>
        <w:pStyle w:val="BodyText"/>
      </w:pPr>
      <w:r>
        <w:t xml:space="preserve">При расчете ожидаемого притока денежных средств, размещенных по операциям обратного репо, применяются коэффициенты притока в зависимости от вида полученного обеспечения, установленные пунктом 4.4 Положения № 421-П. При этом в расчет притоков денежных средств не включаются требования банка по обратному репо в случае открытия собственных коротких позиций (т.е. если полученные ценные бумаги были проданы или переданы на срок, превышающий срок первоначальной операции, или переданы по сделкам, по которым имело место неисполнение контрагентом своих обязательств по обратной поставке, при условии отсутствия необремененных вложений в указанные ценные бумаги).</w:t>
      </w:r>
    </w:p>
    <w:p>
      <w:pPr>
        <w:pStyle w:val="BodyText"/>
      </w:pPr>
      <w:r>
        <w:t xml:space="preserve">Какие расходы кредитной организации относятся к расходам, связанным с обеспечением деятельности банка, для целей подпункта 2.1.2 пункта 2.1 Положения № 421-П?</w:t>
      </w:r>
    </w:p>
    <w:p>
      <w:pPr>
        <w:pStyle w:val="BodyText"/>
      </w:pPr>
      <w:r>
        <w:t xml:space="preserve">Обновлено: 24.03.2020</w:t>
      </w:r>
    </w:p>
    <w:p>
      <w:pPr>
        <w:pStyle w:val="BodyText"/>
      </w:pPr>
      <w:r>
        <w:t xml:space="preserve">В целях Положения № 421-П к расходам, связанным с обеспечением деятельности банка, которые корректируют ВЛА в соответствии с подпунктом 2.1.2 пункта 2.1 Положения № 421-П, относятся расходы, являющиеся таковыми в соответствии с Положением Банка России от 22.12.2014 № 446-П «О порядке определения доходов, расходов и прочего совокупного дохода кредитных организаций». При расчете ВЛА вышеуказанные расходы уменьшают величину того актива, за счет которого производится их покрытие.</w:t>
      </w:r>
    </w:p>
    <w:p>
      <w:pPr>
        <w:pStyle w:val="BodyText"/>
      </w:pPr>
      <w:r>
        <w:t xml:space="preserve">Так, в случае если данные расходы будут осуществляться за счет денежных средств на корреспондентском счете в Банке России в его полной сумме по состоянию на дату расчета ПКЛ, то остатки денежных средств на корреспондентском счете в Банке России в расчет ВЛА не включаются. Если в ходе своей операционной деятельности банк осуществляет часть запланированных расходов на обеспечение деятельности сверх доступной суммы средств на корреспондентском счете в Банке России за счет других активов, входящих в состав ВЛА, то данные ВЛА также не будут включаться в расчет ПКЛ в зарезервированной под указанные расходы части.</w:t>
      </w:r>
    </w:p>
    <w:p>
      <w:pPr>
        <w:pStyle w:val="BodyText"/>
      </w:pPr>
      <w:r>
        <w:t xml:space="preserve">Если рассматриваемые расходы осуществляются не за счет активов, включенных в ВЛА, уменьшение числителя ПКЛ на данные расходы не проводится.</w:t>
      </w:r>
    </w:p>
    <w:p>
      <w:pPr>
        <w:pStyle w:val="BodyText"/>
      </w:pPr>
      <w:r>
        <w:t xml:space="preserve">Подлежат ли исключению из расчета высоколиквидных активов денежные средства на корреспондентском счете в Банке России, необходимые для выполнения обязанности по усреднению обязательных резервов?</w:t>
      </w:r>
    </w:p>
    <w:p>
      <w:pPr>
        <w:pStyle w:val="BodyText"/>
      </w:pPr>
      <w:r>
        <w:t xml:space="preserve">Обновлено: 24.03.2020</w:t>
      </w:r>
    </w:p>
    <w:p>
      <w:pPr>
        <w:pStyle w:val="BodyText"/>
      </w:pPr>
      <w:r>
        <w:t xml:space="preserve">В соответствии с подпунктом 2.1.2 пункта 2.1 Положения № 421-П в отношении активов, включаемых в расчет ВЛА, не должно быть каких-либо ограничений на возможность банка по их использованию в целях покрытия оттоков денежных средств или привлечения денежных средств, в том числе в связи с соблюдением требований, вытекающих из иных нормативных актов Банка России. В случае если банку предоставлено право на усреднение обязательных резервов в соответствии с Положением Банка России от 01.12.2015 № 507-П «Об обязательных резервах кредитных организаций», в целях Положения № 421-П на дату расчета ПКЛ под необремененным понимается остаток денежных средств на корреспондентском счете в Банке России в части, в которой он может быть использован банком без риска нарушения требований Банка России по соблюдению обязательных резервов в текущем периоде усреднения. Например, в случае если на дату расчета ПКЛ требование по усреднению недовыполнено, но при этом использование банком средств, имеющихся на корреспондентском счете в Банке России, не приведет к невыполнению требования по усреднению обязательных резервов в текущем периоде усреднения, остаток средств на корреспондентском счете в Банке России в полном объеме признается необремененным и может быть включен в расчет ВЛА.</w:t>
      </w:r>
    </w:p>
    <w:p>
      <w:pPr>
        <w:pStyle w:val="BodyText"/>
      </w:pPr>
      <w:r>
        <w:t xml:space="preserve">Какие организации относятся к финансовым организациям? Относятся ли к финансовым организациям SPV, осуществляющие эмиссию ценных бумаг (еврооблигаций) в интересах компании — резидента Российской Федерации?</w:t>
      </w:r>
    </w:p>
    <w:p>
      <w:pPr>
        <w:pStyle w:val="BodyText"/>
      </w:pPr>
      <w:r>
        <w:t xml:space="preserve">Обновлено: 24.03.2020</w:t>
      </w:r>
    </w:p>
    <w:p>
      <w:pPr>
        <w:pStyle w:val="BodyText"/>
      </w:pPr>
      <w:r>
        <w:t xml:space="preserve">В соответствии с пунктом 2.2. Положения № 421-П под финансовыми организациями понимаются организации, определенные в качестве таковых в соответствии с пунктом 6 статьи 4 Федерального закона от 26.07.2006 № 135-ФЗ «О защите конкуренции». С учетом того, что перечень финансовых организаций не является закрытым, при отнесении организации к финансовым дополнительно рекомендуется использовать коды классификации, предусмотренные ОКВЭД (или ОКВЭД2).</w:t>
      </w:r>
    </w:p>
    <w:p>
      <w:pPr>
        <w:pStyle w:val="BodyText"/>
      </w:pPr>
      <w:r>
        <w:t xml:space="preserve">В целях расчета ПКЛ специализированные финансовые общества (special purpose vehicle — SPV), которые осуществляют эмиссию еврооблигаций, рассматриваются как финансовые организации, поскольку осуществляемая ими экономическая деятельность по эмиссии облигаций классифицируется как вспомогательная деятельность в сфере финансового посредничества (финансовых услуг) и страхования, что предусмотрено кодом 67.12.4 «Эмиссионная деятельность» ОКВЭД или кодом 66.12.3 «Деятельность эмиссионная» ОКВЭД2 (если организация осуществила досрочный переход). В связи с</w:t>
      </w:r>
    </w:p>
    <w:p>
      <w:pPr>
        <w:pStyle w:val="BodyText"/>
      </w:pPr>
      <w:r>
        <w:t xml:space="preserve">этим вложения в ценные бумаги (например, еврооблигации), эмитированные через SPV, не удовлетворяют условиям пункта 2.2 Положения № 421-П и в расчет высоколиквидных активов в настоящее время не включаются.</w:t>
      </w:r>
    </w:p>
    <w:p>
      <w:pPr>
        <w:pStyle w:val="BodyText"/>
      </w:pPr>
      <w:r>
        <w:t xml:space="preserve">Как определить показатель обесценения, если ценные бумаги были выпущены после окончания периода существенного кризиса ликвидности?</w:t>
      </w:r>
    </w:p>
    <w:p>
      <w:pPr>
        <w:pStyle w:val="BodyText"/>
      </w:pPr>
      <w:r>
        <w:t xml:space="preserve">Обновлено: 24.03.2020</w:t>
      </w:r>
    </w:p>
    <w:p>
      <w:pPr>
        <w:pStyle w:val="BodyText"/>
      </w:pPr>
      <w:r>
        <w:t xml:space="preserve">При включении активов в состав ВЛА в соответствии с пунктом 2.2 Положения № 421-П рекомендуется проводить оценку показателя обесценения не только за кризисные периоды на рынке, но и в иные периоды времени. Кроме того, в качестве кризисных периодов банк может дополнительно определить периоды времени после указанных в пункте 2.2 Положения № 421-П. В случае если ценные бумаги выпущены после окончания периода существенного кризиса ликвидности, показатель обесценения должен рассчитываться банком за фактический период их обращения, а также оцениваться потенциальное обесценение методами стресс-тестирования с учетом факторов, определяемых на основе исторических данных в указанные в пункте 2.2 Положения № 421-П периоды или иные кризисные периоды (в случае их большей существенности по сравнению с указанными в пункте 2.2 Положения № 421-П).</w:t>
      </w:r>
    </w:p>
    <w:p>
      <w:pPr>
        <w:pStyle w:val="BodyText"/>
      </w:pPr>
      <w:r>
        <w:t xml:space="preserve">Возможно ли включение в состав ВЛА требований по получению купонного платежа и (или) платежа в счет погашения основного долга, в случае если дата соответствующего платежа в соответствии проспектом эмиссии прошла, но средства еще фактически не поступили?</w:t>
      </w:r>
    </w:p>
    <w:p>
      <w:pPr>
        <w:pStyle w:val="BodyText"/>
      </w:pPr>
      <w:r>
        <w:t xml:space="preserve">Обновлено: 24.03.2020</w:t>
      </w:r>
    </w:p>
    <w:p>
      <w:pPr>
        <w:pStyle w:val="BodyText"/>
      </w:pPr>
      <w:r>
        <w:t xml:space="preserve">В соответствии с требованиями пункта 2.3 Положения № 421-П поступления по активам, входящим в состав ВЛА, не могут одновременно включаться в расчет величины ожидаемых притоков денежных средств, поскольку уже учтены при определении справедливой стоимости актива. В связи с тем, что в дату осуществления купонного платежа и (или) амортизации долговой ценной бумаги стоимость ценной бумаги снижается, так как соответствующий платеж перестает учитываться при определении справедливой стоимости рассматриваемой бумаги, то в случае если с даты выплаты купона / части основного долга согласно проспекту эмиссии ценной бумаги и до даты фактического получения денежных средств у владельцев ценных бумаг возникают требования по получению купонного платежа и (или) амортизации долговой ценной бумаги, указанные требования могут быть включены в расчет прочих ожидаемых притоков денежных средств в соответствии с пунктом 4.9 Положения № 421-П, в случае</w:t>
      </w:r>
    </w:p>
    <w:p>
      <w:pPr>
        <w:pStyle w:val="BodyText"/>
      </w:pPr>
      <w:r>
        <w:t xml:space="preserve">если они удовлетворяют требованиям пункта 4.1 Положения № 421-П, с коэффициентом ожидаемого притока 100%. Указанные требования не удовлетворяют критериям ВЛА в соответствии с Главой 2 Положения № 421-П, поэтому их включение в состав ВЛА не допускается.</w:t>
      </w:r>
    </w:p>
    <w:p>
      <w:pPr>
        <w:pStyle w:val="BodyText"/>
      </w:pPr>
      <w:r>
        <w:t xml:space="preserve">Подлежат ли включению в состав ВЛА денежные средства, размещенные в Банке России на условиях «овернайт», если день размещения предшествует выходным (праздничным) дням?</w:t>
      </w:r>
    </w:p>
    <w:p>
      <w:pPr>
        <w:pStyle w:val="BodyText"/>
      </w:pPr>
      <w:r>
        <w:t xml:space="preserve">Обновлено: 24.03.2020</w:t>
      </w:r>
    </w:p>
    <w:p>
      <w:pPr>
        <w:pStyle w:val="BodyText"/>
      </w:pPr>
      <w:r>
        <w:t xml:space="preserve">В соответствии с подпунктом 2.5.2 пункта 2.5 Положения № 421-П в расчет ВЛА включаются, в том числе, средства на депозитных счетах в Банке России с оставшимся сроком до погашения один день. При этом согласно пункту 1.2 Положения</w:t>
      </w:r>
    </w:p>
    <w:p>
      <w:pPr>
        <w:pStyle w:val="BodyText"/>
      </w:pPr>
      <w:r>
        <w:t xml:space="preserve">№ 421-П средства должны быть получены в течение ближайшего календарного дня. В связи с этим денежные средства, размещенные на депозите в Банке России на условиях</w:t>
      </w:r>
    </w:p>
    <w:p>
      <w:pPr>
        <w:pStyle w:val="BodyText"/>
      </w:pPr>
      <w:r>
        <w:t xml:space="preserve">«овернайт» в день, предшествующий выходным (праздничным) дням, не подлежат включению в состав ВЛА, поскольку срок возврата Банком России депозита составляет более одного календарного дня.</w:t>
      </w:r>
    </w:p>
    <w:p>
      <w:pPr>
        <w:pStyle w:val="BodyText"/>
      </w:pPr>
      <w:r>
        <w:t xml:space="preserve">Включаются ли в расчет ВЛА ценные бумаги, входящие в Ломбардный список Банка России?</w:t>
      </w:r>
    </w:p>
    <w:p>
      <w:pPr>
        <w:pStyle w:val="BodyText"/>
      </w:pPr>
      <w:r>
        <w:t xml:space="preserve">Обновлено: 24.03.2020</w:t>
      </w:r>
    </w:p>
    <w:p>
      <w:pPr>
        <w:pStyle w:val="BodyText"/>
      </w:pPr>
      <w:r>
        <w:t xml:space="preserve">В состав ВЛА включаются только ценные бумаги, удовлетворяющие условиям Главы 2 Положения № 421-П. Включение ценной бумаги в Ломбардный список Банка России в соответствии с Базелем III не является достаточным условием ее включения в расчет ВЛА.</w:t>
      </w:r>
    </w:p>
    <w:p>
      <w:pPr>
        <w:pStyle w:val="BodyText"/>
      </w:pPr>
      <w:r>
        <w:t xml:space="preserve">Расчет ожидаемых оттоков денежных средств</w:t>
      </w:r>
    </w:p>
    <w:p>
      <w:pPr>
        <w:pStyle w:val="BodyText"/>
      </w:pPr>
      <w:r>
        <w:t xml:space="preserve">Каким образом включаются в ожидаемые оттоки денежных средств проценты, подлежащие выплате по депозитам физических лиц, срок до даты окончания которых превышает 30 календарных дней с даты расчета ПКЛ?</w:t>
      </w:r>
    </w:p>
    <w:p>
      <w:pPr>
        <w:pStyle w:val="BodyText"/>
      </w:pPr>
      <w:r>
        <w:t xml:space="preserve">Обновлено: 24.03.2020</w:t>
      </w:r>
    </w:p>
    <w:p>
      <w:pPr>
        <w:pStyle w:val="BodyText"/>
      </w:pPr>
      <w:r>
        <w:t xml:space="preserve">В соответствии с подпунктом 3.5.24 пункта 3.5 Положения № 421-П в расчет ожидаемых оттоков денежных средств включаются обязательства по выплате процентов, выплата которых осуществляется в течение ближайших 30 календарных дней с даты расчета ПКЛ, в том числе проценты, начисленные на дату расчета ПКЛ, а также подлежащие начислению и выплате в течение указанного периода. Данный подход применим, в том числе, к включению в расчет ожидаемых оттоков денежных средств процентов к выплате по вкладам (депозитам) физических лиц, до даты окончания срока которых остается свыше 30 календарных дней с даты расчета ПКЛ.</w:t>
      </w:r>
    </w:p>
    <w:p>
      <w:pPr>
        <w:pStyle w:val="BodyText"/>
      </w:pPr>
      <w:r>
        <w:t xml:space="preserve">Обязательства по выплате процентов по срочным договорам привлечения денежных средств, расторгаемым клиентами досрочно (величина досрочно востребуемых средств при этом определяется в размере 5% и 10% от привлеченных денежных средств физических лиц, отнесенных, соответственно, к стабильным и нестабильным, срок которых превышает 30 календарных дней с даты расчета ПКЛ), могут быть рассчитаны исходя из условий договоров о досрочном расторжении (на основе процентной ставки, установленной договором в случае досрочного расторжения) и включаются в расчет оттока денежных средств в размере их максимально возможной величины, ожидаемой к выплате в течение ближайших 30 календарных дней с даты расчета ПКЛ (если договором не установлено иное, данная величина определяется как сумма процентов, которые будут выплачены в случае досрочного расторжения договора на 30-й календарный день с даты расчета ПКЛ). При досрочном расторжении срочных договоров сумма включаемых в расчет оттока денежных средств обязательств по выплате процентов может быть уменьшена на требования по удержанию сумм ранее выплаченных процентов по указанной выше части стабильных и нестабильных средств, востребуемых вкладчиками досрочно, если условиями договоров предусмотрен пересчет процентов при досрочном расторжении (при этом величина оттока не должна быть отрицательной величиной).</w:t>
      </w:r>
    </w:p>
    <w:p>
      <w:pPr>
        <w:pStyle w:val="BodyText"/>
      </w:pPr>
      <w:r>
        <w:t xml:space="preserve">В случае невозможности определить величину вероятного оттока по процентам, подлежащим выплате при досрочном расторжении договоров, проценты включаются в расчет ожидаемого оттока денежных средств исходя из контрактных сроков.</w:t>
      </w:r>
    </w:p>
    <w:p>
      <w:pPr>
        <w:pStyle w:val="BodyText"/>
      </w:pPr>
      <w:r>
        <w:t xml:space="preserve">Каким образом включаются в ожидаемые оттоки денежных средств обязательства кредитной организации по выдаче гарантий в рамках установленного договором (соглашением) лимита выдачи, учитываемого на внебалансовом счете № 91319 «Неиспользованные лимиты по выдаче гарантий»?</w:t>
      </w:r>
    </w:p>
    <w:p>
      <w:pPr>
        <w:pStyle w:val="BodyText"/>
      </w:pPr>
      <w:r>
        <w:t xml:space="preserve">Обновлено: 24.03.2020</w:t>
      </w:r>
    </w:p>
    <w:p>
      <w:pPr>
        <w:pStyle w:val="BodyText"/>
      </w:pPr>
      <w:r>
        <w:t xml:space="preserve">Лимит по выдаче гарантий в рамках заключенного с клиентом договора (соглашения) о предоставлении гарантии, учитываемый на внебалансовом счете № 91319 «Неиспользованные лимиты по выдаче гарантий», не включается в расчет ожидаемого оттока денежных средств. В то же время в соответствии с подпунктом 3.5.24 пункта 3.5 Положения № 421-П с коэффициентом оттока в размере 100% включается величина ожидаемого на горизонте ближайших 30 календарных дней с даты расчета ПКЛ оттока денежных средств, определяемого банком самостоятельно на основании</w:t>
      </w:r>
    </w:p>
    <w:p>
      <w:pPr>
        <w:pStyle w:val="BodyText"/>
      </w:pPr>
      <w:r>
        <w:t xml:space="preserve">профессионального суждения исходя из предполагаемого оттока по гарантиям, которые, как ожидает банк, могут быть предоставлены и исполнены банком в рамках вышеуказанного договора. Данный отток отражается по строке 2.4.18 отчетности по форме 0409122.</w:t>
      </w:r>
    </w:p>
    <w:p>
      <w:pPr>
        <w:pStyle w:val="BodyText"/>
      </w:pPr>
      <w:r>
        <w:t xml:space="preserve">Включаются ли в расчет ожидаемых оттоков денежных средств предоставленные банком гарантии, срок действия которых превышает 30 календарных дней?</w:t>
      </w:r>
    </w:p>
    <w:p>
      <w:pPr>
        <w:pStyle w:val="BodyText"/>
      </w:pPr>
      <w:r>
        <w:t xml:space="preserve">Обновлено: 24.03.2020</w:t>
      </w:r>
    </w:p>
    <w:p>
      <w:pPr>
        <w:pStyle w:val="BodyText"/>
      </w:pPr>
      <w:r>
        <w:t xml:space="preserve">В соответствии с подпунктом 3.5.18 пункта 3.5 Положения № 421-П предоставленные банком гарантии включаются в расчет ожидаемых оттоков денежных средств, если срок исполнения обязательств по предоставленным гарантиям наступает или может наступить в течение ближайших 30 календарных дней с даты расчета ПКЛ в сумме, предусмотренной условиями договора банковской гарантии, и не зависит от срока действия гарантии.</w:t>
      </w:r>
    </w:p>
    <w:p>
      <w:pPr>
        <w:pStyle w:val="BodyText"/>
      </w:pPr>
      <w:r>
        <w:t xml:space="preserve">При невозможности однозначно определить сроки исполнения обязательств банка по выданным гарантиям, конкретный срок платежа по которым в договоре не раскрывается, оттоки денежных средств по указанным гарантиям следует включать в расчет ожидаемых оттоков в соответствии с подпунктами 3.5.17 и 3.5.18 пункта 3.5 Положения № 421-П как обязательства, срок исполнения которых может наступить в течение ближайших 30 календарных дней от даты расчета ПКЛ.</w:t>
      </w:r>
    </w:p>
    <w:p>
      <w:pPr>
        <w:pStyle w:val="BodyText"/>
      </w:pPr>
      <w:r>
        <w:t xml:space="preserve">Каким образом оттоки и притоки по сделкам спот включаются в расчет ПКЛ? Правомерно ли применение к сделкам спот, расчеты и поставка по которым осуществляются не ранее следующего дня после заключения договора, подходов, изложенных в подпункте 3.5.2 пункта 3.5 и пункте 4.8 Положения № 421-П и применяемых при расчете оттоков и притоков по сделкам ПФИ, включая расчет притоков и оттоков по сделкам спот на нетто-основе, а также расчет нетто-оттока (нетто-притока) совокупно по сделкам спот и сделкам ПФИ?</w:t>
      </w:r>
    </w:p>
    <w:p>
      <w:pPr>
        <w:pStyle w:val="BodyText"/>
      </w:pPr>
      <w:r>
        <w:t xml:space="preserve">Обновлено: 24.03.2020</w:t>
      </w:r>
    </w:p>
    <w:p>
      <w:pPr>
        <w:pStyle w:val="BodyText"/>
      </w:pPr>
      <w:r>
        <w:t xml:space="preserve">Оттоки и притоки по сделкам спот включаются в расчет ПКЛ в соответствии с подпунктом 3.5.24 пункта 3.5 и пунктом 4.9 Положения № 421-П соответственно.</w:t>
      </w:r>
    </w:p>
    <w:p>
      <w:pPr>
        <w:pStyle w:val="BodyText"/>
      </w:pPr>
      <w:r>
        <w:t xml:space="preserve">Действующим подходом, установленным подпунктом 3.5.2 пункта 3.5 и пунктом</w:t>
      </w:r>
    </w:p>
    <w:p>
      <w:pPr>
        <w:pStyle w:val="BodyText"/>
      </w:pPr>
      <w:r>
        <w:t xml:space="preserve">4.8 Положения № 421-П в соответствии с документом Базельского комитета по банковскому надзору (далее — БКБН) «Basel III: The Liquidity Coverage Ratio and liquidity risk monitoring tools (January 2013)», а также в соответствии с разъяснением БКБН по</w:t>
      </w:r>
    </w:p>
    <w:p>
      <w:pPr>
        <w:pStyle w:val="BodyText"/>
      </w:pPr>
      <w:r>
        <w:t xml:space="preserve">порядку включения сделок с участием центральных контрагентов (Frequently Asked Questions on Basel III’s January 2013 Liquidity Coverage Ratio framework (April 2014) включение в расчет ПКЛ оттоков и притоков денежных средств по сделкам спот на нетто- основе, а также расчет совокупного нетто-результата по ожидаемым оттоку и притоку денежных средств по всем сделкам (сделкам спот и сделкам с производными финансовыми инструментами) не предусмотрены.</w:t>
      </w:r>
    </w:p>
    <w:p>
      <w:pPr>
        <w:pStyle w:val="BodyText"/>
      </w:pPr>
      <w:r>
        <w:t xml:space="preserve">Каким образом в расчет ожидаемых оттоков денежных средств включаются средства, подлежащие депонированию на счетах по учету обязательных резервов и (или) внесению на корреспондентский счет (корреспондентские субсчета) банка в Банке России, в случае если банк использует право на усреднение обязательных резервов?</w:t>
      </w:r>
    </w:p>
    <w:p>
      <w:pPr>
        <w:pStyle w:val="BodyText"/>
      </w:pPr>
      <w:r>
        <w:t xml:space="preserve">Обновлено: 24.03.2020</w:t>
      </w:r>
    </w:p>
    <w:p>
      <w:pPr>
        <w:pStyle w:val="BodyText"/>
      </w:pPr>
      <w:r>
        <w:t xml:space="preserve">Величина ожидаемых оттоков денежных средств, включаемых в расчет ПКЛ, в случае если банк использует право на усреднение обязательных резервов, в целях подпункта 3.3.14 пункта 3.3 Положения № 421-П определяется как сумма 1) средств, которые должны быть дополнительно депонированы на счета по учету обязательных резервов, и 2) средств, которые должны быть дополнительно размещены на корреспондентском счете в Банке России.</w:t>
      </w:r>
    </w:p>
    <w:p>
      <w:pPr>
        <w:pStyle w:val="BodyText"/>
      </w:pPr>
      <w:r>
        <w:t xml:space="preserve">В случае если в период 30 календарных дней с даты расчета ПКЛ попадают два периода усреднения, то величина средств, которые должны быть дополнительно размещены на корреспондентском счете в Банке России для выполнения требований по усреднению обязательных резервов определяется как наибольшее из двух следующих величин: 1) величины денежных средств, которые должны быть дополнительно внесены на корреспондентский счет в Банке России относительно его текущей (на дату расчета ПКЛ) величины для выполнения обязанности по усреднению обязательных резервов в текущем периоде усреднения, и 2) величины денежных средств, которые в соответствии со стратегией банка по управлению средствами на корреспондентском счете в Банке России, запланированы к дополнительному внесению на корреспондентский счет в Банке России относительно его текущей (на дату расчета ПКЛ) величины в период 30 календарных дней с даты расчета ПКЛ для выполнения обязанности по усреднению обязательных резервов в следующем периоде усреднения.</w:t>
      </w:r>
    </w:p>
    <w:p>
      <w:pPr>
        <w:pStyle w:val="BodyText"/>
      </w:pPr>
      <w:r>
        <w:t xml:space="preserve">Включаются ли в расчет среднего арифметического значения совокупного объема требований и обязательств для целей включения в расчет ожидаемых оттоков средств субъектов малого бизнеса в соответствии с подпунктом 3.3.5 пункта 3.3 Положения № 421-П внебалансовые требования и обязательства?</w:t>
      </w:r>
    </w:p>
    <w:p>
      <w:pPr>
        <w:pStyle w:val="BodyText"/>
      </w:pPr>
      <w:r>
        <w:t xml:space="preserve">Обновлено: 24.03.2020</w:t>
      </w:r>
    </w:p>
    <w:p>
      <w:pPr>
        <w:pStyle w:val="BodyText"/>
      </w:pPr>
      <w:r>
        <w:t xml:space="preserve">При расчете среднего арифметического значения совокупного объема кредитов и прочих средств, предоставленных клиенту или группе связанных клиентов, следует учитывать, в том числе обязательства, отраженные на внебалансовых счетах, в величине кредитного эквивалента, рассчитываемого в соответствии с приложением 2 к Инструкции Банка России от 03.12.2012 № 139-И «Об обязательных нормативах банков». В расчет среднего арифметического значения совокупного объема обязательств банка перед клиентом или группой связанных клиентов учитываются обязательства банка, отраженные только на балансовых счетах.</w:t>
      </w:r>
    </w:p>
    <w:p>
      <w:pPr>
        <w:pStyle w:val="BodyText"/>
      </w:pPr>
      <w:r>
        <w:t xml:space="preserve">Как классифицировать на стабильные и нестабильные денежные средства субъектов малого бизнеса, привлеченные филиалами банка, расположенными на территории иностранного государства, для целей расчета ожидаемых оттоков денежных средств?</w:t>
      </w:r>
    </w:p>
    <w:p>
      <w:pPr>
        <w:pStyle w:val="BodyText"/>
      </w:pPr>
      <w:r>
        <w:t xml:space="preserve">Обновлено: 24.03.2020</w:t>
      </w:r>
    </w:p>
    <w:p>
      <w:pPr>
        <w:pStyle w:val="BodyText"/>
      </w:pPr>
      <w:r>
        <w:t xml:space="preserve">Для целей классификации привлеченных средств субъектов малого бизнеса, обязательства перед которыми соответствуют условиям, указанным в абзацах пятом — восьмом подпункта 3.3.5 пункта 3.3 Положения № 421-П, находящихся на балансе филиалов банка, расположенных на территории иностранного государства, на стабильные и нестабильные применяются нормы, аналогичные установленным в подпункте 3.2.3 пункта 3.2 для средств физических лиц в части оценки эффективности системы страхования вкладов, а также применяются аналогичные нормы подпункта 3.2.1 пункта</w:t>
      </w:r>
    </w:p>
    <w:p>
      <w:pPr>
        <w:pStyle w:val="BodyText"/>
      </w:pPr>
      <w:r>
        <w:t xml:space="preserve">3.2 в части оценки консервативности требований центрального банка и (или) иного органа надзора иностранного государства, на территории которого расположен филиал банка.</w:t>
      </w:r>
    </w:p>
    <w:p>
      <w:pPr>
        <w:pStyle w:val="BodyText"/>
      </w:pPr>
      <w:r>
        <w:t xml:space="preserve">Как включать в оттоки денежных средств средства на банковских счетах (во вкладах) физических лиц, занимающихся предпринимательской деятельностью без образования юридического лица, если такие счета (вклады) открыты для осуществления предпринимательской деятельности?</w:t>
      </w:r>
    </w:p>
    <w:p>
      <w:pPr>
        <w:pStyle w:val="BodyText"/>
      </w:pPr>
      <w:r>
        <w:t xml:space="preserve">Обновлено: 24.03.2020</w:t>
      </w:r>
    </w:p>
    <w:p>
      <w:pPr>
        <w:pStyle w:val="BodyText"/>
      </w:pPr>
      <w:r>
        <w:t xml:space="preserve">Денежные средства индивидуальных предпринимателей, размещенные на банковских счетах (во вкладах) физических лиц, занимающихся предпринимательской деятельностью без образования юридического лица, если такие счета (вклады) открыты для осуществления предусмотренной федеральными законами и нормативными актами предпринимательской деятельности (за исключением финансовой деятельности), включаются в расчет ожидаемых оттоков в соответствии с подпунктом 3.3.5 пункта 3.3 Положения № 421-П, т.е. в составе привлеченных средств субъектов малого бизнеса, в случае соблюдения условий, установленных абзацами пятым — восьмым указанного подпункта. В случае несоблюдения вышеуказанных условий обязательства банка перед индивидуальными предпринимателями включаются в оттоки по депозитам и прочим привлеченным средствам юридических лиц в зависимости от вида деятельности.</w:t>
      </w:r>
    </w:p>
    <w:p>
      <w:pPr>
        <w:pStyle w:val="BodyText"/>
      </w:pPr>
      <w:r>
        <w:t xml:space="preserve">Может ли банк классифицировать средства физического лица как стабильные, если для клиентов — физических лиц установлено, что открытие и управление счетами осуществляется не только дистанционным способом, а также при посещении отделения банка?</w:t>
      </w:r>
    </w:p>
    <w:p>
      <w:pPr>
        <w:pStyle w:val="BodyText"/>
      </w:pPr>
      <w:r>
        <w:t xml:space="preserve">Обновлено: 24.03.2020</w:t>
      </w:r>
    </w:p>
    <w:p>
      <w:pPr>
        <w:pStyle w:val="BodyText"/>
      </w:pPr>
      <w:r>
        <w:t xml:space="preserve">В соответствии с абзацами четвертым и пятым подпункта 3.2.3 пункта 3.2 Положения № 421-П к стабильным средствам физических лиц не могут быть отнесены средства на банковских счетах, открытие и управление которыми осуществляется только дистанционным способом. Средства на банковских счетах, открытие и управление которыми осуществляется как дистанционным, так и посредством других способов доступа к банковским счетам, например, посредством обращения физического лица в отделение банка (без взимания дополнительных комиссий за обслуживание в офисе), могут быть отнесены банком к стабильным при соблюдении условий, предусмотренных подпунктом 3.2.3 пункта 3.2 Положения № 421-П.</w:t>
      </w:r>
    </w:p>
    <w:p>
      <w:pPr>
        <w:pStyle w:val="BodyText"/>
      </w:pPr>
      <w:r>
        <w:t xml:space="preserve">Просим разъяснить порядок отражения оттоков денежных средств физических лиц в отчетности по форме 0409122 «Расчет показателя краткосрочной ликвидности („Базель III“)» в соответствии с Указанием Банка России от 12.11.2009</w:t>
      </w:r>
    </w:p>
    <w:p>
      <w:pPr>
        <w:pStyle w:val="BodyText"/>
      </w:pPr>
      <w:r>
        <w:t xml:space="preserve">№ 2332-У «О перечне, формах и порядке составления и представления форм отчетности кредитных организаций в Центральный банк Российской Федерации» (далее — отчетность по форме 0409122) в зависимости от совокупной суммы привлеченных средств физического лица.</w:t>
      </w:r>
    </w:p>
    <w:p>
      <w:pPr>
        <w:pStyle w:val="BodyText"/>
      </w:pPr>
      <w:r>
        <w:t xml:space="preserve">Обновлено: 24.03.2020</w:t>
      </w:r>
    </w:p>
    <w:p>
      <w:pPr>
        <w:pStyle w:val="BodyText"/>
      </w:pPr>
      <w:r>
        <w:t xml:space="preserve">Согласно требованиям подпункта 3.2.3 пункта 3.2 Положения № 421-П величина денежных средств физического лица, включаемая в расчет оттоков в качестве стабильных денежных средств, ограничена максимальным размером возмещения по вкладам в соответствии с Федеральным законом от 23.12.2003 № 177-ФЗ «О страховании вкладов физических лиц в банках Российской Федерации». В случае если совокупный объем денежных средств указанного физического лица не превышает 5 млн рублей, величина денежных средств физического лица, соответствующих критериям стабильных денежных средств, в размере, не превышающим максимальный размер возмещения по вкладам, отражается по подстрокам строки 2.1.1 отчетности по форме 0409122, а величина превышения над максимальным размером возмещения по вкладам отражается по подстрокам строки 2.1.2.1 отчетности по форме 0409122.</w:t>
      </w:r>
    </w:p>
    <w:p>
      <w:pPr>
        <w:pStyle w:val="BodyText"/>
      </w:pPr>
      <w:r>
        <w:t xml:space="preserve">При этом для возможности отнесения к стабильным денежных средств клиента, являющегося индивидуальным предпринимателем и имеющего одновременно вклады в банке в качестве физического лица, совокупная сумма привлеченных денежных средств индивидуального предпринимателя на счетах, открытых для осуществления предпринимательской деятельности, при выполнении условий, определенных абзацами пятым — восьмым подпункта 3.3.5 пункта 3.3 Положения № 421-П, и совокупная сумма привлеченных денежных средств от данного клиента как от физического лица оцениваются отдельно.</w:t>
      </w:r>
    </w:p>
    <w:p>
      <w:pPr>
        <w:pStyle w:val="BodyText"/>
      </w:pPr>
      <w:r>
        <w:t xml:space="preserve">В случае если совокупная величина денежных средств физического лица превышает 5 млн рублей, то данные средства в полном объеме классифицируются как</w:t>
      </w:r>
    </w:p>
    <w:p>
      <w:pPr>
        <w:pStyle w:val="BodyText"/>
      </w:pPr>
      <w:r>
        <w:t xml:space="preserve">нестабильные денежные средства и отражаются по строке 2.1.2.3 отчетности по форме 0409122. Денежные средства, привлеченные от клиента как от индивидуального предпринимателя, совокупная сумма которых превышает 5 млн руб., отражаются по строке 2.2.1.2 отчетности по форме 0409122.</w:t>
      </w:r>
    </w:p>
    <w:p>
      <w:pPr>
        <w:pStyle w:val="BodyText"/>
      </w:pPr>
      <w:r>
        <w:t xml:space="preserve">Возможно ли отнести к стабильным денежные средства физических лиц, представляющих собой неснижаемый остаток на счете срочного вклада?</w:t>
      </w:r>
    </w:p>
    <w:p>
      <w:pPr>
        <w:pStyle w:val="BodyText"/>
      </w:pPr>
      <w:r>
        <w:t xml:space="preserve">Обновлено: 24.03.2020</w:t>
      </w:r>
    </w:p>
    <w:p>
      <w:pPr>
        <w:pStyle w:val="BodyText"/>
      </w:pPr>
      <w:r>
        <w:t xml:space="preserve">В соответствии с подпунктом 3.2.3 пункта 3.2 Положения № 421-П кредитная организация не вправе определять стабильные денежные средства как величину неснижаемого остатка по вкладу, предусмотренную договором.</w:t>
      </w:r>
    </w:p>
    <w:p>
      <w:pPr>
        <w:pStyle w:val="BodyText"/>
      </w:pPr>
      <w:r>
        <w:t xml:space="preserve">За какой период следуют оценивать факт существенного снижения величины привлеченных средств физических лиц, являющихся клиентом банка более года, в целях классификации денежных средств физических лиц на стабильные и нестабильные?</w:t>
      </w:r>
    </w:p>
    <w:p>
      <w:pPr>
        <w:pStyle w:val="BodyText"/>
      </w:pPr>
      <w:r>
        <w:t xml:space="preserve">Обновлено: 24.03.2020</w:t>
      </w:r>
    </w:p>
    <w:p>
      <w:pPr>
        <w:pStyle w:val="BodyText"/>
      </w:pPr>
      <w:r>
        <w:t xml:space="preserve">В соответствии с подпунктом 3.2.3 пункта 3.2 Положения № 421-П для определения факта отсутствия существенного снижения величины привлеченных денежных средств физического лица в течение любых 30 последовательных календарных дней рассматривается весь период, в течение которого физическое лицо являлось клиентом банка. При этом данный период должен составлять более одного года до даты расчета ПКЛ в соответствии с абзацем вторым подпункта 3.2.3 пункта 3.2 Положения</w:t>
      </w:r>
    </w:p>
    <w:p>
      <w:pPr>
        <w:pStyle w:val="BodyText"/>
      </w:pPr>
      <w:r>
        <w:t xml:space="preserve">№ 421-П. В случае если физическое лицо является клиентом Банка не более одного календарного года до даты расчета ПКЛ, то указанный критерий установленных взаимоотношений по сроку с банком не соблюдается. Ограничение рассмотрения периода взаимоотношений с клиентом до одного года, в случае если этот период составляет больший временной промежуток, для анализа на наличие факта существенного снижения величины привлеченных средств Положением № 421-П не предусматривается.</w:t>
      </w:r>
    </w:p>
    <w:p>
      <w:pPr>
        <w:pStyle w:val="BodyText"/>
      </w:pPr>
      <w:r>
        <w:t xml:space="preserve">Требуется ли одновременное выполнение критериев, которые позволяют классифицировать взаимоотношения клиента с банком как установленные в соответствии с подпунктом 3.2.3 пункта 3.2 Положения № 421-П?</w:t>
      </w:r>
    </w:p>
    <w:p>
      <w:pPr>
        <w:pStyle w:val="BodyText"/>
      </w:pPr>
      <w:r>
        <w:t xml:space="preserve">Обновлено: 24.03.2020</w:t>
      </w:r>
    </w:p>
    <w:p>
      <w:pPr>
        <w:pStyle w:val="BodyText"/>
      </w:pPr>
      <w:r>
        <w:t xml:space="preserve">В соответствии с подпунктом 3.2.3 пункта 3.2 Положения № 421-П, наличие установленных взаимоотношений физического лица с банком подтверждается соблюдением хотя бы одного из следующих условий:</w:t>
      </w:r>
    </w:p>
    <w:p>
      <w:pPr>
        <w:pStyle w:val="BodyText"/>
      </w:pPr>
      <w:r>
        <w:t xml:space="preserve">физическое лицо является клиентом банка более одного года с даты расчета ПКЛ и в течение этого периода не было факта существенного снижения привлеченных средств (более 20%);</w:t>
      </w:r>
    </w:p>
    <w:p>
      <w:pPr>
        <w:pStyle w:val="BodyText"/>
      </w:pPr>
      <w:r>
        <w:t xml:space="preserve">использование клиентом на дату расчета ПКЛ, как минимум, двух различных банковских услуг (помимо вкладов и депозитов).</w:t>
      </w:r>
    </w:p>
    <w:p>
      <w:pPr>
        <w:pStyle w:val="BodyText"/>
      </w:pPr>
      <w:r>
        <w:t xml:space="preserve">Таким образом, использование клиентом на дату расчета ПКЛ, как минимум, двух различных банковских продуктов, является достаточным признаком для классификации данного клиента как клиента, с которым имеются «установленные взаимоотношения».</w:t>
      </w:r>
    </w:p>
    <w:p>
      <w:pPr>
        <w:pStyle w:val="BodyText"/>
      </w:pPr>
      <w:r>
        <w:t xml:space="preserve">В целях оценки взаимоотношений клиента с банком, предусмотренных подпунктом 3.2.3 пункта 3.2 Положения № 421-П, в качестве различных банковских услуг можно рассматривать, в том числе предоставление кредита, выпуск банковских карт, предоставление услуг расчетно-кассового обслуживания тому же лицу в качестве индивидуального предпринимателя. При этом банковские услуги / продукты должны</w:t>
      </w:r>
    </w:p>
    <w:p>
      <w:pPr>
        <w:pStyle w:val="BodyText"/>
      </w:pPr>
      <w:r>
        <w:t xml:space="preserve">предоставляться клиенту независимо друг от друга. Например, в случае если при предоставлении кредита клиенту автоматически открывается счет банковского вклада (предоставляется банковская карта), с которого будут осуществляться списания денежных средств в счет погашения кредита, то такие кредит и вклад не могут рассматриваться как различные банковские услуги в целях применения Положения № 421-П. В случае если клиент, имеющий кредит в банке, открывает в нем банковский вклад с целью, отличной от погашения ссудной задолженности (например, с целью сбережения средств), то такие кредит и вклад в целях Положения № 421-П считаются различными банковскими продуктами. Аналогично не рассматривается в качестве самостоятельной услуги выпуск банковской карты, являющейся дополнительной к депозитному счету.</w:t>
      </w:r>
    </w:p>
    <w:p>
      <w:pPr>
        <w:pStyle w:val="BodyText"/>
      </w:pPr>
      <w:r>
        <w:t xml:space="preserve">В общем случае предоставление в аренду физическим лицам индивидуального сейфа (сейфовой ячейки) для хранения документов и ценностей также не является услугой, учитываемой при определении наличия у клиента «установленных взаимоотношений с банком», за исключением случая наличия у банка обоснования (на основе количественного анализа) увеличения стабильности привлеченных средств физических лиц вследствие пользования ими указанным видом услуг.</w:t>
      </w:r>
    </w:p>
    <w:p>
      <w:pPr>
        <w:pStyle w:val="BodyText"/>
      </w:pPr>
      <w:r>
        <w:t xml:space="preserve">Расчет ожидаемых притоков денежных средств</w:t>
      </w:r>
    </w:p>
    <w:p>
      <w:pPr>
        <w:pStyle w:val="BodyText"/>
      </w:pPr>
      <w:r>
        <w:t xml:space="preserve">Каким образом поступления по ценным бумагам включаются в расчет ожидаемых притоков денежных средств?</w:t>
      </w:r>
    </w:p>
    <w:p>
      <w:pPr>
        <w:pStyle w:val="BodyText"/>
      </w:pPr>
      <w:r>
        <w:t xml:space="preserve">Обновлено: 24.03.2020</w:t>
      </w:r>
    </w:p>
    <w:p>
      <w:pPr>
        <w:pStyle w:val="BodyText"/>
      </w:pPr>
      <w:r>
        <w:t xml:space="preserve">В соответствии с пунктом 4.7 Положения № 421-П в расчет ожидаемых притоков денежных средств включаются поступления денежных средств в течение срока, не превышающего 30 календарных дней с даты расчета ПКЛ, от не включенных в ВЛА ценных бумаг, в том числе поступления, связанные с погашением (частичным погашением) ценных бумаг, с получением по ним процентного (купонного) дохода, дивидендов при условии соблюдения требований пункта 4.1 Положения № 421-П.</w:t>
      </w:r>
    </w:p>
    <w:p>
      <w:pPr>
        <w:pStyle w:val="BodyText"/>
      </w:pPr>
      <w:r>
        <w:t xml:space="preserve">Поступления по ценным бумагам, переданным без прекращения признания по договорам репо, подлежащие получению в течение 30 календарных дней с даты расчета ПКЛ, включаются в расчет ожидаемых притоков в соответствии с пунктом 4.7 Положения</w:t>
      </w:r>
    </w:p>
    <w:p>
      <w:pPr>
        <w:pStyle w:val="BodyText"/>
      </w:pPr>
      <w:r>
        <w:t xml:space="preserve">№ 421-П в случае, если условиями договора репо предусмотрено получение выплат по ценным бумагам денежными средствами в течение указанного периода. В случае если в соответствии с договором репо поступления по ценной бумаге корректируют величину обязательств по сделке репо или приводят к возникновению требований к контрагенту по сделке репо по прочим размещенным средствам, поступления не учитываются в расчете ожидаемого притока денежных средств на дату расчета ПКЛ. Впоследствии соответствующее поступление по ценной бумаге будет учтено в расчете ПКЛ с даты платежа по ценной бумаге путем уменьшения обязательств по сделке репо или через включение в расчет ожидаемых притоков соответствующего требования к контрагенту.</w:t>
      </w:r>
    </w:p>
    <w:p>
      <w:pPr>
        <w:pStyle w:val="BodyText"/>
      </w:pPr>
      <w:r>
        <w:t xml:space="preserve">Как включать в расчет ожидаемого притока денежных средств сумму поступлений по ссудной задолженности и процентным платежам, если заемщиком допущено возникновение просроченных процентных платежей? Каким образом включать в расчет кредиты, предоставленные заемщику, по одному из которых имеется просроченная задолженность?</w:t>
      </w:r>
    </w:p>
    <w:p>
      <w:pPr>
        <w:pStyle w:val="BodyText"/>
      </w:pPr>
      <w:r>
        <w:t xml:space="preserve">Обновлено: 25.03.2020</w:t>
      </w:r>
    </w:p>
    <w:p>
      <w:pPr>
        <w:pStyle w:val="BodyText"/>
      </w:pPr>
      <w:r>
        <w:t xml:space="preserve">В соответствии с пунктом 4.1 Положения № 421-П в случае возникновения просроченных процентных платежей по кредитным требованиям в расчет ожидаемых притоков денежных средств в целях расчета ПКЛ предусмотренные договором поступления по данной ссудной задолженности (включая проценты) не включаются ввиду наличия факта неисполнения обязательств заемщиком перед банком, свидетельствующего о потенциальном ухудшении качества обслуживания заемщиком ссудной задолженности.</w:t>
      </w:r>
    </w:p>
    <w:p>
      <w:pPr>
        <w:pStyle w:val="BodyText"/>
      </w:pPr>
      <w:r>
        <w:t xml:space="preserve">При возникновении просроченной задолженности по одной из предоставленных банком ссуд ни одна из ссуд тому же заемщику не включается в расчет притоков денежных средств, поскольку исходя из принципа осторожности можно ожидать, что ввиду снижения качества обслуживания заемщиком долга по одной ссуде по другой ссуде также возможно ненадлежащее погашение задолженности в течение ближайших 30 календарных дней с даты расчета ПКЛ.</w:t>
      </w:r>
    </w:p>
    <w:p>
      <w:pPr>
        <w:pStyle w:val="BodyText"/>
      </w:pPr>
      <w:r>
        <w:t xml:space="preserve">Данный подход аналогичен подходу к формированию резервов на возможные потери по ссудам в соответствии с Положением Банка России от 26.03.2004 № 254-П «О порядке формирования кредитными организациями резервов на возможные потери по ссудам, по ссудной и приравненной к ней задолженности», согласно абзацу первому пункта 4.1 которого в случае, если заемщику выдано несколько ссуд, все ссуды, предоставленные данному заемщику, следует относить к наиболее низкой из присвоенных этим ссудам категорий качества с применением максимального из определенных кредитной организацией по этим ссудам размера расчетного резерва.</w:t>
      </w:r>
    </w:p>
    <w:p>
      <w:pPr>
        <w:pStyle w:val="BodyText"/>
      </w:pPr>
      <w:r>
        <w:t xml:space="preserve">Включаются ли в состав прочих притоков сумма переплаты, подлежащая возврату банку со счетов по учету обязательных резервов в Банке России по результатам регулирования размера обязательных резервов по расчету за предыдущий отчетный период? Каков порядок отражения суммы переплаты в отчетности по форме 0409122?</w:t>
      </w:r>
    </w:p>
    <w:p>
      <w:pPr>
        <w:pStyle w:val="BodyText"/>
      </w:pPr>
      <w:r>
        <w:t xml:space="preserve">Обновлено: 24.03.2020</w:t>
      </w:r>
    </w:p>
    <w:p>
      <w:pPr>
        <w:pStyle w:val="BodyText"/>
      </w:pPr>
      <w:r>
        <w:t xml:space="preserve">Сумма переплаты, подлежащая возврату Банку со счетов по учету обязательных резервов в Банке России по результатам представленного расчета в рамках проведения очередного регулирования (по итогам расчета за отчетный период), включается в расчет притоков денежных средств в соответствии с подпунктом 4.6.2 пункта 4.6 Положения № 421-П и подлежит отражению по строке 3.3.2.4 отчетности по форме 0409122.</w:t>
      </w:r>
    </w:p>
    <w:p>
      <w:pPr>
        <w:pStyle w:val="BodyText"/>
      </w:pPr>
      <w:r>
        <w:t xml:space="preserve">Включаются ли в расчет величины ожидаемых притоков денежные средства на счетах ностро?</w:t>
      </w:r>
    </w:p>
    <w:p>
      <w:pPr>
        <w:pStyle w:val="BodyText"/>
      </w:pPr>
      <w:r>
        <w:t xml:space="preserve">Обновлено: 24.03.2020</w:t>
      </w:r>
    </w:p>
    <w:p>
      <w:pPr>
        <w:pStyle w:val="BodyText"/>
      </w:pPr>
      <w:r>
        <w:t xml:space="preserve">В расчет притоков денежных средств в знаменателе ПКЛ допустимо включение притоков по корреспондентским счетам (ностро) в кредитных организациях в части имеющихся свободных денежных средств, т.е. в величине превышения над суммой величины неснижаемого остатка денежных средств, установленной условиями договора, величины денежных средств, необходимых для осуществления операционной деятельности кредитной организации, в том числе для проведения внутридневных платежей, а также величины денежных средств, предназначенных для осуществления расходов, связанных с обеспечением деятельности банка на горизонте 30 календарных дней с даты расчета ПКЛ, с использованием коэффициента притока 100%. Банк имеет право учитывать указанные свободные денежные средства в составе ожидаемых притоков денежных средств при расчете ПКЛ только в случае, если банком разработана и применяется методика определения величины денежных средств, необходимой для осуществления операционной деятельности банка.</w:t>
      </w:r>
    </w:p>
    <w:p>
      <w:pPr>
        <w:pStyle w:val="BodyText"/>
      </w:pPr>
      <w:r>
        <w:t xml:space="preserve">Расчет величин рисков по вложениям в цифровые права</w:t>
      </w:r>
    </w:p>
    <w:p>
      <w:pPr>
        <w:pStyle w:val="BodyText"/>
      </w:pPr>
      <w:r>
        <w:t xml:space="preserve">Какой порядок расчета следует применять кредитным организациям при расчете величины рыночного риска по вложениям в ЦФА? Каков порядок расчета по тем ЦФА, которые представляют собой комбинацию различных цифровых прав?</w:t>
      </w:r>
    </w:p>
    <w:p>
      <w:pPr>
        <w:pStyle w:val="BodyText"/>
      </w:pPr>
      <w:r>
        <w:t xml:space="preserve">Обновлено: 17.12.2024</w:t>
      </w:r>
    </w:p>
    <w:p>
      <w:pPr>
        <w:pStyle w:val="BodyText"/>
      </w:pPr>
      <w:r>
        <w:t xml:space="preserve">Отражение ЦФА в расчете рыночного риска 1 осуществляется исходя из содержания прав и обязанностей, лежащих в основе таких ЦФА, с использованием тех норм действующего регулирования, которые применяются в отношении финансовых инструментов, цифровыми аналогами которых являются соответствующие ЦФА (например, акции, облигации, форварды, опционы).</w:t>
      </w:r>
    </w:p>
    <w:p>
      <w:pPr>
        <w:pStyle w:val="BodyText"/>
      </w:pPr>
      <w:r>
        <w:t xml:space="preserve">В целях определения таких аналогичных финансовых инструментов кредитная организация должна проводить содержательный анализ фактических условий ЦФА (с учетом сопряженных рисков и возможных выгод).</w:t>
      </w:r>
    </w:p>
    <w:p>
      <w:pPr>
        <w:pStyle w:val="BodyText"/>
      </w:pPr>
      <w:r>
        <w:t xml:space="preserve">Если ЦФА включают в себя различные виды цифровых прав, для целей расчета рыночного риска такие ЦФА раскладываются на отдельные цифровые права, каждое из которых анализируется и включается в расчет рыночного риска отдельно друг от друга.</w:t>
      </w:r>
    </w:p>
    <w:p>
      <w:pPr>
        <w:pStyle w:val="BodyText"/>
      </w:pPr>
      <w:r>
        <w:t xml:space="preserve">1 В соответствии с Положением Банка России от 03.12.2015 № 511-П «О порядке расчета кредитными организациями величины рыночного риска».</w:t>
      </w:r>
    </w:p>
    <w:p>
      <w:pPr>
        <w:pStyle w:val="BodyText"/>
      </w:pPr>
      <w:r>
        <w:t xml:space="preserve">Обновлено: 17.12.2024</w:t>
      </w:r>
    </w:p>
    <w:p>
      <w:pPr>
        <w:pStyle w:val="BodyText"/>
      </w:pPr>
      <w:r>
        <w:t xml:space="preserve">При расчете величины НКЛ (ПКЛ) необходимо определить, аналогом какого финансового инструмента является ЦФА и какие денежные потоки он создает. В частности, руководствуясь таким подходом, ожидаемые потоки денежных средств по ЦФА на горизонте 30 календарных дней следует включать в расчет оттоков или притоков денежных средств в порядке, предусмотренном для аналогичного инструмента.</w:t>
      </w:r>
    </w:p>
    <w:p>
      <w:pPr>
        <w:pStyle w:val="BodyText"/>
      </w:pPr>
      <w:r>
        <w:t xml:space="preserve">В случае если не представляется возможным определить, аналогом какого финансового инструмента является ЦФА, ожидаемые оттоки и притоки денежных средств по такому ЦФА следует относить к статье «Прочее».</w:t>
      </w:r>
    </w:p>
    <w:p>
      <w:pPr>
        <w:pStyle w:val="BodyText"/>
      </w:pPr>
      <w:r>
        <w:t xml:space="preserve">При этом на данном этапе ЦФА не соответствуют критериям включения в состав высоколиквидных активов (ВЛА).</w:t>
      </w:r>
    </w:p>
    <w:p>
      <w:pPr>
        <w:pStyle w:val="BodyText"/>
      </w:pPr>
      <w:r>
        <w:t xml:space="preserve">При расчете величины НЧСФ помимо определения, аналогом какого финансового инструмента является ЦФА, необходимо учитывать срок обременения актива (при наличии обременения), срок доступности актива (требования), права на которые удостоверяются ЦФА, а также установленный договором ЦФА срок до погашения. В случае если, например, ЦФА являются аналогом вложений в ценные бумаги, то такие ЦФА включаются в расчет требуемого стабильного фондирования как ценные бумаги, не удовлетворяющие критериям ВЛА.</w:t>
      </w:r>
    </w:p>
    <w:p>
      <w:pPr>
        <w:pStyle w:val="BodyText"/>
      </w:pPr>
      <w:r>
        <w:t xml:space="preserve">1 Рассчитывается в соответствии с Положением Банка России от 03.12.2015 № 510-П «О порядке расчета норматива краткосрочной ликвидности („Базель III“) системно значимыми кредитными организациями» и Положением Банка России от 30.05.2014 № 421-П «О порядке расчета показателя краткосрочной ликвидности («Базель III»).</w:t>
      </w:r>
    </w:p>
    <w:p>
      <w:pPr>
        <w:pStyle w:val="BodyText"/>
      </w:pPr>
      <w:r>
        <w:t xml:space="preserve">2 Рассчитывается в соответствии с Положением Банка России от 26.07.2017 № 596-П «О порядке расчета системно значимыми кредитными организациями норматива структурной ликвидности (норматива чистого стабильного фондирования) («Базель III»).</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2026-09-27T11:01:29Z</dcterms:created>
  <dcterms:modified xsi:type="dcterms:W3CDTF">2026-09-27T11:01:29Z</dcterms:modified>
</cp:coreProperties>
</file>

<file path=docProps/custom.xml><?xml version="1.0" encoding="utf-8"?>
<Properties xmlns="http://schemas.openxmlformats.org/officeDocument/2006/custom-properties" xmlns:vt="http://schemas.openxmlformats.org/officeDocument/2006/docPropsVTypes"/>
</file>