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b862b6fb024cbf16ad935b318d1342c580c1fd"/>
    <w:p>
      <w:pPr>
        <w:pStyle w:val="Heading1"/>
      </w:pPr>
      <w:r>
        <w:t xml:space="preserve">Реализация подхода на основе внутренних рейтингов (Положение № 845-П)</w:t>
      </w:r>
    </w:p>
    <w:p>
      <w:pPr>
        <w:pStyle w:val="FirstParagraph"/>
      </w:pPr>
      <w:r>
        <w:t xml:space="preserve">Реализация подхода на основе внутренних рейтингов (Положение № 845-П)</w:t>
      </w:r>
    </w:p>
    <w:p>
      <w:pPr>
        <w:pStyle w:val="BodyText"/>
      </w:pPr>
      <w:r>
        <w:t xml:space="preserve">Корпоративное управление, внутренний аудит и внутренний контроль</w:t>
      </w:r>
    </w:p>
    <w:p>
      <w:pPr>
        <w:pStyle w:val="BodyText"/>
      </w:pPr>
      <w:r>
        <w:t xml:space="preserve">В соответствии с пунктом 16.6 Положения № 845-П служба внутреннего аудита банка не реже одного раза в календарный год проводит проверки качества функционирования рейтинговых систем и количественных оценок компонентов кредитного риска по направлениям проверки, отраженным в данном пункте положения. Просим более подробно разъяснить какие мероприятия необходимо проводить в рамках каждого направления.</w:t>
      </w:r>
    </w:p>
    <w:p>
      <w:pPr>
        <w:pStyle w:val="BodyText"/>
      </w:pPr>
      <w:r>
        <w:t xml:space="preserve">Обновлено: 09.12.2025</w:t>
      </w:r>
    </w:p>
    <w:p>
      <w:pPr>
        <w:pStyle w:val="BodyText"/>
      </w:pPr>
      <w:r>
        <w:t xml:space="preserve">При организации работы службы внутреннего аудита в части проведения проверки качества реализации подхода на основе внутренних рейтингов (ПВР) в соответствии с требованиями Положения № 845-П банки могут руководствоваться настоящими Рекомендациями 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2026-09-27T11:01:28Z</dcterms:created>
  <dcterms:modified xsi:type="dcterms:W3CDTF">2026-09-27T11:01:28Z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