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антикризисная-политика"/>
    <w:p>
      <w:pPr>
        <w:pStyle w:val="Heading1"/>
      </w:pPr>
      <w:r>
        <w:t xml:space="preserve">Антикризисная политика</w:t>
      </w:r>
    </w:p>
    <w:p>
      <w:pPr>
        <w:pStyle w:val="FirstParagraph"/>
      </w:pPr>
      <w:r>
        <w:t xml:space="preserve">Антикризисная политика</w:t>
      </w:r>
    </w:p>
    <w:p>
      <w:pPr>
        <w:pStyle w:val="BodyText"/>
      </w:pPr>
      <w:r>
        <w:t xml:space="preserve">Антикризисная политика включает меры, направленные на ограничение масштабов распространения кризисов, уменьшение их продолжительности и глубины, смягчение и преодоление последствий кризисных ситуаций.</w:t>
      </w:r>
    </w:p>
    <w:p>
      <w:pPr>
        <w:pStyle w:val="BodyText"/>
      </w:pPr>
      <w:r>
        <w:t xml:space="preserve">В периоды кризисов Банк России во взаимодействии с Правительством Российской Федерации реализует антикризисные меры на финансовом рынке и участвует в разработке и реализации мер по поддержке граждан и других субъектов экономики . Набор применяемых регулятором мер зависит от характера и особенностей кризиса, его масштабов и глубины. В аналитическом докладе представлена информация о том, какие антикризисные решения принимал Банк России в 2008-2022 годах, какова была эффективность мер и какие уроки удалось извлечь в каждом случае.</w:t>
      </w:r>
    </w:p>
    <w:p>
      <w:pPr>
        <w:pStyle w:val="BodyText"/>
      </w:pPr>
      <w:r>
        <w:t xml:space="preserve">Антикризисные меры Банка России на финансовом рынке</w:t>
      </w:r>
    </w:p>
    <w:p>
      <w:pPr>
        <w:pStyle w:val="BodyText"/>
      </w:pPr>
      <w:r>
        <w:t xml:space="preserve">Регуляторные послабления</w:t>
      </w:r>
    </w:p>
    <w:p>
      <w:pPr>
        <w:pStyle w:val="BodyText"/>
      </w:pPr>
      <w:r>
        <w:t xml:space="preserve">Регуляторные послабления касаются применения финансовыми организациями макропруденциальных и пруденциальных норм. Использование послаблений смягчает последствия кризисов для финансовых организаций, позволяет стабилизировать их финансовое положение, поддерживать кредитную активность и непрерывность деятельности. Регуляторные послабления включают:</w:t>
      </w:r>
    </w:p>
    <w:p>
      <w:pPr>
        <w:pStyle w:val="BodyText"/>
      </w:pPr>
      <w:r>
        <w:t xml:space="preserve">снижение величин надбавок к коэффициентам риска и национальной антициклической надбавки ,</w:t>
      </w:r>
    </w:p>
    <w:p>
      <w:pPr>
        <w:pStyle w:val="BodyText"/>
      </w:pPr>
      <w:r>
        <w:t xml:space="preserve">временные послабления при классификации реструктурированных кредитов и формировании резервов на возможные потери при признании отрицательных разниц в убытках.</w:t>
      </w:r>
    </w:p>
    <w:p>
      <w:pPr>
        <w:pStyle w:val="BodyText"/>
      </w:pPr>
      <w:r>
        <w:t xml:space="preserve">Послабления могут применяться в отношении других норм и требований, например установление особого порядка представления отчетности для снижения надзорной нагрузки на финансовые организации в кризисные периоды. Банком России реализован разнообразный набор регуляторных и надзорных послаблений в составе мер по ограничению последствий пандемии коронавирусной инфекции .</w:t>
      </w:r>
    </w:p>
    <w:p>
      <w:pPr>
        <w:pStyle w:val="BodyText"/>
      </w:pPr>
      <w:r>
        <w:t xml:space="preserve">Макропруденциальные инструменты стали широко применяться регуляторами после кризиса 2007-2009 годов. Их первое существенное смягчение произошло в 2020 году в период пандемии коронавирусной инфекции. Весной 2020 года во многих странах был полностью или частично высвобожден контрциклический буфер капитала, в отдельных странах была снижена величина надбавки за системную значимость. В ряде стран (Чехии, Новой Зеландии и др.) были смягчены секторальные макропруденциальные ограничения. В части пруденциальных норм в 2020 году ряд регуляторов (в том числе, Европейский центральный банк и Банк России) разрешили банкам временно поддерживать норматив краткосрочной ликвидности ниже установленного уровня в 100%.</w:t>
      </w:r>
    </w:p>
    <w:p>
      <w:pPr>
        <w:pStyle w:val="BodyText"/>
      </w:pPr>
      <w:r>
        <w:t xml:space="preserve">Меры по поддержке рынков и ликвидности в национальной и иностранной валютах</w:t>
      </w:r>
    </w:p>
    <w:p>
      <w:pPr>
        <w:pStyle w:val="BodyText"/>
      </w:pPr>
      <w:r>
        <w:t xml:space="preserve">Смягчение требований к обеспечению, расширение перечня принимаемых в обеспечение ценных бумаг и других активов увеличивают доступ кредитных организаций к кредитам Банка России. Введение новых инструментов по предоставлению банкам ликвидности способствует снятию напряженности на межбанковском рынке и продолжению кредитования. Банк России активно применял меры по поддержанию ликвидности в период повышенной волатильности на валютном и фондовом рынке в 2014–2015 годах. Кроме того, для поддержки рынков Банк России может проводить операции по покупке/продаже иностранной валюты.</w:t>
      </w:r>
    </w:p>
    <w:p>
      <w:pPr>
        <w:pStyle w:val="BodyText"/>
      </w:pPr>
      <w:r>
        <w:t xml:space="preserve">В период глобального финансового кризиса 2007–2008 годов центральные банки развитых стран расширили традиционные подходы к предоставлению ликвидности. В частности, Федеральная резервная система США, Европейский центральный банк, Банк Англии и Банк Японии запустили программы количественного смягчения (quantitative easing, QE), представляющие собой крупномасштабные покупки государственных ценных бумаг и других финансовых активов. В 2020 году программы по покупке активов были существенно расширены ведущими центральными банками. Наряду с этим, центральные банки реализовали программы поддержки ликвидности небанковских финансовых организаций. Для обеспечения валютной ликвидности центральные банки заключают своп-соглашения. В 2020 году в некоторых странах с формирующимися рынками центральные банки также впервые прибегли к интервенциям на рынках государственных облигаций.</w:t>
      </w:r>
    </w:p>
    <w:p>
      <w:pPr>
        <w:pStyle w:val="BodyText"/>
      </w:pPr>
      <w:r>
        <w:t xml:space="preserve">В периоды повышения рисков потоков капитала центральные банки в странах с формирующимися рынками и в развитых странах проводили валютные интервенции против обесценения валют (Дания, Норвегия, Чили, Бразилия, Колумбия, Индия, Мексика, Перу, Россия и другие) или ее укрепления (Швейцария).</w:t>
      </w:r>
    </w:p>
    <w:p>
      <w:pPr>
        <w:pStyle w:val="BodyText"/>
      </w:pPr>
      <w:r>
        <w:t xml:space="preserve">Для ограничения рисков биржевой паники в периоды кризисов регуляторы могут вводить временный запрет на короткие продажи. Например, в сентябре 2008 года Комиссия по ценным бумагам и биржам США (SEC) ввела временный запрет на необеспеченные короткие продажи акций финансовых организаций. В Китае на фоне обвала фондового рынка летом 2015 года были введены запрет на продажу акций госкомпаний и шестимесячный мораторий на продажу бумаг публичных компаний крупными акционерами (владеющими пакетами акций торгуемых компаний более чем в 5%). В некоторых европейских странах (Франция, Австрия, Бельгия, Греция, Италия, Испания) запрет на короткие продажи был введен на два месяца в начале пандемии коронавирусной инфекции весной 2020 года. В Южной Корее такой запрет введен до марта 2021 года.</w:t>
      </w:r>
    </w:p>
    <w:p>
      <w:pPr>
        <w:pStyle w:val="BodyText"/>
      </w:pPr>
      <w:r>
        <w:t xml:space="preserve">Многие центральные банки в период пандемии в 2020 году проводили операции по покупке ценных бумаг для стабилизации финансовых рынков. Наряду с ведущими центральными банками ряд центральных банков из стран EME (Индонезия, Индия, Венгрия и т.д.) стали интервенировать на рынках государственных облигаций. Данные покупки нацелены на ограничение рыночных колебаний, возникающих на рынках из-за неприятия риска инвесторами, и по сути представляют собой таргетирование долгосрочных процентных ставок.</w:t>
      </w:r>
    </w:p>
    <w:p>
      <w:pPr>
        <w:pStyle w:val="BodyText"/>
      </w:pPr>
      <w:r>
        <w:t xml:space="preserve">Меры финансового оздоровления</w:t>
      </w:r>
    </w:p>
    <w:p>
      <w:pPr>
        <w:pStyle w:val="BodyText"/>
      </w:pPr>
      <w:r>
        <w:t xml:space="preserve">К мерам финансового оздоровления относятся:</w:t>
      </w:r>
    </w:p>
    <w:p>
      <w:pPr>
        <w:pStyle w:val="BodyText"/>
      </w:pPr>
      <w:r>
        <w:t xml:space="preserve">докапитализация финансовых организаций,</w:t>
      </w:r>
    </w:p>
    <w:p>
      <w:pPr>
        <w:pStyle w:val="BodyText"/>
      </w:pPr>
      <w:r>
        <w:t xml:space="preserve">реорганизация,</w:t>
      </w:r>
    </w:p>
    <w:p>
      <w:pPr>
        <w:pStyle w:val="BodyText"/>
      </w:pPr>
      <w:r>
        <w:t xml:space="preserve">реструктуризация долгов,</w:t>
      </w:r>
    </w:p>
    <w:p>
      <w:pPr>
        <w:pStyle w:val="BodyText"/>
      </w:pPr>
      <w:r>
        <w:t xml:space="preserve">выкуп проблемных активов,</w:t>
      </w:r>
    </w:p>
    <w:p>
      <w:pPr>
        <w:pStyle w:val="BodyText"/>
      </w:pPr>
      <w:r>
        <w:t xml:space="preserve">частичная компенсация убытков и другие меры финансовой помощи финансовым организациям.</w:t>
      </w:r>
    </w:p>
    <w:p>
      <w:pPr>
        <w:pStyle w:val="BodyText"/>
      </w:pPr>
      <w:r>
        <w:t xml:space="preserve">В 2017 году был внедрен механизм финансового оздоровления с участием Банка России, который предусматривает оказание регулятором финансовой помощи кредитной организации, в том числе посредством приобретения акций (долей) в уставном капитале, предоставления кредитов, размещения депозитов за счет денежных средств, составляющих Фонд консолидации банковского сектора .</w:t>
      </w:r>
    </w:p>
    <w:p>
      <w:pPr>
        <w:pStyle w:val="BodyText"/>
      </w:pPr>
      <w:r>
        <w:t xml:space="preserve">Международный опыт применения мер финансового оздоровления включает большое разнообразие программ по докапитализации, которые преимущественно основаны на реализации следующих схем:</w:t>
      </w:r>
    </w:p>
    <w:p>
      <w:pPr>
        <w:numPr>
          <w:ilvl w:val="0"/>
          <w:numId w:val="1001"/>
        </w:numPr>
      </w:pPr>
      <w:r>
        <w:t xml:space="preserve">Выкуп «плохих» активов (перевод активов в «плохой банк») – широко использовался, например, в Швеции в начале 90-х годов, в рамках кризиса 2007–2009 годов – в Испании, Ирландии и США.</w:t>
      </w:r>
    </w:p>
    <w:p>
      <w:pPr>
        <w:numPr>
          <w:ilvl w:val="0"/>
          <w:numId w:val="1001"/>
        </w:numPr>
      </w:pPr>
      <w:r>
        <w:t xml:space="preserve">Гарантирование активов банков (в США и Великобритания в 2008–2009 годах было предложено нескольким наиболее значимым банкам, чтобы предотвратить утрату доверия и отток средств населения и прочих кредиторов) или гарантирование обязательств (применялось более широко – в 2008–2009 годах почти все ведущие страны бессрочно или временно увеличили страховое покрытие по вкладам).</w:t>
      </w:r>
    </w:p>
    <w:p>
      <w:pPr>
        <w:numPr>
          <w:ilvl w:val="0"/>
          <w:numId w:val="1001"/>
        </w:numPr>
      </w:pPr>
      <w:r>
        <w:t xml:space="preserve">Прямое вхождение в капитал банков (bail-out) путем приобретения долевых ценных бумаг и временное принятие управленческих полномочий надзорным регулирующим органом (применялось во многих странах, в том числе в России).</w:t>
      </w:r>
    </w:p>
    <w:p>
      <w:pPr>
        <w:pStyle w:val="FirstParagraph"/>
      </w:pPr>
      <w:r>
        <w:t xml:space="preserve">Перечисленные меры не раз подтверждали свою эффективность, однако они также создают моральный риск злоупотребления государственной поддержкой (moral hazard). Во многих случаях государственное участие в капитале банков затягивалось на годы, превышая первоначальные планы (например, через 10 лет после кризиса 1997 года в Японии оставалось не продано более 30% государственной доли).</w:t>
      </w:r>
    </w:p>
    <w:p>
      <w:pPr>
        <w:pStyle w:val="Compact"/>
        <w:numPr>
          <w:ilvl w:val="0"/>
          <w:numId w:val="1002"/>
        </w:numPr>
      </w:pPr>
      <w:r>
        <w:t xml:space="preserve">Целью регуляторных реформ после глобального финансового кризиса 2007–2008 годов стало развитие механизмов bail-in, когда вместо средств налогоплательщиков для спасения банка используются средства его кредиторов. Однако в этой ситуации нельзя исключать риск, что такие списания в ходе кризиса вызовут еще бо́льшую панику на рынке. На данный момент таких примеров мало: подобные списания имели место в 2013 году на Кипре, однако тогда в основном были списаны средства нерезидентов.</w:t>
      </w:r>
    </w:p>
    <w:p>
      <w:pPr>
        <w:pStyle w:val="FirstParagraph"/>
      </w:pPr>
      <w:r>
        <w:t xml:space="preserve">Для глобальных системно значимых банков Совет по финансовой стабильности (Financial Stability Board, FSB) разработал в 2015 году требования к их общей способности поглощать убытки TLAC (total loss absorbing capacity) в процессе урегулирования несостоятельности. Стандарт TLAC призван обеспечить достаточный объем капитала и обязательств у банков для поглощения убытков, что будет способствовать упорядоченному урегулированию несостоятельности без угрозы для финансовой стабильности, выполнению банками критически важных функций и без необходимости использовать средства налогоплательщиков.</w:t>
      </w:r>
    </w:p>
    <w:p>
      <w:pPr>
        <w:pStyle w:val="BodyText"/>
      </w:pPr>
      <w:r>
        <w:t xml:space="preserve">Дополнительная информация</w:t>
      </w:r>
    </w:p>
    <w:p>
      <w:pPr>
        <w:pStyle w:val="BodyText"/>
      </w:pPr>
      <w:r>
        <w:t xml:space="preserve">Меры Банка России по ограничению последствий введения санкций США и ЕС в отношении российских банков и компаний в 2014-2015 гг.</w:t>
      </w:r>
    </w:p>
    <w:p>
      <w:pPr>
        <w:pStyle w:val="BodyText"/>
      </w:pPr>
      <w:r>
        <w:t xml:space="preserve">Коронавирус: меры поддержки граждан и бизнеса</w:t>
      </w:r>
    </w:p>
    <w:p>
      <w:pPr>
        <w:pStyle w:val="BodyText"/>
      </w:pPr>
      <w:r>
        <w:t xml:space="preserve">Центральный банк Российской Федерации</w:t>
      </w:r>
    </w:p>
    <w:p>
      <w:pPr>
        <w:pStyle w:val="BodyText"/>
      </w:pPr>
      <w:r>
        <w:t xml:space="preserve">Доклад об антикризисных мерах Банка России</w:t>
      </w:r>
    </w:p>
    <w:p>
      <w:pPr>
        <w:pStyle w:val="BodyText"/>
      </w:pPr>
      <w:r>
        <w:t xml:space="preserve">Ответственное структурное подразделение: Департамент финансовой стабильности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2026-09-27T11:00:26Z</dcterms:created>
  <dcterms:modified xsi:type="dcterms:W3CDTF">2026-09-27T11:00:26Z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