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aff6081b9b85f3ef464590f270983f944b2e25"/>
    <w:p>
      <w:pPr>
        <w:pStyle w:val="Heading1"/>
      </w:pPr>
      <w:r>
        <w:t xml:space="preserve">Виды недобросовестного поведения участников финансового рынка</w:t>
      </w:r>
    </w:p>
    <w:p>
      <w:pPr>
        <w:pStyle w:val="FirstParagraph"/>
      </w:pPr>
      <w:r>
        <w:t xml:space="preserve">Виды недобросовестного поведения участников финансового рынка</w:t>
      </w:r>
    </w:p>
    <w:p>
      <w:pPr>
        <w:pStyle w:val="BodyText"/>
      </w:pPr>
      <w:r>
        <w:t xml:space="preserve">Термин «мисселинг» (misselling) нередко используется для обозначения любой неприемлемой практики или недобросовестного поведения финансовых организаций при их взаимодействии с потребителями и инвесторами. Однако сам по себе он имеет более узкое значение: это продажа одного финансового продукта под видом другого, то есть лишь один из вариантов недобросовестного поведения.</w:t>
      </w:r>
    </w:p>
    <w:p>
      <w:pPr>
        <w:pStyle w:val="BodyText"/>
      </w:pPr>
      <w:r>
        <w:t xml:space="preserve">Общим термином для всех недобросовестных практик является misconduct — («ненадлежащее поведение»), которое в каждом конкретном случае может содержать сразу несколько видов недобросовестных практик.</w:t>
      </w:r>
    </w:p>
    <w:p>
      <w:pPr>
        <w:pStyle w:val="BodyText"/>
      </w:pPr>
      <w:r>
        <w:t xml:space="preserve">Чтобы избежать терминологической неопределенности и сложностей при обсуждении вопросов, связанных c защитой интересов потребителей финансовых услуг и инвесторов, Банк России считает необходимым ввести единые определения недобросовестных практик. Перечень понятий и терминов предлагается к использованию как участниками финансового рынка, так и профессиональным сообществом.</w:t>
      </w:r>
    </w:p>
    <w:p>
      <w:pPr>
        <w:pStyle w:val="BodyText"/>
      </w:pPr>
      <w:r>
        <w:t xml:space="preserve">Недобросовестное информирование (Misinforming) Искажение и/или представление клиенту неполной информации о финансовом продукте (услуге).</w:t>
      </w:r>
    </w:p>
    <w:p>
      <w:pPr>
        <w:pStyle w:val="BodyText"/>
      </w:pPr>
      <w:r>
        <w:t xml:space="preserve">Искажение информации о доходности и рисках продукта</w:t>
      </w:r>
    </w:p>
    <w:p>
      <w:pPr>
        <w:pStyle w:val="BodyText"/>
      </w:pPr>
      <w:r>
        <w:t xml:space="preserve">Обещание гарантированного получения дохода.</w:t>
      </w:r>
    </w:p>
    <w:p>
      <w:pPr>
        <w:pStyle w:val="BodyText"/>
      </w:pPr>
      <w:r>
        <w:t xml:space="preserve">Ссылка на наличие «гарантии со стороны государства» при предложении продуктов (услуг) коммерческими организациями, не подлежащих страхованию в соответствии с Федеральным законом от 23.12.2003 № 177-ФЗ «О страховании вкладов в банках Российской Федерации».</w:t>
      </w:r>
    </w:p>
    <w:p>
      <w:pPr>
        <w:pStyle w:val="BodyText"/>
      </w:pPr>
      <w:r>
        <w:t xml:space="preserve">Навязывание услуги или продукта, недостаточное информирование, умалчивание существенной информации</w:t>
      </w:r>
    </w:p>
    <w:p>
      <w:pPr>
        <w:pStyle w:val="BodyText"/>
      </w:pPr>
      <w:r>
        <w:t xml:space="preserve">Утаивание информации об отсутствии гарантий получения полной суммы внесенных денежных средств при досрочном расторжении договора, обозначение потребителю (инвестору) только положительных качеств (условий) договора,продукта или услуги.</w:t>
      </w:r>
    </w:p>
    <w:p>
      <w:pPr>
        <w:pStyle w:val="BodyText"/>
      </w:pPr>
      <w:r>
        <w:t xml:space="preserve">Реализация продукта (услуги) путем акцепта оплатой, то есть заемщику не предоставляются на ознакомление конкретные условия договора, договор считается заключенным по факту перевода средств, в том числе при выраженном несогласии с получением данной услуги в заявлении о предоставлении потребительского кредита.</w:t>
      </w:r>
    </w:p>
    <w:p>
      <w:pPr>
        <w:pStyle w:val="BodyText"/>
      </w:pPr>
      <w:r>
        <w:t xml:space="preserve">Навязывание продуктов (услуг) без предварительного ознакомления клиента с документами, содержащими все условия совершаемой сделки.</w:t>
      </w:r>
    </w:p>
    <w:p>
      <w:pPr>
        <w:pStyle w:val="BodyText"/>
      </w:pPr>
      <w:r>
        <w:t xml:space="preserve">Продажа неподходящих продуктов (Unsuitable selling) Продажа финансовых продуктов или услуг, не отвечающих интересам клиентов.</w:t>
      </w:r>
    </w:p>
    <w:p>
      <w:pPr>
        <w:pStyle w:val="BodyText"/>
      </w:pPr>
      <w:r>
        <w:t xml:space="preserve">Продажа продуктов социально незащищенным и уязвимым категориям клиентов</w:t>
      </w:r>
    </w:p>
    <w:p>
      <w:pPr>
        <w:pStyle w:val="BodyText"/>
      </w:pPr>
      <w:r>
        <w:t xml:space="preserve">Продажа инвестиционных продуктов, предполагающих получение дохода в долгосрочной перспективе, социально незащищенным слоям населения и гражданам пенсионного возраста. При досрочном выходе из таких продуктов не возвращается сумма изначально инвестированных средств.</w:t>
      </w:r>
    </w:p>
    <w:p>
      <w:pPr>
        <w:pStyle w:val="BodyText"/>
      </w:pPr>
      <w:r>
        <w:t xml:space="preserve">Продажа продуктов с высоким уровнем риска без оценки аппетита к риску клиента.</w:t>
      </w:r>
    </w:p>
    <w:p>
      <w:pPr>
        <w:pStyle w:val="BodyText"/>
      </w:pPr>
      <w:r>
        <w:t xml:space="preserve">Продажа сложных финансовых продуктов лицам, не обладающим достаточным опытом и знаниями</w:t>
      </w:r>
    </w:p>
    <w:p>
      <w:pPr>
        <w:pStyle w:val="BodyText"/>
      </w:pPr>
      <w:r>
        <w:t xml:space="preserve">Продажа сложных финансовых продуктов гражданам, у которых нет профильных знаний (опыта) работы для расчета их доходности.</w:t>
      </w:r>
    </w:p>
    <w:p>
      <w:pPr>
        <w:pStyle w:val="BodyText"/>
      </w:pPr>
      <w:r>
        <w:t xml:space="preserve">Продажа гражданам сложных финансовых продуктов без оценки или формальной оценки знаний клиента.</w:t>
      </w:r>
    </w:p>
    <w:p>
      <w:pPr>
        <w:pStyle w:val="BodyText"/>
      </w:pPr>
      <w:r>
        <w:t xml:space="preserve">Непрозрачное ценообразование (Mispricing) Введение в заблуждение относительно размера комиссий, стоимости (справедливой стоимости) финансового продукта или услуги.</w:t>
      </w:r>
    </w:p>
    <w:p>
      <w:pPr>
        <w:pStyle w:val="BodyText"/>
      </w:pPr>
      <w:r>
        <w:t xml:space="preserve">Предложение продуктов и услуг со скрытыми и непрозрачными комиссиями</w:t>
      </w:r>
    </w:p>
    <w:p>
      <w:pPr>
        <w:pStyle w:val="BodyText"/>
      </w:pPr>
      <w:r>
        <w:t xml:space="preserve">Установление двойных комиссий в связи с приобретением одного финансового продукта или услуги (например, взимание комиссии за управление паевым инвестиционным фондом наряду с комиссией за доверительное управление инвестиционным портфелем клиентов, в состав активов которого приобретаются инвестиционные паи фонда).</w:t>
      </w:r>
    </w:p>
    <w:p>
      <w:pPr>
        <w:pStyle w:val="BodyText"/>
      </w:pPr>
      <w:r>
        <w:t xml:space="preserve">Предложение финансовых продуктов и услуг, ценовые параметры (размер процентной ставки, премии, комиссии и другое) которых ущемляют интересы клиента</w:t>
      </w:r>
    </w:p>
    <w:p>
      <w:pPr>
        <w:pStyle w:val="BodyText"/>
      </w:pPr>
      <w:r>
        <w:t xml:space="preserve">Предложение потребителю финансового продукта или услуги, стоимость которых (комиссии по которым) существенно отклоняются от параметров аналогичных сделок на рынке (предложение заключить опционный договор с взиманием завышенной премии, предложение выкупа ликвидных ценных бумаг на внебиржевом рынке по заниженной цене, применение сложных тарифов с завышенными комиссиями).</w:t>
      </w:r>
    </w:p>
    <w:p>
      <w:pPr>
        <w:pStyle w:val="BodyText"/>
      </w:pPr>
      <w:r>
        <w:t xml:space="preserve">Неразъяснение гражданину информации о полной стоимости продукта или услуги, а также о дополнительных расходах, связанных с их приобретением и хранением.</w:t>
      </w:r>
    </w:p>
    <w:p>
      <w:pPr>
        <w:pStyle w:val="BodyText"/>
      </w:pPr>
      <w:r>
        <w:t xml:space="preserve">Предложение потребителю финансового продукта без разъяснения информации о том, что данный продукт предполагает фиксированный ежегодный взнос.</w:t>
      </w:r>
    </w:p>
    <w:p>
      <w:pPr>
        <w:pStyle w:val="BodyText"/>
      </w:pPr>
      <w:r>
        <w:t xml:space="preserve">Навязывание продуктов в целях начисления дополнительных комиссий (Churning)</w:t>
      </w:r>
    </w:p>
    <w:p>
      <w:pPr>
        <w:pStyle w:val="BodyText"/>
      </w:pPr>
      <w:r>
        <w:t xml:space="preserve">Навязывание брокером или агентом финансовой организации приобретения финансовых инструментов (услуг) совершения сделок за счет клиента в целях увеличения комиссии (агентского вознаграждения), не имеющих экономического смысла для клиента.</w:t>
      </w:r>
    </w:p>
    <w:p>
      <w:pPr>
        <w:pStyle w:val="BodyText"/>
      </w:pPr>
      <w:r>
        <w:t xml:space="preserve">Связанная продажа (Tied selling) Практика компании, предоставляющей финансовый продукт или услугу при условии, что клиент покупает какой-либо другой продукт или услугу.</w:t>
      </w:r>
    </w:p>
    <w:p>
      <w:pPr>
        <w:pStyle w:val="BodyText"/>
      </w:pPr>
      <w:r>
        <w:t xml:space="preserve">Включение договора об обязательном пенсионном страховании в комплект документов, необходимых для получения договора займа.</w:t>
      </w:r>
    </w:p>
    <w:p>
      <w:pPr>
        <w:pStyle w:val="BodyText"/>
      </w:pPr>
      <w:r>
        <w:t xml:space="preserve">Предоставление кредита только при условии приобретения определенного страхового продукта.</w:t>
      </w:r>
    </w:p>
    <w:p>
      <w:pPr>
        <w:pStyle w:val="BodyText"/>
      </w:pPr>
      <w:r>
        <w:t xml:space="preserve">Включение в договор на оказание банковского обслуживания депозитарных и брокерских договоров как обязательного условия приобретения банковского продукта.</w:t>
      </w:r>
    </w:p>
    <w:p>
      <w:pPr>
        <w:pStyle w:val="BodyText"/>
      </w:pPr>
      <w:r>
        <w:t xml:space="preserve">Неотражение в заявлении о предоставлении потребительского кредита дополнительной платной услуги, например сертификата на круглосуточную квалифицированную юридическую поддержку.</w:t>
      </w:r>
    </w:p>
    <w:p>
      <w:pPr>
        <w:pStyle w:val="BodyText"/>
      </w:pPr>
      <w:r>
        <w:t xml:space="preserve">Подмена продукта (Misselling) Предложение одного финансового продукта (услуги) под видом другого.</w:t>
      </w:r>
    </w:p>
    <w:p>
      <w:pPr>
        <w:pStyle w:val="BodyText"/>
      </w:pPr>
      <w:r>
        <w:t xml:space="preserve">Предложение комбинированного продукта, инвестиционного или страхового продукта под видом банковского вклада.</w:t>
      </w:r>
    </w:p>
    <w:p>
      <w:pPr>
        <w:pStyle w:val="BodyText"/>
      </w:pPr>
      <w:r>
        <w:t xml:space="preserve">Предложение услуг компаний, не имеющих лицензию Банка России (не входящих в реестр Банка России), под видом лицензированной деятельности.</w:t>
      </w:r>
    </w:p>
    <w:p>
      <w:pPr>
        <w:pStyle w:val="BodyText"/>
      </w:pPr>
      <w:r>
        <w:t xml:space="preserve">Предлагаемый перечень не является исчерпывающим и включает наиболее распространенные практики.</w:t>
      </w:r>
    </w:p>
    <w:p>
      <w:pPr>
        <w:pStyle w:val="BodyText"/>
      </w:pPr>
      <w:r>
        <w:t xml:space="preserve">Ответственное структурное подразделение: Служба по защите прав потребителей и обеспечению доступности финансовых услуг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2026-09-27T11:00:28Z</dcterms:created>
  <dcterms:modified xsi:type="dcterms:W3CDTF">2026-09-27T11:00:28Z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