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вопросы-и-ответы"/>
    <w:p>
      <w:pPr>
        <w:pStyle w:val="Heading1"/>
      </w:pPr>
      <w:r>
        <w:t xml:space="preserve">Вопросы и ответы</w:t>
      </w:r>
    </w:p>
    <w:p>
      <w:pPr>
        <w:pStyle w:val="FirstParagraph"/>
      </w:pPr>
      <w:r>
        <w:t xml:space="preserve">Вопросы и ответы</w:t>
      </w:r>
    </w:p>
    <w:p>
      <w:pPr>
        <w:pStyle w:val="BodyText"/>
      </w:pPr>
      <w:r>
        <w:t xml:space="preserve">Удаленная идентификация</w:t>
      </w:r>
    </w:p>
    <w:p>
      <w:pPr>
        <w:pStyle w:val="BodyText"/>
      </w:pPr>
      <w:r>
        <w:t xml:space="preserve">Как проверить регистрацию в Единой биометрической системе?</w:t>
      </w:r>
    </w:p>
    <w:p>
      <w:pPr>
        <w:pStyle w:val="BodyText"/>
      </w:pPr>
      <w:r>
        <w:t xml:space="preserve">Обновлено: 18.02.2026</w:t>
      </w:r>
    </w:p>
    <w:p>
      <w:pPr>
        <w:pStyle w:val="BodyText"/>
      </w:pPr>
      <w:r>
        <w:t xml:space="preserve">В вашем личном кабинете:</w:t>
      </w:r>
    </w:p>
    <w:p>
      <w:pPr>
        <w:pStyle w:val="BodyText"/>
      </w:pPr>
      <w:r>
        <w:t xml:space="preserve">на Едином портале госуслуг gosuslugi.ru или в мобильном приложении Госуслуги.Биометрия;</w:t>
      </w:r>
    </w:p>
    <w:p>
      <w:pPr>
        <w:pStyle w:val="BodyText"/>
      </w:pPr>
      <w:r>
        <w:t xml:space="preserve">на портале Единой биометрической системы ebs.ru ;</w:t>
      </w:r>
    </w:p>
    <w:p>
      <w:pPr>
        <w:pStyle w:val="BodyText"/>
      </w:pPr>
      <w:r>
        <w:t xml:space="preserve">в мобильном приложении Единой биометрической системы в Google Play , RuStore или App Store .</w:t>
      </w:r>
    </w:p>
    <w:p>
      <w:pPr>
        <w:pStyle w:val="BodyText"/>
      </w:pPr>
      <w:r>
        <w:t xml:space="preserve">Какие меры защиты биометрических данных предусмотрены Единой биометрической системой?</w:t>
      </w:r>
    </w:p>
    <w:p>
      <w:pPr>
        <w:pStyle w:val="BodyText"/>
      </w:pPr>
      <w:r>
        <w:t xml:space="preserve">Обновлено: 30.01.2020</w:t>
      </w:r>
    </w:p>
    <w:p>
      <w:pPr>
        <w:pStyle w:val="BodyText"/>
      </w:pPr>
      <w:r>
        <w:t xml:space="preserve">Процедура удаленной идентификации гражданина с помощью Единой биометрической системы надежно защищена от взлома и мошенничества с помощью самых высоких стандартов защиты информации. Биометрические данные в Единую биометрическую систему передаются по защищенному отечественными криптоалгоритмами каналу связи.</w:t>
      </w:r>
    </w:p>
    <w:p>
      <w:pPr>
        <w:pStyle w:val="BodyText"/>
      </w:pPr>
      <w:r>
        <w:t xml:space="preserve">Мобильное приложение Единой биометрической системы имеет встроенные криптографические средства защиты информации, которое соответствует всем требованиям законодательства нашей страны в сфере защиты информации.</w:t>
      </w:r>
    </w:p>
    <w:p>
      <w:pPr>
        <w:pStyle w:val="BodyText"/>
      </w:pPr>
      <w:r>
        <w:t xml:space="preserve">Биометрические данные граждан в Единой биометрической системе хранятся в зашифрованном виде в обезличенной форме отдельно от других персональных данных, таких как Ф.И.О., паспорт, СНИЛС и так далее, которые хранятся в Единой системе идентификации и аутентификации (ЕСИА). Связка между системами осуществляется по технологическому идентификатору ЕСИА.</w:t>
      </w:r>
    </w:p>
    <w:p>
      <w:pPr>
        <w:pStyle w:val="BodyText"/>
      </w:pPr>
      <w:r>
        <w:t xml:space="preserve">Можно ли обмануть систему, используя, например, фотографию человека или записи голоса?</w:t>
      </w:r>
    </w:p>
    <w:p>
      <w:pPr>
        <w:pStyle w:val="BodyText"/>
      </w:pPr>
      <w:r>
        <w:t xml:space="preserve">Обновлено: 28.02.2020</w:t>
      </w:r>
    </w:p>
    <w:p>
      <w:pPr>
        <w:pStyle w:val="BodyText"/>
      </w:pPr>
      <w:r>
        <w:t xml:space="preserve">Для надежности и безопасности при проведении идентификации используется алгоритм, позволяющий проверять, что перед камерой находится живой человек. При удаленной идентификации у пользователя появляется окно для видеозаписи и случайно сгенерированная последовательность цифр, которую нужно прочесть вслух на камеру. Система сравнит эту запись с образцами, которые хранятся в Единой биометрической системе, и сообщит банку степень совпадения. Такая проверка является дополнительным фактором, обеспечивающим предотвращение несанкционированного доступа к биометрическим данным, хранящимся в Единой биометрической системе.</w:t>
      </w:r>
    </w:p>
    <w:p>
      <w:pPr>
        <w:pStyle w:val="BodyText"/>
      </w:pPr>
      <w:r>
        <w:t xml:space="preserve">Сколько стоит удаленная идентификация?</w:t>
      </w:r>
    </w:p>
    <w:p>
      <w:pPr>
        <w:pStyle w:val="BodyText"/>
      </w:pPr>
      <w:r>
        <w:t xml:space="preserve">Обновлено: 30.01.2020</w:t>
      </w:r>
    </w:p>
    <w:p>
      <w:pPr>
        <w:pStyle w:val="BodyText"/>
      </w:pPr>
      <w:r>
        <w:t xml:space="preserve">Первичная регистрация в ЕСИА и Единой биометрической системе, а также удаленная идентификация для гражданина является бесплатной.</w:t>
      </w:r>
    </w:p>
    <w:p>
      <w:pPr>
        <w:pStyle w:val="BodyText"/>
      </w:pPr>
      <w:r>
        <w:t xml:space="preserve">Какие банковские операции доступны клиентам при использовании удаленной идентификации?</w:t>
      </w:r>
    </w:p>
    <w:p>
      <w:pPr>
        <w:pStyle w:val="BodyText"/>
      </w:pPr>
      <w:r>
        <w:t xml:space="preserve">Обновлено: 18.02.2026</w:t>
      </w:r>
    </w:p>
    <w:p>
      <w:pPr>
        <w:pStyle w:val="BodyText"/>
      </w:pPr>
      <w:r>
        <w:t xml:space="preserve">Граждане могут дистанционно открывать счета (вклады), получать кредиты, осуществлять переводы, а также платить за покупки.</w:t>
      </w:r>
    </w:p>
    <w:p>
      <w:pPr>
        <w:pStyle w:val="BodyText"/>
      </w:pPr>
      <w:r>
        <w:t xml:space="preserve">Открытые API</w:t>
      </w:r>
    </w:p>
    <w:p>
      <w:pPr>
        <w:pStyle w:val="BodyText"/>
      </w:pPr>
      <w:r>
        <w:t xml:space="preserve">Какие данные могут передаваться с помощью Открытых API?</w:t>
      </w:r>
    </w:p>
    <w:p>
      <w:pPr>
        <w:pStyle w:val="BodyText"/>
      </w:pPr>
      <w:r>
        <w:t xml:space="preserve">Обновлено: 24.12.2025</w:t>
      </w:r>
    </w:p>
    <w:p>
      <w:pPr>
        <w:pStyle w:val="BodyText"/>
      </w:pPr>
      <w:r>
        <w:t xml:space="preserve">С помощью Открытых API с согласия клиента могут передаваться данные, например о приобретенных финансовых и иных продуктах, выписки по счетам, персональные данные, выполняться заявки на действия со счетом или с продуктом клиента.</w:t>
      </w:r>
    </w:p>
    <w:p>
      <w:pPr>
        <w:pStyle w:val="BodyText"/>
      </w:pPr>
      <w:r>
        <w:t xml:space="preserve">При этом участники информационного обмена по Открытым API обязаны соблюдать единые правила, в которых закреплены требования к информационной безопасности.</w:t>
      </w:r>
    </w:p>
    <w:p>
      <w:pPr>
        <w:pStyle w:val="BodyText"/>
      </w:pPr>
      <w:r>
        <w:t xml:space="preserve">Почему API называются Открытыми?</w:t>
      </w:r>
    </w:p>
    <w:p>
      <w:pPr>
        <w:pStyle w:val="BodyText"/>
      </w:pPr>
      <w:r>
        <w:t xml:space="preserve">Обновлено: 24.12.2025</w:t>
      </w:r>
    </w:p>
    <w:p>
      <w:pPr>
        <w:pStyle w:val="BodyText"/>
      </w:pPr>
      <w:r>
        <w:t xml:space="preserve">Программные интерфейсы (API) – это широко используемая технология для обмена данными. Можно выделить несколько вариантов API:</w:t>
      </w:r>
    </w:p>
    <w:p>
      <w:pPr>
        <w:pStyle w:val="BodyText"/>
      </w:pPr>
      <w:r>
        <w:t xml:space="preserve">Внутренние (частные) API применяются для обмена данными между информационными системами внутри одной организации. Такие API позволяют эффективнее решать корпоративные задачи, способствуют отладке и оптимизации бизнес-процессов.</w:t>
      </w:r>
    </w:p>
    <w:p>
      <w:pPr>
        <w:pStyle w:val="BodyText"/>
      </w:pPr>
      <w:r>
        <w:t xml:space="preserve">Партнерские (коммерческие) API используются партнерами, между которыми заключаются соответствующие коммерческие договоры.</w:t>
      </w:r>
    </w:p>
    <w:p>
      <w:pPr>
        <w:pStyle w:val="BodyText"/>
      </w:pPr>
      <w:r>
        <w:t xml:space="preserve">Открытые API разрабатываются по единым стандартам, утвержденным регулятором, и предполагают равный доступ и единые условия подключения для всех участников информационного обмена.</w:t>
      </w:r>
    </w:p>
    <w:p>
      <w:pPr>
        <w:pStyle w:val="BodyText"/>
      </w:pPr>
      <w:r>
        <w:t xml:space="preserve">Кто такие поставщики и пользователи информации?</w:t>
      </w:r>
    </w:p>
    <w:p>
      <w:pPr>
        <w:pStyle w:val="BodyText"/>
      </w:pPr>
      <w:r>
        <w:t xml:space="preserve">Обновлено: 24.12.2025</w:t>
      </w:r>
    </w:p>
    <w:p>
      <w:pPr>
        <w:pStyle w:val="BodyText"/>
      </w:pPr>
      <w:r>
        <w:t xml:space="preserve">Обмен данными происходит между информационными системами двух разных организаций. При этом организации могут выступать в роли как пользователя информации, так и поставщика информации.</w:t>
      </w:r>
    </w:p>
    <w:p>
      <w:pPr>
        <w:pStyle w:val="BodyText"/>
      </w:pPr>
      <w:r>
        <w:t xml:space="preserve">Поставщики информации – организации, публикующие свои Открытые API и предоставляющие данные клиента (с его согласия) при получении соответствующего запроса от пользователя информации.</w:t>
      </w:r>
    </w:p>
    <w:p>
      <w:pPr>
        <w:pStyle w:val="BodyText"/>
      </w:pPr>
      <w:r>
        <w:t xml:space="preserve">Пользователи информации – организации, которые подключаются к Открытым API поставщиков информации, чтобы предоставить клиентам финансовые продукты и сервисы, основанные на полученных через Открытые API данных.</w:t>
      </w:r>
    </w:p>
    <w:p>
      <w:pPr>
        <w:pStyle w:val="BodyText"/>
      </w:pPr>
      <w:r>
        <w:t xml:space="preserve">Поставщиками и пользователями могут стать организации, соответствующие установленным Банком России критериям участников информационного обмена с помощью Открытых API.</w:t>
      </w:r>
    </w:p>
    <w:p>
      <w:pPr>
        <w:pStyle w:val="BodyText"/>
      </w:pPr>
      <w:r>
        <w:t xml:space="preserve">Что такое Платформа коммерческих согласий?</w:t>
      </w:r>
    </w:p>
    <w:p>
      <w:pPr>
        <w:pStyle w:val="BodyText"/>
      </w:pPr>
      <w:r>
        <w:t xml:space="preserve">Обновлено: 24.12.2025</w:t>
      </w:r>
    </w:p>
    <w:p>
      <w:pPr>
        <w:pStyle w:val="BodyText"/>
      </w:pPr>
      <w:r>
        <w:t xml:space="preserve">Платформа коммерческих согласий – защищенная и равноудаленная от всех участников инфраструктура по управлению согласиями.</w:t>
      </w:r>
    </w:p>
    <w:p>
      <w:pPr>
        <w:pStyle w:val="BodyText"/>
      </w:pPr>
      <w:r>
        <w:t xml:space="preserve">Платформа коммерческих согласий позволит сформировать прозрачную среду взаимодействия клиентов с участниками рынка, в которой у клиентов будет возможность просматривать информацию о предоставленных согласиях в формате одного окна (какие данные, в рамках какой услуги, на какой срок и кому передаются), а также в случае необходимости инициировать отзыв ранее предоставленного согласия.</w:t>
      </w:r>
    </w:p>
    <w:p>
      <w:pPr>
        <w:pStyle w:val="BodyText"/>
      </w:pPr>
      <w:r>
        <w:t xml:space="preserve">В настоящее время Платформа коммерческих согласий находится в стадии пилотирования.</w:t>
      </w:r>
    </w:p>
    <w:p>
      <w:pPr>
        <w:pStyle w:val="BodyText"/>
      </w:pPr>
      <w:r>
        <w:t xml:space="preserve">Применение искусственного интеллекта на финансовом рынке</w:t>
      </w:r>
    </w:p>
    <w:p>
      <w:pPr>
        <w:pStyle w:val="BodyText"/>
      </w:pPr>
      <w:r>
        <w:t xml:space="preserve">Действительно ли ИИ широко используется финансовыми организациями, или это просто «модный тренд»?</w:t>
      </w:r>
    </w:p>
    <w:p>
      <w:pPr>
        <w:pStyle w:val="BodyText"/>
      </w:pPr>
      <w:r>
        <w:t xml:space="preserve">Обновлено: 10.03.2026</w:t>
      </w:r>
    </w:p>
    <w:p>
      <w:pPr>
        <w:pStyle w:val="BodyText"/>
      </w:pPr>
      <w:r>
        <w:t xml:space="preserve">Внимание к ИИ значительно выросло в последние годы благодаря развитию технологий, позволяющих создавать новый контент (текст, изображение, аудио и видео) в ответ на запросы пользователя (генеративный ИИ). Однако на практике финансовые организации применяют ИИ достаточно давно. Например, кредитный скоринг уже многие годы в значительной степени основан на технологиях ИИ, и решение о выдаче кредита часто принимается без участия человека.</w:t>
      </w:r>
    </w:p>
    <w:p>
      <w:pPr>
        <w:pStyle w:val="BodyText"/>
      </w:pPr>
      <w:r>
        <w:t xml:space="preserve">Искусственный интеллект – это чат-боты?</w:t>
      </w:r>
    </w:p>
    <w:p>
      <w:pPr>
        <w:pStyle w:val="BodyText"/>
      </w:pPr>
      <w:r>
        <w:t xml:space="preserve">Обновлено: 10.03.2026</w:t>
      </w:r>
    </w:p>
    <w:p>
      <w:pPr>
        <w:pStyle w:val="BodyText"/>
      </w:pPr>
      <w:r>
        <w:t xml:space="preserve">Чат-боты – лишь один из примеров ИИ, который у всех на виду. В реальности случаев использования ИИ значительно больше. Финансовые организации применяют его для персонализации продуктов, управления рисками, аналитики данных, противодействия мошенничеству, автоматизации документооборота и во многих других процессах.</w:t>
      </w:r>
    </w:p>
    <w:p>
      <w:pPr>
        <w:pStyle w:val="BodyText"/>
      </w:pPr>
      <w:r>
        <w:t xml:space="preserve">С более подробной информацией о применении ИИ на российском финансовом рынке можно ознакомиться в нашем докладе .</w:t>
      </w:r>
    </w:p>
    <w:p>
      <w:pPr>
        <w:pStyle w:val="BodyText"/>
      </w:pPr>
      <w:r>
        <w:t xml:space="preserve">Отвечает ли финансовая организация за ошибки ИИ?</w:t>
      </w:r>
    </w:p>
    <w:p>
      <w:pPr>
        <w:pStyle w:val="BodyText"/>
      </w:pPr>
      <w:r>
        <w:t xml:space="preserve">Обновлено: 10.03.2026</w:t>
      </w:r>
    </w:p>
    <w:p>
      <w:pPr>
        <w:pStyle w:val="BodyText"/>
      </w:pPr>
      <w:r>
        <w:t xml:space="preserve">Применение ИИ не освобождает финансовую организацию от ответственности за нарушение прав клиента в соответствии с действующим законодательством. В таких случаях клиент вправе использовать все доступные ему способы защиты, включая обращение с жалобой в Банк России или в суд.</w:t>
      </w:r>
    </w:p>
    <w:p>
      <w:pPr>
        <w:pStyle w:val="BodyText"/>
      </w:pPr>
      <w:r>
        <w:t xml:space="preserve">В Кодексе этики Банк России также рекомендовал финансовым организациям предоставлять клиентам дополнительные возможности для защиты своих интересов, такие как возможность пересмотра решения, принятого с применением ИИ, сотрудником организации.</w:t>
      </w:r>
    </w:p>
    <w:p>
      <w:pPr>
        <w:pStyle w:val="BodyText"/>
      </w:pPr>
      <w:r>
        <w:t xml:space="preserve">Учитываются ли риски ИИ финансовыми организациями?</w:t>
      </w:r>
    </w:p>
    <w:p>
      <w:pPr>
        <w:pStyle w:val="BodyText"/>
      </w:pPr>
      <w:r>
        <w:t xml:space="preserve">Обновлено: 10.03.2026</w:t>
      </w:r>
    </w:p>
    <w:p>
      <w:pPr>
        <w:pStyle w:val="BodyText"/>
      </w:pPr>
      <w:r>
        <w:t xml:space="preserve">На финансовом рынке сформирована развитая культура управления рисками в целом, что, в том числе, способствует ответственному внедрению ИИ в финансовых организациях. Банк России постоянно мониторит применение ИИ в финансовых продуктах и сервисах и в Кодексе этики рекомендует финансовым организациям следовать принципу ответственного управления рисками.</w:t>
      </w:r>
    </w:p>
    <w:p>
      <w:pPr>
        <w:pStyle w:val="BodyText"/>
      </w:pPr>
      <w:r>
        <w:t xml:space="preserve">Могу ли я требовать переключения на оператора при взаимодействии с чат-ботом банка?</w:t>
      </w:r>
    </w:p>
    <w:p>
      <w:pPr>
        <w:pStyle w:val="BodyText"/>
      </w:pPr>
      <w:r>
        <w:t xml:space="preserve">Обновлено: 10.03.2026</w:t>
      </w:r>
    </w:p>
    <w:p>
      <w:pPr>
        <w:pStyle w:val="BodyText"/>
      </w:pPr>
      <w:r>
        <w:t xml:space="preserve">В Кодексе этики Банк России рекомендует финансовым организациям предоставлять клиентам возможность отказаться от взаимодействия с ИИ и переключать их на сотрудника организации. Результаты опроса Банка России показали, что более 80% финансовых организаций, использующих ИИ на постоянной основе, уже следуют этой рекомендации.</w:t>
      </w:r>
    </w:p>
    <w:p>
      <w:pPr>
        <w:pStyle w:val="BodyText"/>
      </w:pPr>
      <w:r>
        <w:t xml:space="preserve">Ответственное структурное подразделение: Департамент финансовых технологий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2026-09-27T11:00:27Z</dcterms:created>
  <dcterms:modified xsi:type="dcterms:W3CDTF">2026-09-27T11:00:27Z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