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глоссарий"/>
    <w:p>
      <w:pPr>
        <w:pStyle w:val="Heading1"/>
      </w:pPr>
      <w:r>
        <w:t xml:space="preserve">Глоссарий</w:t>
      </w:r>
    </w:p>
    <w:p>
      <w:pPr>
        <w:pStyle w:val="FirstParagraph"/>
      </w:pPr>
      <w:r>
        <w:t xml:space="preserve">Глоссарий</w:t>
      </w:r>
    </w:p>
    <w:p>
      <w:pPr>
        <w:pStyle w:val="BodyText"/>
      </w:pPr>
      <w:r>
        <w:t xml:space="preserve">Базовая инфляция</w:t>
      </w:r>
    </w:p>
    <w:p>
      <w:pPr>
        <w:pStyle w:val="BodyText"/>
      </w:pPr>
      <w:r>
        <w:t xml:space="preserve">Индикатор инфляции, характеризующий наиболее устойчивую ее часть. Базовая инфляция измеряется на основе базового индекса потребительских цен (БИПЦ). Отличие БИПЦ от индекса потребительских цен (ИПЦ) состоит в исключении при расчете БИПЦ изменения цен на отдельные товары и услуги, подверженные влиянию факторов, которые носят административный, а также сезонный характер (отдельные виды плодоовощной продукции, услуг пассажирского транспорта, связи, жилищно-коммунальных услуг, моторное топливо и так далее).</w:t>
      </w:r>
    </w:p>
    <w:p>
      <w:pPr>
        <w:pStyle w:val="BodyText"/>
      </w:pPr>
      <w:r>
        <w:t xml:space="preserve">Валютизация банковских депозитов (кредитов)</w:t>
      </w:r>
    </w:p>
    <w:p>
      <w:pPr>
        <w:pStyle w:val="BodyText"/>
      </w:pPr>
      <w:r>
        <w:t xml:space="preserve">Доля депозитов (кредитов) в иностранной валюте в общем объеме депозитов (кредитов) банковского сектора.</w:t>
      </w:r>
    </w:p>
    <w:p>
      <w:pPr>
        <w:pStyle w:val="BodyText"/>
      </w:pPr>
      <w:r>
        <w:t xml:space="preserve">Денежная база</w:t>
      </w:r>
    </w:p>
    <w:p>
      <w:pPr>
        <w:pStyle w:val="BodyText"/>
      </w:pPr>
      <w:r>
        <w:t xml:space="preserve">Сумма отдельных компонентов наличных денег и средств кредитных организаций на счетах и в облигациях Банка России в валюте Российской Федерации. Денежная база в узком определении включает наличные деньги в обращении (вне Банка России) и средства кредитных организаций на счетах по учету обязательных резервов по привлеченным кредитными организациями средствам в валюте Российской Федерации. Широкая денежная база включает наличные деньги в обращении (вне Банка России) и все средства кредитных организаций на счетах и в облигациях Банка России.</w:t>
      </w:r>
    </w:p>
    <w:p>
      <w:pPr>
        <w:pStyle w:val="BodyText"/>
      </w:pPr>
      <w:r>
        <w:t xml:space="preserve">Денежная масса</w:t>
      </w:r>
    </w:p>
    <w:p>
      <w:pPr>
        <w:pStyle w:val="BodyText"/>
      </w:pPr>
      <w:r>
        <w:t xml:space="preserve">Сумма денежных средств резидентов Российской Федерации (за исключением органов государственного управления и кредитных организаций). Для целей экономического анализа рассчитываются различные денежные агрегаты (М0, М1, М2).</w:t>
      </w:r>
    </w:p>
    <w:p>
      <w:pPr>
        <w:pStyle w:val="BodyText"/>
      </w:pPr>
      <w:r>
        <w:t xml:space="preserve">Денежная масса в национальном определении (денежный агрегат М2)</w:t>
      </w:r>
    </w:p>
    <w:p>
      <w:pPr>
        <w:pStyle w:val="BodyText"/>
      </w:pPr>
      <w:r>
        <w:t xml:space="preserve">Сумма наличных денег в обращении вне банковской системы и остатков средств резидентов Российской Федерации (нефинансовых и финансовых (кроме кредитных) организаций и физических лиц) на расчетных, текущих и иных счетах до востребования (в том числе счетах для расчетов с использованием банковских карт), срочных депозитов и иных привлеченных на срок средств, открытых в банковской системе в валюте Российской Федерации, а также начисленные проценты по ним.</w:t>
      </w:r>
    </w:p>
    <w:p>
      <w:pPr>
        <w:pStyle w:val="BodyText"/>
      </w:pPr>
      <w:r>
        <w:t xml:space="preserve">Индекс потребительских цен (ИПЦ)</w:t>
      </w:r>
    </w:p>
    <w:p>
      <w:pPr>
        <w:pStyle w:val="BodyText"/>
      </w:pPr>
      <w:r>
        <w:t xml:space="preserve">Отношение стоимости фиксированного набора товаров и услуг в ценах текущего периода к его стоимости в ценах преды</w:t>
      </w:r>
      <w:r>
        <w:softHyphen/>
      </w:r>
      <w:r>
        <w:t xml:space="preserve">дущего (базисного) периода. Рассчитывается Федеральной службой государственной статистики. ИПЦ показывает изменение во времени общего уровня цен на товары и услуги, приобретаемые населением для потребления. ИПЦ рассчитывается на основе данных о фактической структуре потребительских расходов и поэтому является основным индикатором стоимости жизни населения. Кроме того, ИПЦ обладает рядом характеристик, которые делают его удобным для широкого применения: простота и понятность методологии построения, месячная периодичность расчета, оперативность публикации.</w:t>
      </w:r>
    </w:p>
    <w:p>
      <w:pPr>
        <w:pStyle w:val="BodyText"/>
      </w:pPr>
      <w:r>
        <w:t xml:space="preserve">Индексы MSCI</w:t>
      </w:r>
    </w:p>
    <w:p>
      <w:pPr>
        <w:pStyle w:val="BodyText"/>
      </w:pPr>
      <w:r>
        <w:t xml:space="preserve">Группа индексов, рассчитываемых Morgan Stanley Capital International. Рассчитываются индексы по отдельным странам (в том числе России), глобальные индексы (по различным регионам, по развитым странам и странам с формирующимися рынками) и «мировой» индекс.</w:t>
      </w:r>
    </w:p>
    <w:p>
      <w:pPr>
        <w:pStyle w:val="BodyText"/>
      </w:pPr>
      <w:r>
        <w:t xml:space="preserve">Инфляционные ожидания</w:t>
      </w:r>
    </w:p>
    <w:p>
      <w:pPr>
        <w:pStyle w:val="BodyText"/>
      </w:pPr>
      <w:r>
        <w:t xml:space="preserve">Ожидания экономических агентов относительно роста цен в будущем. Выделяют инфляционные ожидания компаний, населения, финансовых рынков, профессиональных аналитиков. На основе ожиданий хозяйствующие субъекты принимают экономические решения и строят свои планы на будущее (в том числе о потреблении, сбережениях, заимствованиях, инвестициях, ставках по кредитам и депозитам). Инфляционные ожидания оказывают влияние на инфляцию и по этой причине являются важным индикатором при принятии решений о денежно-кредитной политике.</w:t>
      </w:r>
    </w:p>
    <w:p>
      <w:pPr>
        <w:pStyle w:val="BodyText"/>
      </w:pPr>
      <w:r>
        <w:t xml:space="preserve">Инфляция</w:t>
      </w:r>
    </w:p>
    <w:p>
      <w:pPr>
        <w:pStyle w:val="BodyText"/>
      </w:pPr>
      <w:r>
        <w:t xml:space="preserve">Устойчивое повышение общего уровня цен на товары и услуги в экономике. Когда говорят об инфляции, обычно имеют в виду изменение во времени стоимости потребительской корзины: набора продовольственных, непродовольственных товаров и услуг, потребляемых средним домохозяйством (см. также статью «Индекс потребительских цен (ИПЦ)»).</w:t>
      </w:r>
    </w:p>
    <w:p>
      <w:pPr>
        <w:pStyle w:val="BodyText"/>
      </w:pPr>
      <w:r>
        <w:t xml:space="preserve">Ключевая ставка Банка России</w:t>
      </w:r>
    </w:p>
    <w:p>
      <w:pPr>
        <w:pStyle w:val="BodyText"/>
      </w:pPr>
      <w:r>
        <w:t xml:space="preserve">Основной инструмент денежно-кредитной политики Банка России. Ставка устанавливается Советом директоров Банка России восемь раз в год. Изменение ключевой ставки оказывает влияние на кредитную и экономическую активность и в конечном итоге позволяет достигать основной цели денежно-кредитной политики. Соответствует минимальной процентной ставке на аукционах </w:t>
      </w:r>
      <w:r>
        <w:softHyphen/>
      </w:r>
      <w:r>
        <w:t xml:space="preserve">репо Банка России на срок 1 неделя и максимальной процентной ставке на депозитных аукционах Банка России на срок 1 неделя.</w:t>
      </w:r>
    </w:p>
    <w:p>
      <w:pPr>
        <w:pStyle w:val="BodyText"/>
      </w:pPr>
      <w:r>
        <w:t xml:space="preserve">Кредитный дефолтный своп (Credit Default Swap, CDS)</w:t>
      </w:r>
    </w:p>
    <w:p>
      <w:pPr>
        <w:pStyle w:val="BodyText"/>
      </w:pPr>
      <w:r>
        <w:t xml:space="preserve">Финансовый инструмент, который позволяет его покупателю в обмен на регулярную выплату премий (CDS-спред) его продавцу застраховаться от некоего кредитного события (например, дефолта) по финансовым обязательствам третьей стороны. Чем выше выплачиваемая премия, тем более рискованными считаются обязательства, в отношении которых был заключен кредитный дефолтный своп.</w:t>
      </w:r>
    </w:p>
    <w:p>
      <w:pPr>
        <w:pStyle w:val="BodyText"/>
      </w:pPr>
      <w:r>
        <w:t xml:space="preserve">Ликвидность банковского сектора</w:t>
      </w:r>
    </w:p>
    <w:p>
      <w:pPr>
        <w:pStyle w:val="BodyText"/>
      </w:pPr>
      <w:r>
        <w:t xml:space="preserve">Средства кредитных организаций, поддерживаемые на корреспондентских счетах в Банке России в валюте Российской Федерации главным образом в целях осуществления платежей через платежную систему Банка России и выполнения обязательных резервных требований.</w:t>
      </w:r>
    </w:p>
    <w:p>
      <w:pPr>
        <w:pStyle w:val="BodyText"/>
      </w:pPr>
      <w:r>
        <w:t xml:space="preserve">Нейтральная ставка</w:t>
      </w:r>
    </w:p>
    <w:p>
      <w:pPr>
        <w:pStyle w:val="BodyText"/>
      </w:pPr>
      <w:r>
        <w:t xml:space="preserve">Такой уровень ключевой ставки, при котором денежно-кредитная политика не способствует ни снижению, ни ускорению инфляции.</w:t>
      </w:r>
    </w:p>
    <w:p>
      <w:pPr>
        <w:pStyle w:val="BodyText"/>
      </w:pPr>
      <w:r>
        <w:t xml:space="preserve">Нормативы обязательных резервов</w:t>
      </w:r>
    </w:p>
    <w:p>
      <w:pPr>
        <w:pStyle w:val="BodyText"/>
      </w:pPr>
      <w:r>
        <w:t xml:space="preserve">Коэффициенты, значения которых могут находиться в интервале от 0 до 20%, применяемые к резервируемым обязательствам кредитной организации для расчета нормативной величины обязательных резервов. Устанавливаются Советом директоров Банка России.</w:t>
      </w:r>
    </w:p>
    <w:p>
      <w:pPr>
        <w:pStyle w:val="BodyText"/>
      </w:pPr>
      <w:r>
        <w:t xml:space="preserve">Операции абсорбирования</w:t>
      </w:r>
    </w:p>
    <w:p>
      <w:pPr>
        <w:pStyle w:val="BodyText"/>
      </w:pPr>
      <w:r>
        <w:t xml:space="preserve">Операции Банка России по привлечению ликвидности у кредитных организаций на возвратной основе. Могут быть в форме привлечения средств в депозит или размещения облигаций Банка России.</w:t>
      </w:r>
    </w:p>
    <w:p>
      <w:pPr>
        <w:pStyle w:val="BodyText"/>
      </w:pPr>
      <w:r>
        <w:t xml:space="preserve">Операции рефинансирования</w:t>
      </w:r>
    </w:p>
    <w:p>
      <w:pPr>
        <w:pStyle w:val="BodyText"/>
      </w:pPr>
      <w:r>
        <w:t xml:space="preserve">Операции Банка России по предоставлению ликвидности кредитным организациям на возвратной основе. Могут быть в форме кредита, </w:t>
      </w:r>
      <w:r>
        <w:softHyphen/>
      </w:r>
      <w:r>
        <w:t xml:space="preserve">репо или валютного свопа.</w:t>
      </w:r>
    </w:p>
    <w:p>
      <w:pPr>
        <w:pStyle w:val="BodyText"/>
      </w:pPr>
      <w:r>
        <w:t xml:space="preserve">Платежный баланс Российской Федерации</w:t>
      </w:r>
    </w:p>
    <w:p>
      <w:pPr>
        <w:pStyle w:val="BodyText"/>
      </w:pPr>
      <w:r>
        <w:t xml:space="preserve">Статистическая система, в которой отражаются все экономические операции между резидентами и нерезидентами Российской Федерации, произошедшие в течение отчетного периода.</w:t>
      </w:r>
    </w:p>
    <w:p>
      <w:pPr>
        <w:pStyle w:val="BodyText"/>
      </w:pPr>
      <w:r>
        <w:t xml:space="preserve">Режим плавающего валютного курса</w:t>
      </w:r>
    </w:p>
    <w:p>
      <w:pPr>
        <w:pStyle w:val="BodyText"/>
      </w:pPr>
      <w:r>
        <w:t xml:space="preserve">Режим валютного курса, при котором центральный банк не устанавливает ориентиров, в том числе операционных, для уровня или изменения курса, позволяя курсо</w:t>
      </w:r>
      <w:r>
        <w:softHyphen/>
      </w:r>
      <w:r>
        <w:t xml:space="preserve">образованию происходить под влиянием рыночных факторов. При этом центральный банк оставляет за собой право осуществлять покупки иностранной валюты для пополнения международных резервов либо ее продажи в случае возникновения угроз для финансовой стабильности.</w:t>
      </w:r>
    </w:p>
    <w:p>
      <w:pPr>
        <w:pStyle w:val="BodyText"/>
      </w:pPr>
      <w:r>
        <w:t xml:space="preserve">Ставка RUONIA (Ruble OverNight Index Average)</w:t>
      </w:r>
    </w:p>
    <w:p>
      <w:pPr>
        <w:pStyle w:val="BodyText"/>
      </w:pPr>
      <w:r>
        <w:t xml:space="preserve">Индикативная взвешенная руб</w:t>
      </w:r>
      <w:r>
        <w:softHyphen/>
      </w:r>
      <w:r>
        <w:t xml:space="preserve">левая депозитная ставка овернайт российского межбанковского рынка. Отражает оценку стоимости необеспеченного заимствования банков с минимальным кредитным риском. Расчет ставки RUONIA осуществляется Банком России по методике, разработанной Национальной финансовой ассоциацией совместно с Банком России, на основании информации о депозитных сделках банков-участников между собой. Список банков — участников RUONIA формируется Национальной финансовой ассоциацией и согласовывается с Банком России.</w:t>
      </w:r>
    </w:p>
    <w:p>
      <w:pPr>
        <w:pStyle w:val="BodyText"/>
      </w:pPr>
      <w:r>
        <w:t xml:space="preserve">Структурный дефицит / профицит ликвидности банковского сектора</w:t>
      </w:r>
    </w:p>
    <w:p>
      <w:pPr>
        <w:pStyle w:val="BodyText"/>
      </w:pPr>
      <w:r>
        <w:t xml:space="preserve">Структурный дефицит — состояние банковского сектора, характеризующееся существованием устойчивой потребности у кредитных организаций в привлечении ликвидности в Банке России. Структурный профицит характеризуется формированием устойчивого избытка ликвидности у кредитных организаций и необходимостью для Банка России проводить операции по ее абсорбированию. Расчетный уровень структурного дефицита / профицита ликвидности представляет собой разницу между задолженностью по операциям рефинансирования и операциям абсорбирования избыточной ликвидности Банка России.</w:t>
      </w:r>
    </w:p>
    <w:p>
      <w:pPr>
        <w:pStyle w:val="BodyText"/>
      </w:pPr>
      <w:r>
        <w:t xml:space="preserve">Таргетирование инфляции</w:t>
      </w:r>
    </w:p>
    <w:p>
      <w:pPr>
        <w:pStyle w:val="BodyText"/>
      </w:pPr>
      <w:r>
        <w:t xml:space="preserve">Стратегия денежно-кредитной политики со следующими принципами: основной целью денежно-кредитной политики является ценовая стабильность, цель по инфляции четко обозначена и объявлена, в условиях режима плавающего курса основное воздействие денежно-кредитной политики на экономику осуществляется через процентные ставки, решения по денежно-кредитной политике принимаются на основе анализа широкого круга макроэкономических показателей и их прогноза, при этом Банк России стремится создавать четкие ориентиры для населения и бизнеса, в том числе путем повышения информационной открытости.</w:t>
      </w:r>
    </w:p>
    <w:p>
      <w:pPr>
        <w:pStyle w:val="BodyText"/>
      </w:pPr>
      <w:r>
        <w:t xml:space="preserve">Трансмиссионный механизм</w:t>
      </w:r>
    </w:p>
    <w:p>
      <w:pPr>
        <w:pStyle w:val="BodyText"/>
      </w:pPr>
      <w:r>
        <w:t xml:space="preserve">Механизм влияния решений в области денежно-кредитной политики на экономику в целом и ценовую динамику в частности; процесс постепенного распространения сигнала центрального банка о сохранении или изменении ключевой ставки и будущей ее траектории от сегментов финансового рынка на реальный сектор экономики и в итоге на инфляцию. Изменение уровня ключевой ставки транслируется в экономику по различным каналам (процентному, кредитному, валютному, балансовому, каналу инфляционных ожиданий и другим).</w:t>
      </w:r>
    </w:p>
    <w:p>
      <w:pPr>
        <w:pStyle w:val="BodyText"/>
      </w:pPr>
      <w:r>
        <w:t xml:space="preserve">Финансовая стабильность</w:t>
      </w:r>
    </w:p>
    <w:p>
      <w:pPr>
        <w:pStyle w:val="BodyText"/>
      </w:pPr>
      <w:r>
        <w:t xml:space="preserve">Состояние финансовой системы, в котором не происходит формирования системных рисков, способных при реализации оказать негативное воздействие на процесс трансформации сбережений в инвестиции и реальный сектор экономики. В ситуации финансовой стабильности экономика более устойчива к внешним шокам.</w:t>
      </w:r>
    </w:p>
    <w:p>
      <w:pPr>
        <w:pStyle w:val="BodyText"/>
      </w:pPr>
      <w:r>
        <w:t xml:space="preserve">Ответственное структурное подразделение: Департамент денежно-кредитной политики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2026-09-27T11:00:25Z</dcterms:created>
  <dcterms:modified xsi:type="dcterms:W3CDTF">2026-09-27T11:00:25Z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