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134741ff1c15a9ba39f3ee339f9073773ece30"/>
    <w:p>
      <w:pPr>
        <w:pStyle w:val="Heading1"/>
      </w:pPr>
      <w:r>
        <w:t xml:space="preserve">Как принимаются решения по ключевой ставке</w:t>
      </w:r>
    </w:p>
    <w:p>
      <w:pPr>
        <w:pStyle w:val="FirstParagraph"/>
      </w:pPr>
      <w:r>
        <w:t xml:space="preserve">Как принимаются решения по ключевой ставке</w:t>
      </w:r>
    </w:p>
    <w:p>
      <w:pPr>
        <w:pStyle w:val="BodyText"/>
      </w:pPr>
      <w:r>
        <w:t xml:space="preserve">Ключевая ставка — основной инструмент денежно-кредитной политики Банка России. Регулятор принимает решения об уровне ключевой ставки для достижения цели денежно-кредитной политики — сохранения годовой инфляции вблизи 4%.</w:t>
      </w:r>
    </w:p>
    <w:p>
      <w:pPr>
        <w:pStyle w:val="BodyText"/>
      </w:pPr>
      <w:r>
        <w:t xml:space="preserve">Решения по ключевой ставке принимает Совет директоров Банка России. Плановые заседания, на которых он обсуждает уровень ключевой ставки, проводятся восемь раз в год. По итогам каждого заседания на сайте публикуется пресс-релиз о ключевой ставке, а затем Председатель Банка России выступает на пресс-конференции и отвечает на вопросы журналистов.</w:t>
      </w:r>
    </w:p>
    <w:p>
      <w:pPr>
        <w:pStyle w:val="BodyText"/>
      </w:pPr>
      <w:r>
        <w:t xml:space="preserve">Кроме того, после четырех заседаний (то есть каждый квартал) вместе с пресс-релизом публикуется среднесрочный прогноз основных показателей российской экономики, в том числе с апреля 2021 года — прогнозная траектория ключевой ставки . Это опорные заседания, поскольку, как правило, при подготовке к ним Банк России проводит полную ревизию макропрогноза, и в нем возможны существенные изменения.</w:t>
      </w:r>
    </w:p>
    <w:p>
      <w:pPr>
        <w:pStyle w:val="BodyText"/>
      </w:pPr>
      <w:r>
        <w:t xml:space="preserve">Примерно через неделю после каждого заседания, начиная с февраля 2024 года, Банк России публикует Резюме обсуждения ключевой ставки (Резюме). Оно отражает дискуссию, которая состоялась на совещаниях по подготовке решения по ключевой ставке на «неделе тишины» и на заседании Совета директоров Банка России. В опорные раунды одновременно с Резюме Банк России публикует Комментарий к среднесрочному прогнозу , в котором подробно освещаются предпосылки и параметры макропрогноза. (До конца 2023 года эта информация содержалась в Докладе о денежно-кредитной политике ).</w:t>
      </w:r>
    </w:p>
    <w:p>
      <w:pPr>
        <w:pStyle w:val="BodyText"/>
      </w:pPr>
      <w:r>
        <w:t xml:space="preserve">Перед каждым решением по ключевой ставке, накануне « недели тишины » , Банк России публикует доклад «Региональная экономика: комментарии ГУ Банка России» и результаты макроэкономического опроса ведущих аналитиков, содержащего прогнозы основных экономических показателей.</w:t>
      </w:r>
    </w:p>
    <w:p>
      <w:pPr>
        <w:pStyle w:val="BodyText"/>
      </w:pPr>
      <w:r>
        <w:t xml:space="preserve">Календарь решений по ключевой ставке</w:t>
      </w:r>
    </w:p>
    <w:p>
      <w:pPr>
        <w:pStyle w:val="BodyText"/>
      </w:pPr>
      <w:r>
        <w:t xml:space="preserve">Материалы по итогам заседаний Совета директоров Банка России по ключевой ставке</w:t>
      </w:r>
    </w:p>
    <w:p>
      <w:pPr>
        <w:pStyle w:val="BodyText"/>
      </w:pPr>
      <w:r>
        <w:t xml:space="preserve">Так как денежно-кредитная политика влияет на инфляцию не мгновенно, а в срок до 3–6 кварталов, Банк России, принимая решения по ключевой ставке, учитывает не только текущую экономическую ситуацию, но и прогноз инфляции и развития экономики на три года, а также оценивает риски отклонения от него.</w:t>
      </w:r>
    </w:p>
    <w:p>
      <w:pPr>
        <w:pStyle w:val="BodyText"/>
      </w:pPr>
      <w:r>
        <w:t xml:space="preserve">Поэтому перед каждым заседанием Совета директоров проводится большая работа по актуализации сценариев и развилок прогноза и подготовке аналитических материалов. Этот процесс начинается примерно за четыре недели до заседания и называется объединенным прогнозным раундом.</w:t>
      </w:r>
    </w:p>
    <w:p>
      <w:pPr>
        <w:pStyle w:val="BodyText"/>
      </w:pPr>
      <w:r>
        <w:t xml:space="preserve">В нем участвуют аналитики и эксперты из различных департаментов и территориальных учреждений Банка России. Такая схема работы позволяет Совету директоров сформировать комплексный взгляд на ситуацию в российской и мировой экономике и на возможные варианты ее дальнейшего развития.</w:t>
      </w:r>
    </w:p>
    <w:p>
      <w:pPr>
        <w:pStyle w:val="BodyText"/>
      </w:pPr>
      <w:r>
        <w:t xml:space="preserve">Подготовка и коммуникация о решении по ключевой ставке</w:t>
      </w:r>
    </w:p>
    <w:p>
      <w:pPr>
        <w:pStyle w:val="BodyText"/>
      </w:pPr>
      <w:r>
        <w:t xml:space="preserve">I этап</w:t>
      </w:r>
    </w:p>
    <w:p>
      <w:pPr>
        <w:pStyle w:val="BodyText"/>
      </w:pPr>
      <w:r>
        <w:t xml:space="preserve">Подготовка базового прогноза и альтернативных сценариев</w:t>
      </w:r>
    </w:p>
    <w:p>
      <w:pPr>
        <w:pStyle w:val="BodyText"/>
      </w:pPr>
      <w:r>
        <w:t xml:space="preserve">Период: третья — четвертая недели до решения.</w:t>
      </w:r>
    </w:p>
    <w:p>
      <w:pPr>
        <w:pStyle w:val="BodyText"/>
      </w:pPr>
      <w:r>
        <w:t xml:space="preserve">Основной участник: Департамент денежно-кредитной политики (ДДКП).</w:t>
      </w:r>
    </w:p>
    <w:p>
      <w:pPr>
        <w:pStyle w:val="BodyText"/>
      </w:pPr>
      <w:r>
        <w:t xml:space="preserve">Другие участники: руководство Банка России, Департамент исследований и прогнозирования (ДИП).</w:t>
      </w:r>
    </w:p>
    <w:p>
      <w:pPr>
        <w:pStyle w:val="BodyText"/>
      </w:pPr>
      <w:r>
        <w:t xml:space="preserve">ДДКП отслеживает всю поступающую информацию, ключевые события в России и в мире, которые могут повлиять на российскую экономику и инфляцию. Эксперты ДДКП оценивают, насколько происходящие процессы соответствуют тому, что прогнозировалось ранее, а также могут ли они стать причиной корректировки прогноза Банка России.</w:t>
      </w:r>
    </w:p>
    <w:p>
      <w:pPr>
        <w:pStyle w:val="BodyText"/>
      </w:pPr>
      <w:r>
        <w:t xml:space="preserve">В результате этого анализа ДДКП уточняет предпосылки прогнозных сценариев. Предпосылки прогноза — это набор внешних и внутренних экономических факторов, которые могут оказать влияние на российскую экономику и инфляцию и при этом напрямую не зависят от действий Банка России. Например, одним из этих факторов может быть план по сокращению добычи нефти в Саудовской Аравии, что повлияет на траекторию цены на нефть. Другим примером внешнего фактора может быть изменение денежно-кредитной политики в США, Китае или еврозоне. Планы Правительства Российской Федерации сократить дефицит бюджета — это пример внутреннего фактора.</w:t>
      </w:r>
    </w:p>
    <w:p>
      <w:pPr>
        <w:pStyle w:val="BodyText"/>
      </w:pPr>
      <w:r>
        <w:t xml:space="preserve">Кроме того, ДДКП определяет риски для базового сценария прогноза, то есть те события, которые могут привести к отклонению ситуации от базового сценария. На основе анализа рисков формируются альтернативные сценарии.</w:t>
      </w:r>
    </w:p>
    <w:p>
      <w:pPr>
        <w:pStyle w:val="BodyText"/>
      </w:pPr>
      <w:r>
        <w:t xml:space="preserve">Далее директор ДДКП представляет предложения по уточнению предпосылок и рисков Председателю Банка России и ряду его заместителей. Они могут предложить скорректировать их или проанализировать дополнительные важные сюжеты. В этом обсуждении также участвует директор ДИП. По итогам обсуждений формируется согласованный набор предпосылок и рисков, который ДДКП и ДИП берут в дальнейшую проработку. Эти данные становятся основой для расчета базового прогноза Банка России.</w:t>
      </w:r>
    </w:p>
    <w:p>
      <w:pPr>
        <w:pStyle w:val="BodyText"/>
      </w:pPr>
      <w:r>
        <w:t xml:space="preserve">Эксперты ДДКП строят краткосрочные (на два ближайших квартала) и среднесрочные (на три года вперед) прогнозы экономических показателей, применяя обширный аналитический и модельный инструментарий .</w:t>
      </w:r>
    </w:p>
    <w:p>
      <w:pPr>
        <w:pStyle w:val="BodyText"/>
      </w:pPr>
      <w:r>
        <w:t xml:space="preserve">В основе прогноза Банка России лежат модельные расчеты, для которых используется широкий набор количественных моделей, описывающих экономическую динамику.</w:t>
      </w:r>
    </w:p>
    <w:p>
      <w:pPr>
        <w:pStyle w:val="BodyText"/>
      </w:pPr>
      <w:r>
        <w:t xml:space="preserve">Ядром системы среднесрочного прогнозирования являются комплексные прогнозные модели, которые отражают основные взаимосвязи в экономике на макроуровне. Они служат основой для получения ключевых параметров среднесрочного макроэкономического прогноза Банка России, которые публикуются по итогам опорных заседаний. Эти параметры включают в себя динамику инфляции и экономического роста, показателей денежно-кредитной сферы и платежного баланса. Кроме того, модельный инструментарий позволяет рассчитывать сценарную траекторию изменения ключевой ставки.</w:t>
      </w:r>
    </w:p>
    <w:p>
      <w:pPr>
        <w:pStyle w:val="BodyText"/>
      </w:pPr>
      <w:r>
        <w:t xml:space="preserve">С апреля 2021 года Банк России публикует прогнозную траекторию ключевой ставки в виде диапазонов среднего уровня ключевой ставки за каждый календарный год прогнозного периода. Эти показатели включены в среднесрочный прогноз Банка России. Эти диапазоны будут отражать параметры денежно-кредитной политики, которая с высокой вероятностью реализуется при развитии экономической ситуации в России и в мире в рамках базового прогноза. Дополнительная информация представлена в методологическом комментарии .</w:t>
      </w:r>
    </w:p>
    <w:p>
      <w:pPr>
        <w:pStyle w:val="BodyText"/>
      </w:pPr>
      <w:r>
        <w:t xml:space="preserve">Обзор системы модельного инструментария представлен в подразделе «Прогнозирование и модельный аппарат ». Там же опубликованы исследования и аналитические записки сотрудников регулятора по данной теме. Результаты экономических исследований сотрудников регулятора публикуются также в разделе « Исследования », в журнале « Деньги и кредит », в других изданиях («Вопросы экономики», «Прикладная эконометрика» и прочие).</w:t>
      </w:r>
    </w:p>
    <w:p>
      <w:pPr>
        <w:pStyle w:val="BodyText"/>
      </w:pPr>
      <w:r>
        <w:t xml:space="preserve">Модели являются инструментом для прогнозных расчетов, которые лежат в основе прогноза Банка России в целом. При этом прогноз не формируется из модельных расчетов автоматически, но при его подготовке принимаются во внимание экспертные суждения относительно факторов, которые не всегда можно учесть с помощью моделирования. Прогноз Банка России в целом — это консенсусное мнение членов Совета директоров Банка России о будущих экономических тенденциях и показателях.</w:t>
      </w:r>
    </w:p>
    <w:p>
      <w:pPr>
        <w:pStyle w:val="BodyText"/>
      </w:pPr>
      <w:r>
        <w:t xml:space="preserve">II этап</w:t>
      </w:r>
    </w:p>
    <w:p>
      <w:pPr>
        <w:pStyle w:val="BodyText"/>
      </w:pPr>
      <w:r>
        <w:t xml:space="preserve">Обсуждение и уточнение параметров прогноза</w:t>
      </w:r>
    </w:p>
    <w:p>
      <w:pPr>
        <w:pStyle w:val="BodyText"/>
      </w:pPr>
      <w:r>
        <w:t xml:space="preserve">Период: вторая неделя до решения.</w:t>
      </w:r>
    </w:p>
    <w:p>
      <w:pPr>
        <w:pStyle w:val="BodyText"/>
      </w:pPr>
      <w:r>
        <w:t xml:space="preserve">Основной участник: ДДКП.</w:t>
      </w:r>
    </w:p>
    <w:p>
      <w:pPr>
        <w:pStyle w:val="BodyText"/>
      </w:pPr>
      <w:r>
        <w:t xml:space="preserve">Другие участники: ДИП, другие департаменты Банка России, территориальные учреждения Банка России, министерства и ведомства.</w:t>
      </w:r>
    </w:p>
    <w:p>
      <w:pPr>
        <w:pStyle w:val="BodyText"/>
      </w:pPr>
      <w:r>
        <w:t xml:space="preserve">На этом этапе проводятся рабочие совещания, согласовываются и уточняются оценки ключевых экономических показателей и параметры прогнозных сценариев. Такие разносторонние обсуждения и встречи также важны для учета взаимного влияния денежно-кредитной политики и иных направлений политики Банка России.</w:t>
      </w:r>
    </w:p>
    <w:p>
      <w:pPr>
        <w:pStyle w:val="BodyText"/>
      </w:pPr>
      <w:r>
        <w:t xml:space="preserve">Отдельные задачи прорабатывают эксперты территориальных учреждений регулятора — анализируют региональную статистику и встречаются с представителями местных органов власти и бизнеса, чтобы получить оперативную информацию о состоянии региональной экономики. Такой формат позволяет не только более детально изучать вопросы, которые неоднозначно интерпретируются на федеральном уровне, но и выявлять потенциальные тенденции и риски, которые еще не нашли отражения в статистике.</w:t>
      </w:r>
    </w:p>
    <w:p>
      <w:pPr>
        <w:pStyle w:val="BodyText"/>
      </w:pPr>
      <w:r>
        <w:t xml:space="preserve">Уникальный источник оперативной информации о ситуации в экономике — « Мониторинг предприятий », который проводится при участии территориальных учреждений Банка России с 1998 года. В настоящее время в нем добровольно участвуют около 15 тыс. предприятий нашей страны — почти из всех отраслей экономики и с различным масштабом бизнеса. Опросные данные — это достоверная и оперативная информация о «самочувствии» российской экономики (текущие оценки и ожидания по объемам производства, спросу и ценам), которая появляется еще до выхода официальной статистики. Итоги анализа региональных данных, в том числе опережающих индикаторов деловой активности, полученных в рамках «Мониторинга предприятий», публикуются в докладе «Региональная экономика: комментарии ГУ Банка России» накануне « недели тишины » и учитываются при подготовке к решению по ключевой ставке.</w:t>
      </w:r>
    </w:p>
    <w:p>
      <w:pPr>
        <w:pStyle w:val="BodyText"/>
      </w:pPr>
      <w:r>
        <w:t xml:space="preserve">Кроме того, ДДКП совместно с ДИП периодически проводит рабочие встречи с представителями Минэкономразвития России и Минфина России. На них обсуждаются экономическая ситуация и меры Правительства Российской Федерации в области макроэкономической политики и их влияние на прогноз Банка России. При необходимости могут также проводиться встречи с представителями других министерств, например, Минэнерго России и Минтруда России, а также банков, бизнеса или отраслевых объединений и ассоциаций.</w:t>
      </w:r>
    </w:p>
    <w:p>
      <w:pPr>
        <w:pStyle w:val="BodyText"/>
      </w:pPr>
      <w:r>
        <w:t xml:space="preserve">Чтобы отслеживать видение экономической ситуации внешними экспертами, Банк России перед каждым заседанием проводит макроэкономический опрос ведущих аналитиков. Его результат — агрегированный среднесрочный прогноз экспертов по основным экономическим показателям. Он публикуется на сайте Банка России накануне «недели тишины».</w:t>
      </w:r>
    </w:p>
    <w:p>
      <w:pPr>
        <w:pStyle w:val="BodyText"/>
      </w:pPr>
      <w:r>
        <w:t xml:space="preserve">Проведение макроэкономического опроса центральным банком — распространенная мировая практика. Подобные опросы позволяют сопоставлять ожидания регулятора и внешних экспертов. Публикация опроса также дает широкой аудитории открытый доступ к репрезентативному макроэкономическому консенсус-прогнозу от ведущих аналитиков.</w:t>
      </w:r>
    </w:p>
    <w:p>
      <w:pPr>
        <w:pStyle w:val="BodyText"/>
      </w:pPr>
      <w:r>
        <w:t xml:space="preserve">Банк России отслеживает ожидания участников рынка и может давать публичные комментарии о собственном видении макроэкономической ситуации. Причины для таких комментариев (иначе говоря, вербальных интервенций) могут быть разными. Например, необходимо разъяснить те или иные заявления регулятора. Или участники рынка и Банк России слишком расходятся в оценках экономической ситуации или предстоящего решения. При этом подобные комментарии не обязательны.</w:t>
      </w:r>
    </w:p>
    <w:p>
      <w:pPr>
        <w:pStyle w:val="BodyText"/>
      </w:pPr>
      <w:r>
        <w:t xml:space="preserve">III этап</w:t>
      </w:r>
    </w:p>
    <w:p>
      <w:pPr>
        <w:pStyle w:val="BodyText"/>
      </w:pPr>
      <w:r>
        <w:t xml:space="preserve">Неделя решения по ключевой ставке — «неделя тишины»</w:t>
      </w:r>
    </w:p>
    <w:p>
      <w:pPr>
        <w:pStyle w:val="BodyText"/>
      </w:pPr>
      <w:r>
        <w:t xml:space="preserve">Период: неделя до решения.</w:t>
      </w:r>
    </w:p>
    <w:p>
      <w:pPr>
        <w:pStyle w:val="BodyText"/>
      </w:pPr>
      <w:r>
        <w:t xml:space="preserve">Основные участники: Председатель Банка России, первые заместители и заместители Председателя Банка России по основным направлениям деятельности Банка России (далее — заместители Председателя), директор ДДКП, директора других департаментов Банка России, руководители территориальных учреждений Банка России.</w:t>
      </w:r>
    </w:p>
    <w:p>
      <w:pPr>
        <w:pStyle w:val="BodyText"/>
      </w:pPr>
      <w:r>
        <w:t xml:space="preserve">«Неделя тишины» длится семь суток перед принятием решения по ключевой ставке (с 13:30 по московскому времени в седьмой календарный день, предшествующий решению, до 13:30 — времени публикации пресс-релиза — в день решения). В этот период запрещаются любые высказывания или публикации представителей Банка России по денежно-кредитной политике и макропрогнозу, которые могут повлиять на ожидания участников финансовых рынков по предстоящему решению. Финансовые рынки традиционно чувствительны к коммуникации центральных банков перед решениями по денежно-кредитной политике. Поэтому важно уменьшить риск неоднозначного толкования таких высказываний или публикаций, чтобы избежать роста неопределенности и избыточной волатильности на рынках. В «неделю тишины» представители Банка России не проводят никаких публичных встреч по вопросам денежно-кредитной политики. Соблюдение «периода тишины» — распространенная практика среди центральных банков мира.</w:t>
      </w:r>
    </w:p>
    <w:p>
      <w:pPr>
        <w:pStyle w:val="BodyText"/>
      </w:pPr>
      <w:r>
        <w:t xml:space="preserve">На «неделе тишины» проводится серия внутренних встреч с участием Председателя Банка России, ряда его заместителей, директоров департаментов и руководителей главных управлений Банка России.</w:t>
      </w:r>
    </w:p>
    <w:p>
      <w:pPr>
        <w:pStyle w:val="BodyText"/>
      </w:pPr>
      <w:r>
        <w:t xml:space="preserve">На рабочих совещаниях, которые проводятся на «неделе тишины», директор ДДКП представляет результаты анализа макроэкономической ситуации и финальные результаты расчетов прогнозных сценариев. На их основе он обозначает возможные варианты решения по ключевой ставке, которые будут предложены Совету директоров на ближайшем заседании, а также траекторию ключевой ставки на всем прогнозном горизонте. Директор ДИП также дает оценку экономической ситуации и представляет альтернативные расчеты прогноза. В обсуждении принимают участие и руководители семи главных управлений Банка России. Это дает возможность всем участникам совещаний лучше понять, что происходит с экономикой на региональном уровне.</w:t>
      </w:r>
    </w:p>
    <w:p>
      <w:pPr>
        <w:pStyle w:val="BodyText"/>
      </w:pPr>
      <w:r>
        <w:t xml:space="preserve">В рамках обсуждения решения по ключевой ставке каждый из участников встречи представляет аргументированное суждение по двум пунктам: 1) к какому решению по ключевой ставке он склоняется; 2) каким сигналом сопроводить решение.</w:t>
      </w:r>
    </w:p>
    <w:p>
      <w:pPr>
        <w:pStyle w:val="BodyText"/>
      </w:pPr>
      <w:r>
        <w:t xml:space="preserve">Сигнал по денежно-кредитной политике является важной составляющей решения. Он дает примерную оценку будущей траектории ключевой ставки при условии реализации базового сценария прогноза. Кроме того, в нем содержится оценка тех факторов, которые в дальнейшем могут повлиять на решение Банка России по ключевой ставке. При этом сигнал не является жестким обязательством регулятора. Его исполнение зависит от того, будет ли ситуация развиваться в соответствии с базовым прогнозом. Использование сигнала — распространенная практика центральных банков, таргетирующих инфляцию.</w:t>
      </w:r>
    </w:p>
    <w:p>
      <w:pPr>
        <w:pStyle w:val="BodyText"/>
      </w:pPr>
      <w:r>
        <w:t xml:space="preserve">IV этап</w:t>
      </w:r>
    </w:p>
    <w:p>
      <w:pPr>
        <w:pStyle w:val="BodyText"/>
      </w:pPr>
      <w:r>
        <w:t xml:space="preserve">День решения</w:t>
      </w:r>
    </w:p>
    <w:p>
      <w:pPr>
        <w:pStyle w:val="BodyText"/>
      </w:pPr>
      <w:r>
        <w:t xml:space="preserve">Период: день решения.</w:t>
      </w:r>
    </w:p>
    <w:p>
      <w:pPr>
        <w:pStyle w:val="BodyText"/>
      </w:pPr>
      <w:r>
        <w:t xml:space="preserve">Основные участники: Совет директоров Банка России.</w:t>
      </w:r>
    </w:p>
    <w:p>
      <w:pPr>
        <w:pStyle w:val="BodyText"/>
      </w:pPr>
      <w:r>
        <w:t xml:space="preserve">Другие участники: директор ДДКП, директор Департамента по связям с общественностью (ДСО), представители Минфина России и Минэкономразвития России.</w:t>
      </w:r>
    </w:p>
    <w:p>
      <w:pPr>
        <w:pStyle w:val="BodyText"/>
      </w:pPr>
      <w:r>
        <w:t xml:space="preserve">Заседания Совета директоров Банка России по ключевой ставке проводятся по пятницам согласно заранее утвержденному календарю решений , а новый уровень ключевой ставки начинает действовать со следующего рабочего дня. Это позволяет банкам и участникам финансового рынка адаптироваться к изменениям ключевой ставки.</w:t>
      </w:r>
    </w:p>
    <w:p>
      <w:pPr>
        <w:pStyle w:val="BodyText"/>
      </w:pPr>
      <w:r>
        <w:t xml:space="preserve">Совет директоров Банка России заслушивает доклад директора ДДКП по текущей ситуации, прогнозным сценариям, пространству возможных решений по ключевой ставке и ее будущей траектории. В докладе приводится наиболее актуальная информация, доступная на утро дня заседания. Далее идет дискуссия по основным вопросам.</w:t>
      </w:r>
    </w:p>
    <w:p>
      <w:pPr>
        <w:pStyle w:val="BodyText"/>
      </w:pPr>
      <w:r>
        <w:t xml:space="preserve">Кроме того, на заседания приглашаются представители Минфина России и Минэкономразвития России. Они могут отвечать на вопросы и давать комментарии по вопросам экономической политики в рамках компетенции своих ведомств.</w:t>
      </w:r>
    </w:p>
    <w:p>
      <w:pPr>
        <w:pStyle w:val="BodyText"/>
      </w:pPr>
      <w:r>
        <w:t xml:space="preserve">Члены Совета директоров Банка России высказывают свои мнения о текущей ситуации, прогнозных сценариях, решении по ключевой ставке. После дискуссии они голосуют за решение по ключевой ставке, а затем обсуждают текст проекта пресс-релиза и утверждают его окончательную редакцию. Приглашенные участники заседания в голосовании не участвуют.</w:t>
      </w:r>
    </w:p>
    <w:p>
      <w:pPr>
        <w:pStyle w:val="BodyText"/>
      </w:pPr>
      <w:r>
        <w:t xml:space="preserve">Решение, несмотря на голосование, носит консенсусный характер. Задача Председателя Банка России — организовать дискуссию так, чтобы сблизить позиции и выработать наиболее приемлемое для всех решение. Если голоса разделятся поровну, решающим голосом в этом (и только в этом!) случае станет голос Председателя. Однако, по сути, это техническое правило. Из-за того что на практике обсуждение направлено на достижение консенсуса, такая ситуация в принципе маловероятна.</w:t>
      </w:r>
    </w:p>
    <w:p>
      <w:pPr>
        <w:pStyle w:val="BodyText"/>
      </w:pPr>
      <w:r>
        <w:t xml:space="preserve">В коммуникации Банка России по денежно-кредитной политике действует политика «единого голоса» . Это означает, что представители Банка России должны доносить до аудитории единую и непротиворечивую позицию. Политики «единого голоса» придерживаются многие центральные банки мира.</w:t>
      </w:r>
    </w:p>
    <w:p>
      <w:pPr>
        <w:pStyle w:val="BodyText"/>
      </w:pPr>
      <w:r>
        <w:t xml:space="preserve">В 13:30 по московскому времени публикуются пресс-релиз о решении по ключевой ставке и макропрогноз в опорные раунды. Этим событием заканчивается «неделя тишины».</w:t>
      </w:r>
    </w:p>
    <w:p>
      <w:pPr>
        <w:pStyle w:val="BodyText"/>
      </w:pPr>
      <w:r>
        <w:t xml:space="preserve">В 15:00 Председатель Банка России в прямом эфире выступает с публичным заявлением о принятом решении, которое транслируется в реальном времени на официальном сайте на русском и английском языках, а также в Telegram -канале Банка России и на его официальной странице во ВКонтакте на русском языке. На пресс-конференции Председатель Банка России может подробнее разъяснить отдельные факторы принятого решения, более детально прокомментировать прогноз Банка России, а также отвечает на вопросы журналистов.</w:t>
      </w:r>
    </w:p>
    <w:p>
      <w:pPr>
        <w:pStyle w:val="BodyText"/>
      </w:pPr>
      <w:r>
        <w:t xml:space="preserve">V этап</w:t>
      </w:r>
    </w:p>
    <w:p>
      <w:pPr>
        <w:pStyle w:val="BodyText"/>
      </w:pPr>
      <w:r>
        <w:t xml:space="preserve">Коммуникация о решении по ключевой ставке</w:t>
      </w:r>
    </w:p>
    <w:p>
      <w:pPr>
        <w:pStyle w:val="BodyText"/>
      </w:pPr>
      <w:r>
        <w:t xml:space="preserve">Период: до следующего решения.</w:t>
      </w:r>
    </w:p>
    <w:p>
      <w:pPr>
        <w:pStyle w:val="BodyText"/>
      </w:pPr>
      <w:r>
        <w:t xml:space="preserve">Основные участники: руководство Банка России, ДДКП, ДИП, ДСО, территориальные учреждения Банка России.</w:t>
      </w:r>
    </w:p>
    <w:p>
      <w:pPr>
        <w:pStyle w:val="BodyText"/>
      </w:pPr>
      <w:r>
        <w:t xml:space="preserve">Банк России объясняет принятое решение по ключевой ставке не только в день решения, но и в течение всего периода до следующей «недели тишины». Регулятор общается с гражданами, журналистами, представителями органов власти, бизнеса и экспертного сообщества, в том числе в регионах, разъясняя логику и причины принятого решения. Наиболее активная фаза приходится на две недели после решения по ключевой ставке.</w:t>
      </w:r>
    </w:p>
    <w:p>
      <w:pPr>
        <w:pStyle w:val="BodyText"/>
      </w:pPr>
      <w:r>
        <w:t xml:space="preserve">Представители Банка России проводят встречи с финансовыми институтами, аналитиками и экспертным сообществом . Основная цель этих встреч — ответить на вопросы аудитории по денежно-кредитной политике и получить обратную связь.</w:t>
      </w:r>
    </w:p>
    <w:p>
      <w:pPr>
        <w:pStyle w:val="BodyText"/>
      </w:pPr>
      <w:r>
        <w:t xml:space="preserve">Специалисты территориальных учреждений Банка России, в том числе с участием ДДКП, проводят встречи в российских регионах с представителями предприятий реального сектора, банков, местных органов власти, вузов, а также дают интервью региональным СМИ. Разъяснение вопросов денежно-кредитной политики в регионах улучшает адресность коммуникации и усиливает воздействие на инфляционные ожидания.</w:t>
      </w:r>
    </w:p>
    <w:p>
      <w:pPr>
        <w:pStyle w:val="BodyText"/>
      </w:pPr>
      <w:r>
        <w:t xml:space="preserve">С февраля 2024 года примерно через неделю после каждого заседания Банк России публикует Резюме обсуждения ключевой ставки. Оно отражает обсуждение решения по ключевой ставке на «неделе тишины» и на заседании Совета директоров Банка России. Резюме содержит позиции участников обсуждения по ситуации в экономике и перспективам ее развития, альтернативные варианты решений с аргументами за и против, обоснование принятого решения. Позиции представлены без выделения мнений отдельных участников обсуждения.</w:t>
      </w:r>
    </w:p>
    <w:p>
      <w:pPr>
        <w:pStyle w:val="BodyText"/>
      </w:pPr>
      <w:r>
        <w:t xml:space="preserve">В опорные раунды одновременно с Резюме Банк России публикует Комментарий к среднесрочному прогнозу, в котором подробно освещает предпосылки и параметры макропрогноза. (До конца 2023 года эта информация содержалась в Докладе о денежно-кредитной политике).</w:t>
      </w:r>
    </w:p>
    <w:p>
      <w:pPr>
        <w:pStyle w:val="BodyText"/>
      </w:pPr>
      <w:r>
        <w:t xml:space="preserve">Между заседаниями по ключевой ставке руководители Банка России дают интервью СМИ и выступают на совещаниях, конференциях и форумах, комментируя решения Банка России по денежно-кредитной политике и ситуацию в экономике. В подразделе « Аналитика » публикуются регулярные аналитические материалы, посвященные ключевым темам, в их числе инфляция , инфляционные ожидания , денежно-кредитные условия и трансмиссионный механизм , мониторинг предприятий , платежный баланс .</w:t>
      </w:r>
    </w:p>
    <w:p>
      <w:pPr>
        <w:pStyle w:val="BodyText"/>
      </w:pPr>
      <w:r>
        <w:t xml:space="preserve">Ответственное структурное подразделение: Департамент денежно-кредитной политики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2026-09-27T11:00:25Z</dcterms:created>
  <dcterms:modified xsi:type="dcterms:W3CDTF">2026-09-27T11:00:25Z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