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мониторинг-предприятий"/>
    <w:p>
      <w:pPr>
        <w:pStyle w:val="Heading1"/>
      </w:pPr>
      <w:r>
        <w:t xml:space="preserve">Мониторинг предприятий</w:t>
      </w:r>
    </w:p>
    <w:p>
      <w:pPr>
        <w:pStyle w:val="FirstParagraph"/>
      </w:pPr>
      <w:r>
        <w:t xml:space="preserve">Мониторинг предприятий</w:t>
      </w:r>
    </w:p>
    <w:p>
      <w:pPr>
        <w:pStyle w:val="BodyText"/>
      </w:pPr>
      <w:r>
        <w:t xml:space="preserve">Банк России, как и многие зарубежные центральные банки, проводит регулярные опросы предприятий нефинансового сектора (мониторинг предприятий). При принятии решений по денежно-кредитной политике мы учитываем качественную оценку руководством предприятий текущих и ожидаемых изменений деловой активности на основе динамики объемов производства, спроса, цен и др.</w:t>
      </w:r>
    </w:p>
    <w:p>
      <w:pPr>
        <w:pStyle w:val="BodyText"/>
      </w:pPr>
      <w:r>
        <w:t xml:space="preserve">Индикатор бизнес-климата (ИБК) Банка России</w:t>
      </w:r>
    </w:p>
    <w:p>
      <w:pPr>
        <w:pStyle w:val="BodyText"/>
      </w:pPr>
      <w:r>
        <w:t xml:space="preserve">-2,3 пункта</w:t>
      </w:r>
    </w:p>
    <w:p>
      <w:pPr>
        <w:pStyle w:val="BodyText"/>
      </w:pPr>
      <w:r>
        <w:t xml:space="preserve">(с сезонной корректировкой) Сентябрь 2026 года</w:t>
      </w:r>
    </w:p>
    <w:p>
      <w:pPr>
        <w:pStyle w:val="BodyText"/>
      </w:pPr>
      <w:r>
        <w:t xml:space="preserve">Результаты опроса представлены в подразделе «Данные опросов» , в разрезе групп предприятий – по ссылке «Группы предприятий» , в разрезе главных управлений (макрорегионов) – по ссылке « Данные по ГУ ». Подробная информация – в полной версии информационно-аналитического комментария . Данные доступны по API в Сервисе получения данных .</w:t>
      </w:r>
    </w:p>
    <w:p>
      <w:pPr>
        <w:pStyle w:val="BodyText"/>
      </w:pPr>
      <w:r>
        <w:t xml:space="preserve">Мониторинг предприятий:</w:t>
      </w:r>
    </w:p>
    <w:p>
      <w:pPr>
        <w:pStyle w:val="BodyText"/>
      </w:pPr>
      <w:r>
        <w:t xml:space="preserve">широкий охват респондентов (более 15 тысяч предприятий как крупных и средних, так и малых предприятий промышленности, сельского хозяйства, строительства, транспортировки и хранения, торговли, сферы услуг) во всех субъектах Российской Федерации;</w:t>
      </w:r>
    </w:p>
    <w:p>
      <w:pPr>
        <w:pStyle w:val="BodyText"/>
      </w:pPr>
      <w:r>
        <w:t xml:space="preserve">оперативность проведения опросов (с помощью анкетирования в течение 7-10 рабочих дней собирается информация);</w:t>
      </w:r>
    </w:p>
    <w:p>
      <w:pPr>
        <w:pStyle w:val="BodyText"/>
      </w:pPr>
      <w:r>
        <w:t xml:space="preserve">опережающий характер данных (до выхода официальной статистики);</w:t>
      </w:r>
    </w:p>
    <w:p>
      <w:pPr>
        <w:pStyle w:val="BodyText"/>
      </w:pPr>
      <w:r>
        <w:t xml:space="preserve">методология опирается на лучшие зарубежные практики в области проведения обследований нефинансового сектора ведущими исследовательскими центрами и центральными банками;</w:t>
      </w:r>
    </w:p>
    <w:p>
      <w:pPr>
        <w:pStyle w:val="BodyText"/>
      </w:pPr>
      <w:r>
        <w:t xml:space="preserve">длительный период наблюдения (с 2000 года).</w:t>
      </w:r>
    </w:p>
    <w:p>
      <w:pPr>
        <w:pStyle w:val="BodyText"/>
      </w:pPr>
      <w:r>
        <w:t xml:space="preserve">Почему надо участвовать?</w:t>
      </w:r>
    </w:p>
    <w:p>
      <w:pPr>
        <w:pStyle w:val="BodyText"/>
      </w:pPr>
      <w:r>
        <w:t xml:space="preserve">Результаты опросов предприятий имеют важное значение для наших решений по денежно-кредитной политике. Благодаря участию предприятий в опросах, мы получаем информацию о текущей экономической ситуации до того, как она будет отражена в официальной статистике, и на основе ожиданий предприятий получаем опережающие индикаторы экономической активности.</w:t>
      </w:r>
    </w:p>
    <w:p>
      <w:pPr>
        <w:pStyle w:val="BodyText"/>
      </w:pPr>
      <w:r>
        <w:t xml:space="preserve">С использованием опросных данных мы анализируем и прогнозируем инфляцию, исследуем ценовые ожидания предприятий, проводим анализ региональной неоднородности трансмиссионного механизма, а также немонетарных факторов инфляции на региональном и отраслевом уровнях.</w:t>
      </w:r>
    </w:p>
    <w:p>
      <w:pPr>
        <w:pStyle w:val="BodyText"/>
      </w:pPr>
      <w:r>
        <w:t xml:space="preserve">Опираясь на информационное взаимодействие с предприятиями, мы выстраиваем работу по разъяснению принятых решений. Участники мониторинга — постоянные и желанные гости на проводимых Банком России рабочих встречах и круглых столах с представителями бизнес-сообщества по вопросам денежно-кредитной политики.</w:t>
      </w:r>
    </w:p>
    <w:p>
      <w:pPr>
        <w:pStyle w:val="BodyText"/>
      </w:pPr>
      <w:r>
        <w:t xml:space="preserve">Каждый участник мониторинга получает от Банка России аналитические обзоры, подготовленные на основе достоверной и оперативной информации. Такая информация помогает лучше понять экономическую конъюнктуру и будет полезна руководителям предприятий при принятии стратегических решений и оценке перспектив развития бизнеса. Мы приглашаем предприятия, еще не присоединившиеся к мониторингу, стать его участниками.</w:t>
      </w:r>
    </w:p>
    <w:p>
      <w:pPr>
        <w:pStyle w:val="BodyText"/>
      </w:pPr>
      <w:r>
        <w:t xml:space="preserve">С 2020 года Банк России привлекает активных и лояльных участников мониторинга к оперативным опросам. Результаты таких опросов особенно актуальны в период адаптации бизнеса к меняющимся внешним и внутренним экономическим условиям.</w:t>
      </w:r>
    </w:p>
    <w:p>
      <w:pPr>
        <w:pStyle w:val="BodyText"/>
      </w:pPr>
      <w:r>
        <w:t xml:space="preserve">Мы приглашаем предприятия, еще не присоединившиеся к мониторингу, стать его участниками и для этого заполнить форму по данной ссылке .</w:t>
      </w:r>
    </w:p>
    <w:p>
      <w:pPr>
        <w:pStyle w:val="BodyText"/>
      </w:pPr>
      <w:r>
        <w:t xml:space="preserve">Аналитические материалы, основанные в том числе на данных Мониторинга, можно найти на официальном сайте Банка России (доклад «Региональная экономика» , информационно-аналитический комментарий «Инфляционные ожидания и потребительские настроения» , аналитическая записка «Индикаторы деловой активности и инфляции на основе мониторинга предприятий» .)</w:t>
      </w:r>
    </w:p>
    <w:p>
      <w:pPr>
        <w:pStyle w:val="BodyText"/>
      </w:pPr>
      <w:r>
        <w:t xml:space="preserve">Важные материалы</w:t>
      </w:r>
    </w:p>
    <w:p>
      <w:pPr>
        <w:pStyle w:val="BodyText"/>
      </w:pPr>
      <w:r>
        <w:t xml:space="preserve">Обращение заместителя Председателя Банка России Алексея Заботкина к предприятиям в связи с 25-летием мониторинга</w:t>
      </w:r>
    </w:p>
    <w:p>
      <w:pPr>
        <w:pStyle w:val="BodyText"/>
      </w:pPr>
      <w:r>
        <w:t xml:space="preserve">Youtube</w:t>
      </w:r>
    </w:p>
    <w:p>
      <w:pPr>
        <w:pStyle w:val="BodyText"/>
      </w:pPr>
      <w:r>
        <w:t xml:space="preserve">Мировой опыт</w:t>
      </w:r>
    </w:p>
    <w:p>
      <w:pPr>
        <w:pStyle w:val="BodyText"/>
      </w:pPr>
      <w:r>
        <w:t xml:space="preserve">Методология мониторинга Банка России</w:t>
      </w:r>
    </w:p>
    <w:p>
      <w:pPr>
        <w:pStyle w:val="BodyText"/>
      </w:pPr>
      <w:r>
        <w:t xml:space="preserve">Мониторинг предприятий</w:t>
      </w:r>
    </w:p>
    <w:p>
      <w:pPr>
        <w:pStyle w:val="BodyText"/>
      </w:pPr>
      <w:r>
        <w:t xml:space="preserve">Данные опросов по ГУ</w:t>
      </w:r>
    </w:p>
    <w:p>
      <w:pPr>
        <w:pStyle w:val="BodyText"/>
      </w:pPr>
      <w:r>
        <w:t xml:space="preserve">Данные опросов по группам</w:t>
      </w:r>
    </w:p>
    <w:p>
      <w:pPr>
        <w:pStyle w:val="BodyText"/>
      </w:pPr>
      <w:r>
        <w:t xml:space="preserve">Данные опросов</w:t>
      </w:r>
    </w:p>
    <w:p>
      <w:pPr>
        <w:pStyle w:val="BodyText"/>
      </w:pPr>
      <w:r>
        <w:t xml:space="preserve">Данные опросов по факторам</w:t>
      </w:r>
    </w:p>
    <w:p>
      <w:pPr>
        <w:pStyle w:val="BodyText"/>
      </w:pPr>
      <w:r>
        <w:t xml:space="preserve">При составлении опросных анкет мы учитываем интересы наших респондентов, стараясь минимизировать трудозатраты на заполнение. Как правило, анкета расположена на одном листе и содержит не более 15 вопросов, сгруппированных по тематическим блокам. Мы избегаем дублирования и используем только общепринятую терминологию в области экономики и финансов при формулировке вопросов.</w:t>
      </w:r>
    </w:p>
    <w:p>
      <w:pPr>
        <w:pStyle w:val="BodyText"/>
      </w:pPr>
      <w:r>
        <w:t xml:space="preserve">Для заполнения предприятиям предлагаются четыре вида опросных анкет. При ответе на вопросы, как правило, необходимо выбрать один из предлагаемых вариантов (например, «увеличилось», «уменьшилось», «не изменилось»). Только в финансовой анкете содержится ряд данных из бухгалтерского баланса и отчета о финансовых результатах.</w:t>
      </w:r>
    </w:p>
    <w:p>
      <w:pPr>
        <w:pStyle w:val="BodyText"/>
      </w:pPr>
      <w:r>
        <w:t xml:space="preserve">Конъюнктурная анкета собирается на ежемесячной основе и содержит вопросы, позволяющие оценить текущее и ожидаемое изменение деловой активности предприятий, факторы, влияющие на деловую активность, ценовые ожидания предприятий и причины их изменения.</w:t>
      </w:r>
    </w:p>
    <w:p>
      <w:pPr>
        <w:pStyle w:val="BodyText"/>
      </w:pPr>
      <w:r>
        <w:t xml:space="preserve">Как правило вопросы конъюнктурных анкет носят альтернативный характер, т.е. по каждому из них предусматривается несколько взаимоисключающих вариантов ответов (например, вариантами ответов на вопрос об изменении экономической конъюнктуры в отрасли являются: улучшилась, не изменилась, ухудшилась, не знаю, нет ответа).</w:t>
      </w:r>
    </w:p>
    <w:p>
      <w:pPr>
        <w:pStyle w:val="BodyText"/>
      </w:pPr>
      <w:r>
        <w:t xml:space="preserve">Мобильный блок: один раз в квартал в анкету будут дополнительно включаться несколько вопросов, характеризующих инвестиционную активность предприятий (например, уровень использования производственных мощностей, изменение инвестиционной активности и факторы ее ограничивающие). Эта информация характеризует изменения, происходящие в области инвестиционной деятельности предприятий, и не может быть получена на основе существующей статистической отчетности.</w:t>
      </w:r>
    </w:p>
    <w:p>
      <w:pPr>
        <w:pStyle w:val="BodyText"/>
      </w:pPr>
      <w:r>
        <w:t xml:space="preserve">В зависимости от отраслевой принадлежности предприятию предлагается заполнить один из четырех видов конъюнктурной анкеты.</w:t>
      </w:r>
    </w:p>
    <w:p>
      <w:pPr>
        <w:pStyle w:val="BodyText"/>
      </w:pPr>
      <w:r>
        <w:t xml:space="preserve">Для промышленных и сельскохозяйственных предприятий</w:t>
      </w:r>
    </w:p>
    <w:p>
      <w:pPr>
        <w:pStyle w:val="BodyText"/>
      </w:pPr>
      <w:r>
        <w:t xml:space="preserve">Для предприятий строительства</w:t>
      </w:r>
    </w:p>
    <w:p>
      <w:pPr>
        <w:pStyle w:val="BodyText"/>
      </w:pPr>
      <w:r>
        <w:t xml:space="preserve">Для предприятий торговли и общественного питания</w:t>
      </w:r>
    </w:p>
    <w:p>
      <w:pPr>
        <w:pStyle w:val="BodyText"/>
      </w:pPr>
      <w:r>
        <w:t xml:space="preserve">Для предприятий, оказывающих услуги</w:t>
      </w:r>
    </w:p>
    <w:p>
      <w:pPr>
        <w:pStyle w:val="BodyText"/>
      </w:pPr>
      <w:r>
        <w:t xml:space="preserve">Инвестиционная анкета собирается на ежегодной основе и содержит вопросы, позволяющие оценить инвестиционный климат в регионе, используемые формы инвестиционных вложений, источники финансирования инвестиций и мотивы инвестиционной деятельности.</w:t>
      </w:r>
    </w:p>
    <w:p>
      <w:pPr>
        <w:pStyle w:val="BodyText"/>
      </w:pPr>
      <w:r>
        <w:t xml:space="preserve">Агрегированная и накопленная информация по этим вопросам используется для формирования представления об инвестиционной стратегии предприятий и об используемых финансовых ресурсах для ее реализации.</w:t>
      </w:r>
    </w:p>
    <w:p>
      <w:pPr>
        <w:pStyle w:val="BodyText"/>
      </w:pPr>
      <w:r>
        <w:t xml:space="preserve">Инвестиционная анкета (ежегодная)</w:t>
      </w:r>
    </w:p>
    <w:p>
      <w:pPr>
        <w:pStyle w:val="BodyText"/>
      </w:pPr>
      <w:r>
        <w:t xml:space="preserve">Финансовая анкета собирается на ежегодной основе и содержит ключевые показатели бухгалтерского баланса и отчета о прибылях и убытках. В агрегированном виде эта информация позволяет оценить финансовое положение предприятий в опережающем официальную статистику режиме.</w:t>
      </w:r>
    </w:p>
    <w:p>
      <w:pPr>
        <w:pStyle w:val="BodyText"/>
      </w:pPr>
      <w:r>
        <w:t xml:space="preserve">Предприятия, заполняющие финансовую анкету, дополнительно имеют возможность получать бланк отраслевого сопоставления, в котором ключевые финансовые показатели предприятия сравниваются со среднеотраслевыми значениями.</w:t>
      </w:r>
    </w:p>
    <w:p>
      <w:pPr>
        <w:pStyle w:val="BodyText"/>
      </w:pPr>
      <w:r>
        <w:t xml:space="preserve">Финансовая анкета</w:t>
      </w:r>
    </w:p>
    <w:p>
      <w:pPr>
        <w:pStyle w:val="BodyText"/>
      </w:pPr>
      <w:r>
        <w:t xml:space="preserve">Анкета доступности финансовых ресурсов собирается на полугодовой основе и позволяет получить информацию о приоритетных для предприятий способах привлечения финансовых ресурсов, доступности финансовых ресурсов, а также степени удовлетворенности соотношением цен и качества на финансовые услуги.</w:t>
      </w:r>
    </w:p>
    <w:p>
      <w:pPr>
        <w:pStyle w:val="BodyText"/>
      </w:pPr>
      <w:r>
        <w:t xml:space="preserve">Получаемая от предприятий информация учитывается Банком России при принятии решений по ключевой ставке и в целях создания условий для повышения доступности финансовых ресурсов для бизнеса.</w:t>
      </w:r>
    </w:p>
    <w:p>
      <w:pPr>
        <w:pStyle w:val="BodyText"/>
      </w:pPr>
      <w:r>
        <w:t xml:space="preserve">Анкета доступности финансовых ресурсов</w:t>
      </w:r>
    </w:p>
    <w:p>
      <w:pPr>
        <w:pStyle w:val="BodyText"/>
      </w:pPr>
      <w:r>
        <w:t xml:space="preserve">Существует несколько способов заполнения анкеты:</w:t>
      </w:r>
    </w:p>
    <w:p>
      <w:pPr>
        <w:pStyle w:val="BodyText"/>
      </w:pPr>
      <w:r>
        <w:t xml:space="preserve">на бумажном носителе;</w:t>
      </w:r>
    </w:p>
    <w:p>
      <w:pPr>
        <w:pStyle w:val="BodyText"/>
      </w:pPr>
      <w:r>
        <w:t xml:space="preserve">в электронном виде (заполнение шаблона анкеты в файле формата xlsx, направляемого по электронной почте).</w:t>
      </w:r>
    </w:p>
    <w:p>
      <w:pPr>
        <w:pStyle w:val="BodyText"/>
      </w:pPr>
      <w:r>
        <w:t xml:space="preserve">Ответственное структурное подразделение: Департамент денежно-кредитной политики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2026-09-27T11:00:25Z</dcterms:created>
  <dcterms:modified xsi:type="dcterms:W3CDTF">2026-09-27T11:00:25Z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