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наличное-денежное-обращение"/>
    <w:p>
      <w:pPr>
        <w:pStyle w:val="Heading1"/>
      </w:pPr>
      <w:r>
        <w:t xml:space="preserve">Наличное денежное обращение</w:t>
      </w:r>
    </w:p>
    <w:p>
      <w:pPr>
        <w:pStyle w:val="FirstParagraph"/>
      </w:pPr>
      <w:r>
        <w:t xml:space="preserve">Наличное денежное обращение</w:t>
      </w:r>
    </w:p>
    <w:p>
      <w:pPr>
        <w:pStyle w:val="BodyText"/>
      </w:pPr>
      <w:r>
        <w:t xml:space="preserve">Модернизированные банкноты</w:t>
      </w:r>
    </w:p>
    <w:p>
      <w:pPr>
        <w:pStyle w:val="BodyText"/>
      </w:pPr>
      <w:r>
        <w:t xml:space="preserve">Зачем Банк России проводит модернизацию банкнот?</w:t>
      </w:r>
    </w:p>
    <w:p>
      <w:pPr>
        <w:pStyle w:val="BodyText"/>
      </w:pPr>
      <w:r>
        <w:t xml:space="preserve">Обновлено: 19.01.2024</w:t>
      </w:r>
    </w:p>
    <w:p>
      <w:pPr>
        <w:pStyle w:val="BodyText"/>
      </w:pPr>
      <w:r>
        <w:t xml:space="preserve">Для повышения защищенности от подделки российских денежных знаков.</w:t>
      </w:r>
    </w:p>
    <w:p>
      <w:pPr>
        <w:pStyle w:val="BodyText"/>
      </w:pPr>
      <w:r>
        <w:t xml:space="preserve">Какие номиналы уже модернизированы?</w:t>
      </w:r>
    </w:p>
    <w:p>
      <w:pPr>
        <w:pStyle w:val="BodyText"/>
      </w:pPr>
      <w:r>
        <w:t xml:space="preserve">Обновлено: 20.03.2026</w:t>
      </w:r>
    </w:p>
    <w:p>
      <w:pPr>
        <w:pStyle w:val="BodyText"/>
      </w:pPr>
      <w:r>
        <w:t xml:space="preserve">Банк России ввел в обращение модернизированные банкноты:</w:t>
      </w:r>
    </w:p>
    <w:p>
      <w:pPr>
        <w:pStyle w:val="BodyText"/>
      </w:pPr>
      <w:r>
        <w:t xml:space="preserve">100 рублей выпуска 2022 года,</w:t>
      </w:r>
    </w:p>
    <w:p>
      <w:pPr>
        <w:pStyle w:val="BodyText"/>
      </w:pPr>
      <w:r>
        <w:t xml:space="preserve">5000 рублей выпуска 2023 года,</w:t>
      </w:r>
    </w:p>
    <w:p>
      <w:pPr>
        <w:pStyle w:val="BodyText"/>
      </w:pPr>
      <w:r>
        <w:t xml:space="preserve">1000 рублей выпуска 2025 года.</w:t>
      </w:r>
    </w:p>
    <w:p>
      <w:pPr>
        <w:pStyle w:val="BodyText"/>
      </w:pPr>
      <w:r>
        <w:t xml:space="preserve">Что будет дальше с банкнотами образца 1997 года?</w:t>
      </w:r>
    </w:p>
    <w:p>
      <w:pPr>
        <w:pStyle w:val="BodyText"/>
      </w:pPr>
      <w:r>
        <w:t xml:space="preserve">Обновлено: 19.01.2024</w:t>
      </w:r>
    </w:p>
    <w:p>
      <w:pPr>
        <w:pStyle w:val="BodyText"/>
      </w:pPr>
      <w:r>
        <w:t xml:space="preserve">Банкноты образца 1997 года являются законным средством платежа и остаются в обращении наравне с модернизированными банкнотами после их ввода.</w:t>
      </w:r>
    </w:p>
    <w:p>
      <w:pPr>
        <w:pStyle w:val="BodyText"/>
      </w:pPr>
      <w:r>
        <w:t xml:space="preserve">Со временем банкнот образца 1997 года в обороте станет меньше, так как из-за износа, загрязнения, повреждений они постепенно будут заменены на модернизированные.</w:t>
      </w:r>
    </w:p>
    <w:p>
      <w:pPr>
        <w:pStyle w:val="BodyText"/>
      </w:pPr>
      <w:r>
        <w:t xml:space="preserve">У меня есть банкноты образца 1997 года. Что мне с ними делать? Надо ли их менять на новые банкноты?</w:t>
      </w:r>
    </w:p>
    <w:p>
      <w:pPr>
        <w:pStyle w:val="BodyText"/>
      </w:pPr>
      <w:r>
        <w:t xml:space="preserve">Обновлено: 19.01.2024</w:t>
      </w:r>
    </w:p>
    <w:p>
      <w:pPr>
        <w:pStyle w:val="BodyText"/>
      </w:pPr>
      <w:r>
        <w:t xml:space="preserve">Банкноты образца 1997 года, наравне с модернизированными, являются законным средством платежа. Продолжайте использовать их, как и раньше: оплачивайте товары и услуги, совершайте переводы, кладите на счет в банк или храните дома.</w:t>
      </w:r>
    </w:p>
    <w:p>
      <w:pPr>
        <w:pStyle w:val="BodyText"/>
      </w:pPr>
      <w:r>
        <w:t xml:space="preserve">Эти банкноты не надо специально обменивать на модернизированные. Обмену подлежат только поврежденные банкноты. Но в случае обращения банк на замену может выдать любые находящиеся в обращении банкноты без повреждений, в том числе образца 1997 года.</w:t>
      </w:r>
    </w:p>
    <w:p>
      <w:pPr>
        <w:pStyle w:val="BodyText"/>
      </w:pPr>
      <w:r>
        <w:t xml:space="preserve">Банкноты</w:t>
      </w:r>
    </w:p>
    <w:p>
      <w:pPr>
        <w:pStyle w:val="BodyText"/>
      </w:pPr>
      <w:r>
        <w:t xml:space="preserve">Где и как можно обменять поврежденные банкноты Банка России?</w:t>
      </w:r>
    </w:p>
    <w:p>
      <w:pPr>
        <w:pStyle w:val="BodyText"/>
      </w:pPr>
      <w:r>
        <w:t xml:space="preserve">Обновлено: 02.11.2024</w:t>
      </w:r>
    </w:p>
    <w:p>
      <w:pPr>
        <w:pStyle w:val="BodyText"/>
      </w:pPr>
      <w:r>
        <w:t xml:space="preserve">Обменять поврежденную банкноту Банка России можно в любом банке, который совершает операции с наличными деньгами.</w:t>
      </w:r>
    </w:p>
    <w:p>
      <w:pPr>
        <w:pStyle w:val="BodyText"/>
      </w:pPr>
      <w:r>
        <w:t xml:space="preserve">Если у кассира не будет сомнений в платежеспособности поврежденной банкноты, он сразу обменяет ее на целую. Если же сомнения возникнут, то он направит ее на экспертизу в Банк России. Банк обязан это сделать . При этом оформляется справка о сомнительных денежных знаках, в которой клиент указывает, каким способом ему удобно получить деньги обратно — наличными либо на счет в банке. Один экземпляр справки с подписью кассира и оттиском штампа кассы передается клиенту.</w:t>
      </w:r>
    </w:p>
    <w:p>
      <w:pPr>
        <w:pStyle w:val="BodyText"/>
      </w:pPr>
      <w:r>
        <w:t xml:space="preserve">Если в Банке России поврежденная банкнота признается платежеспособной, то банк возвращает клиенту деньги тем способом, который тот указал в справке.</w:t>
      </w:r>
    </w:p>
    <w:p>
      <w:pPr>
        <w:pStyle w:val="BodyText"/>
      </w:pPr>
      <w:r>
        <w:t xml:space="preserve">Если по итогам экспертизы банкноту признали неплатежеспособной, без признаков подделки, по желанию клиента она ему возвращается. Если же банкнота имеет признаки подделки, она передается в территориальные органы внутренних дел.</w:t>
      </w:r>
    </w:p>
    <w:p>
      <w:pPr>
        <w:pStyle w:val="BodyText"/>
      </w:pPr>
      <w:r>
        <w:t xml:space="preserve">Прием и передачу поврежденной банкноты на экспертизу в Банк России, а также возмещение гражданину суммы обмененной банкноты банк должен проводить бесплатно — без комиссии.</w:t>
      </w:r>
    </w:p>
    <w:p>
      <w:pPr>
        <w:pStyle w:val="BodyText"/>
      </w:pPr>
      <w:r>
        <w:t xml:space="preserve">Правомочны ли предприятия торговли отказывать гражданам в приеме банкнот Банка России, имеющих незначительные повреждения?</w:t>
      </w:r>
    </w:p>
    <w:p>
      <w:pPr>
        <w:pStyle w:val="BodyText"/>
      </w:pPr>
      <w:r>
        <w:t xml:space="preserve">Обновлено: 24.03.2020</w:t>
      </w:r>
    </w:p>
    <w:p>
      <w:pPr>
        <w:pStyle w:val="BodyText"/>
      </w:pPr>
      <w:r>
        <w:t xml:space="preserve">В соответствии со ст. 34 Федерального закона от 10.07.2002 № 86-ФЗ «О Центральном банке Российской Федерации (Банке России)» Банк России устанавливает признаки платежеспособности банкнот и монеты Банка России ( Указание Банка России от 26.12.2006 № 1778-У «О признаках платежеспособности и правилах обмена банкнот и монеты Банка России», с изменениями .)</w:t>
      </w:r>
    </w:p>
    <w:p>
      <w:pPr>
        <w:pStyle w:val="BodyText"/>
      </w:pPr>
      <w:r>
        <w:t xml:space="preserve">Денежные знаки Банка России с повреждениями, указанными в п. 1 Указания Банка России № 1778-У, обязательны к приему во все виды платежей на территории Российской Федерации всеми предприятиями, организациями и учреждениями независимо от формы собственности и сферы деятельности.</w:t>
      </w:r>
    </w:p>
    <w:p>
      <w:pPr>
        <w:pStyle w:val="BodyText"/>
      </w:pPr>
      <w:r>
        <w:t xml:space="preserve">Монеты</w:t>
      </w:r>
    </w:p>
    <w:p>
      <w:pPr>
        <w:pStyle w:val="BodyText"/>
      </w:pPr>
      <w:r>
        <w:t xml:space="preserve">Почему отказывают в приеме монет мелкого номинала? Законно ли это?</w:t>
      </w:r>
    </w:p>
    <w:p>
      <w:pPr>
        <w:pStyle w:val="BodyText"/>
      </w:pPr>
      <w:r>
        <w:t xml:space="preserve">Обновлено: 16.12.2019</w:t>
      </w:r>
    </w:p>
    <w:p>
      <w:pPr>
        <w:pStyle w:val="BodyText"/>
      </w:pPr>
      <w:r>
        <w:t xml:space="preserve">Монеты Банка России номиналом 1 копейка и 5 копеек являются законным средством наличного платежа на территории РФ и обязательны к приему по номиналу во все виды платежей без всяких ограничений.</w:t>
      </w:r>
    </w:p>
    <w:p>
      <w:pPr>
        <w:pStyle w:val="BodyText"/>
      </w:pPr>
      <w:r>
        <w:t xml:space="preserve">Почему в оформлении разменных монет (номиналы 1, 5, 10, 50 копеек) используется изображение святого Георгия Победоносца? Монеты указанных номиналов не представляют большой ценности, и население часто относится к ним и образу святого пренебрежительно.</w:t>
      </w:r>
    </w:p>
    <w:p>
      <w:pPr>
        <w:pStyle w:val="BodyText"/>
      </w:pPr>
      <w:r>
        <w:t xml:space="preserve">Обновлено: 16.12.2019</w:t>
      </w:r>
    </w:p>
    <w:p>
      <w:pPr>
        <w:pStyle w:val="BodyText"/>
      </w:pPr>
      <w:r>
        <w:t xml:space="preserve">В оформлении разменных монет Банка России образца 1997 года изображение Георгия Победоносца используется в качестве стилизованного геральдического знака.</w:t>
      </w:r>
    </w:p>
    <w:p>
      <w:pPr>
        <w:pStyle w:val="BodyText"/>
      </w:pPr>
      <w:r>
        <w:t xml:space="preserve">Начиная с XIII века на Руси и в соседних государствах изображение Георгия Победоносца используется в качестве элемента государственной символики — на княжеских печатях, штандартах, гербах. Оно было элементом государственного герба Российской империи и присутствует также на Государственном гербе Российской Федерации.</w:t>
      </w:r>
    </w:p>
    <w:p>
      <w:pPr>
        <w:pStyle w:val="BodyText"/>
      </w:pPr>
      <w:r>
        <w:t xml:space="preserve">Всадник с копьем изображается на монетах с XVI века, когда денежной реформой Елены Глинской были введены в обращение первые русские общегосударственные монеты (копейка, денга, полушка). Считается, что такой символ мог прийти из Новгорода, где был популярен культ св. Георгия, к тому времени изображавшегося обычно на коне.</w:t>
      </w:r>
    </w:p>
    <w:p>
      <w:pPr>
        <w:pStyle w:val="BodyText"/>
      </w:pPr>
      <w:r>
        <w:t xml:space="preserve">В продолжение традиции основным элементом оформления аверса разменных монет Банка России образца 1997 года номиналами 1, 5, 10 и 50 копеек стало стилизованное изображение Георгия Победоносца.</w:t>
      </w:r>
    </w:p>
    <w:p>
      <w:pPr>
        <w:pStyle w:val="BodyText"/>
      </w:pPr>
      <w:r>
        <w:t xml:space="preserve">Почему Банк России не выпускает в обращение денежные знаки, частично содержащие драгоценные металлы или полностью из них изготовленные, для использования в денежных расчетах?</w:t>
      </w:r>
    </w:p>
    <w:p>
      <w:pPr>
        <w:pStyle w:val="BodyText"/>
      </w:pPr>
      <w:r>
        <w:t xml:space="preserve">Обновлено: 16.12.2019</w:t>
      </w:r>
    </w:p>
    <w:p>
      <w:pPr>
        <w:pStyle w:val="BodyText"/>
      </w:pPr>
      <w:r>
        <w:t xml:space="preserve">Денежные знаки, полностью или частично изготовленные из драгоценных металлов, могут выполнять роль реальных платежных средств только при неизменных ценах на драгоценные металлы, когда обе ценовые характеристики денежного знака (его фиксированный номинал и его «металлическая стоимость») эквивалентны и остаются постоянными величинами. В наше время невозможно обеспечить стабильность этого соотношения, так как номинал денежного знака остается фиксированной величиной, а его «металлическая стоимость» постоянно и непредсказуемо изменяется под воздействием плавающих цен мирового рынка на драгоценные металлы. В России данная экономическая реалия находит правовое отражение в ст. 28 Федерального закона от 10.07.2002 года № 86-ФЗ «О Центральном банке Российской Федерации (Банке России)», в соответствии с которой официальное соотношение между рублем и золотом или другими драгоценными металлами не устанавливается.</w:t>
      </w:r>
    </w:p>
    <w:p>
      <w:pPr>
        <w:pStyle w:val="BodyText"/>
      </w:pPr>
      <w:r>
        <w:t xml:space="preserve">Предложение об использовании в денежных расчетах серебряных и золотых «монет», на которых не указаны рублевые номиналы, путем учета текущей рыночной стоимости заключенного в монете драгоценного металла не может рассматриваться в рамках денежной системы. Методика товарообменных операций с использованием такого рода «монет» относится к классическим образцам товарного бартера.</w:t>
      </w:r>
    </w:p>
    <w:p>
      <w:pPr>
        <w:pStyle w:val="BodyText"/>
      </w:pPr>
      <w:r>
        <w:t xml:space="preserve">Правомерен ли отказ в приеме монеты Банка России торгово-сервисными организациями при приеме от физических лиц наличных денег за проданные товары, оказанные услуги?</w:t>
      </w:r>
    </w:p>
    <w:p>
      <w:pPr>
        <w:pStyle w:val="BodyText"/>
      </w:pPr>
      <w:r>
        <w:t xml:space="preserve">Обновлено: 16.12.2019</w:t>
      </w:r>
    </w:p>
    <w:p>
      <w:pPr>
        <w:pStyle w:val="BodyText"/>
      </w:pPr>
      <w:r>
        <w:t xml:space="preserve">Согласно ст. 140 Гражданского кодекса Российской Федерации рубль является законным платежным средством, обязательным к приему по нарицательной стоимости на всей территории Российской Федерации.</w:t>
      </w:r>
    </w:p>
    <w:p>
      <w:pPr>
        <w:pStyle w:val="BodyText"/>
      </w:pPr>
      <w:r>
        <w:t xml:space="preserve">В соответствии со ст. 29 и 30 Федерального закона от 10.07.2002 № 86-ФЗ «О Центральном банке Российской Федерации (Банке России)» (Закон № 86-ФЗ) банкноты и монета Банка России являются единственным законным средством наличного платежа на территории РФ. Они обязательны к приему по нарицательной стоимости при осуществлении всех видов платежей, для зачисления на счета, во вклады и для перевода на всей территории РФ.</w:t>
      </w:r>
    </w:p>
    <w:p>
      <w:pPr>
        <w:pStyle w:val="BodyText"/>
      </w:pPr>
      <w:r>
        <w:t xml:space="preserve">Банк России в соответствии со ст. 4 Закона № 86-ФЗ осуществляет надзор за деятельностью кредитных организаций и банковских групп, а также регулирование, контроль и надзор за деятельностью некредитных финансовых организаций.</w:t>
      </w:r>
    </w:p>
    <w:p>
      <w:pPr>
        <w:pStyle w:val="BodyText"/>
      </w:pPr>
      <w:r>
        <w:t xml:space="preserve">В соответствии с Положением о Федеральной службе по надзору в сфере защиты прав потребителей и благополучия человека, утвержденным Постановлением Правительства РФ от 30.06.2004 № 322, надзор и контроль за исполнением обязательных требований законодательства РФ в области защиты прав потребителей и в области потребительского рынка осуществляет Федеральная служба по надзору в сфере защиты прав потребителей и благополучия человека (Роспотребнадзор) — федеральный орган исполнительной власти, в функции которого входят выработка и реализация государственной политики и нормативно-правовое регулирование в сфере защиты прав потребителей.</w:t>
      </w:r>
    </w:p>
    <w:p>
      <w:pPr>
        <w:pStyle w:val="BodyText"/>
      </w:pPr>
      <w:r>
        <w:t xml:space="preserve">Где найти информацию по памятным и инвестиционным монетам, выпускаемым в обращение Банком России?</w:t>
      </w:r>
    </w:p>
    <w:p>
      <w:pPr>
        <w:pStyle w:val="BodyText"/>
      </w:pPr>
      <w:r>
        <w:t xml:space="preserve">Обновлено: 16.12.2019</w:t>
      </w:r>
    </w:p>
    <w:p>
      <w:pPr>
        <w:pStyle w:val="BodyText"/>
      </w:pPr>
      <w:r>
        <w:t xml:space="preserve">Информация о выпускаемых в обращение памятных и инвестиционных монетах Банка России размещена на официальном сайте Банка России</w:t>
      </w:r>
    </w:p>
    <w:p>
      <w:pPr>
        <w:pStyle w:val="BodyText"/>
      </w:pPr>
      <w:r>
        <w:t xml:space="preserve">Как распределяются памятные монеты из недрагоценных металлов?</w:t>
      </w:r>
    </w:p>
    <w:p>
      <w:pPr>
        <w:pStyle w:val="BodyText"/>
      </w:pPr>
      <w:r>
        <w:t xml:space="preserve">Обновлено: 16.12.2019</w:t>
      </w:r>
    </w:p>
    <w:p>
      <w:pPr>
        <w:pStyle w:val="BodyText"/>
      </w:pPr>
      <w:r>
        <w:t xml:space="preserve">Монеты Банка России, в том числе памятные монеты из недрагоценных металлов, выдаются из касс учреждений Банка России кредитным организациям — клиентам Банка России по номинальной стоимости. Банк России не осуществляет операции с физическими лицами.</w:t>
      </w:r>
    </w:p>
    <w:p>
      <w:pPr>
        <w:pStyle w:val="BodyText"/>
      </w:pPr>
      <w:r>
        <w:t xml:space="preserve">Памятные монеты из недрагоценных металлов доставляются во все территориальные учреждения Банка России пропорционально численности проживающего в регионе населения.</w:t>
      </w:r>
    </w:p>
    <w:p>
      <w:pPr>
        <w:pStyle w:val="BodyText"/>
      </w:pPr>
      <w:r>
        <w:t xml:space="preserve">В территориальные учреждения Банка России, расположенные на территории субъекта Российской Федерации, которому посвящен выпуск соответствующей памятной монеты, доставка осуществляется с учетом потребностей данного региона.</w:t>
      </w:r>
    </w:p>
    <w:p>
      <w:pPr>
        <w:pStyle w:val="BodyText"/>
      </w:pPr>
      <w:r>
        <w:t xml:space="preserve">Указанные монеты доставляются вместе с банкнотами и разменной монетой.</w:t>
      </w:r>
    </w:p>
    <w:p>
      <w:pPr>
        <w:pStyle w:val="BodyText"/>
      </w:pPr>
      <w:r>
        <w:t xml:space="preserve">Распространение на территории Российской Федерации памятных монет из недрагоценных металлов с цветным изображением в сувенирной упаковке осуществляют кредитные организации, с которыми заключено соглашение о передаче Банком России памятных и инвестиционных монет — валюты Российской Федерации, и АО «Гознак».</w:t>
      </w:r>
    </w:p>
    <w:p>
      <w:pPr>
        <w:pStyle w:val="BodyText"/>
      </w:pPr>
      <w:r>
        <w:t xml:space="preserve">Как физическое лицо может приобрести памятные и инвестиционные монеты на территории РФ?</w:t>
      </w:r>
    </w:p>
    <w:p>
      <w:pPr>
        <w:pStyle w:val="BodyText"/>
      </w:pPr>
      <w:r>
        <w:t xml:space="preserve">Обновлено: 16.12.2019</w:t>
      </w:r>
    </w:p>
    <w:p>
      <w:pPr>
        <w:pStyle w:val="BodyText"/>
      </w:pPr>
      <w:r>
        <w:t xml:space="preserve">Банк России в соответствии со своим статусом не проводит операции с физическими лицами. По вопросам приобретения памятных и инвестиционных монет из драгоценных металлов, а также монет из недрагоценных металлов в сувенирной упаковке следует обращаться в кредитные организации и АО «Гознак». Со списком организаций, с которыми заключены соглашения о передаче Банком России памятных и инвестиционных монет — валюты Российской Федерации — можно в разделе «Памятные и инвестиционные монеты».</w:t>
      </w:r>
    </w:p>
    <w:p>
      <w:pPr>
        <w:pStyle w:val="BodyText"/>
      </w:pPr>
      <w:r>
        <w:t xml:space="preserve">Как физическое лицо может приобрести памятные и инвестиционные монеты за рубежом?</w:t>
      </w:r>
    </w:p>
    <w:p>
      <w:pPr>
        <w:pStyle w:val="BodyText"/>
      </w:pPr>
      <w:r>
        <w:t xml:space="preserve">Обновлено: 16.12.2019</w:t>
      </w:r>
    </w:p>
    <w:p>
      <w:pPr>
        <w:pStyle w:val="BodyText"/>
      </w:pPr>
      <w:r>
        <w:t xml:space="preserve">Банк России в соответствии со своим статусом не проводит операции с физическими лицами. По вопросам приобретения памятных и инвестиционных монет из драгоценных металлов, а также монет из недрагоценных металлов в сувенирной упаковке следует обращаться к официальным распространителям памятных и инвестиционных монет Банка России за рубежом:</w:t>
      </w:r>
    </w:p>
    <w:p>
      <w:pPr>
        <w:pStyle w:val="Compact"/>
        <w:numPr>
          <w:ilvl w:val="0"/>
          <w:numId w:val="1001"/>
        </w:numPr>
      </w:pPr>
      <w:r>
        <w:t xml:space="preserve">MDM Münzhandelsgesellschaft mbH &amp; Co. KG Deutsche Münze</w:t>
      </w:r>
    </w:p>
    <w:p>
      <w:pPr>
        <w:pStyle w:val="FirstParagraph"/>
      </w:pPr>
      <w:r>
        <w:t xml:space="preserve">Theodor-Heuss-Straße 7, 38097 Braunschweig, http://www.mdm.de/</w:t>
      </w:r>
    </w:p>
    <w:p>
      <w:pPr>
        <w:pStyle w:val="Compact"/>
        <w:numPr>
          <w:ilvl w:val="0"/>
          <w:numId w:val="1002"/>
        </w:numPr>
      </w:pPr>
      <w:r>
        <w:t xml:space="preserve">Weka Muenzhandels GmbH Am Lehenweg 11</w:t>
      </w:r>
    </w:p>
    <w:p>
      <w:pPr>
        <w:pStyle w:val="FirstParagraph"/>
      </w:pPr>
      <w:r>
        <w:t xml:space="preserve">60437 Frankfurt/Germany, www.wekamuenzen.de</w:t>
      </w:r>
    </w:p>
    <w:p>
      <w:pPr>
        <w:pStyle w:val="Compact"/>
        <w:numPr>
          <w:ilvl w:val="0"/>
          <w:numId w:val="1003"/>
        </w:numPr>
      </w:pPr>
      <w:r>
        <w:t xml:space="preserve">EMPORIUM HAMBURG Münzhandelsgesellschaft mbH Störtebeker-Haus</w:t>
      </w:r>
    </w:p>
    <w:p>
      <w:pPr>
        <w:pStyle w:val="FirstParagraph"/>
      </w:pPr>
      <w:r>
        <w:t xml:space="preserve">Süderstraße 288, 20537 Hamburg, www.Emporium-Hamburg.com</w:t>
      </w:r>
    </w:p>
    <w:p>
      <w:pPr>
        <w:pStyle w:val="Compact"/>
        <w:numPr>
          <w:ilvl w:val="0"/>
          <w:numId w:val="1004"/>
        </w:numPr>
      </w:pPr>
      <w:r>
        <w:t xml:space="preserve">Schoeller Münzhandel GmbH, Renngasse 14, A-1010 Wien, Austria</w:t>
      </w:r>
    </w:p>
    <w:p>
      <w:pPr>
        <w:pStyle w:val="FirstParagraph"/>
      </w:pPr>
      <w:r>
        <w:t xml:space="preserve">www.smh.net</w:t>
      </w:r>
    </w:p>
    <w:p>
      <w:pPr>
        <w:pStyle w:val="BodyText"/>
      </w:pPr>
      <w:r>
        <w:t xml:space="preserve">Каков тираж выпускаемых памятных монет из недрагоценных металлов?</w:t>
      </w:r>
    </w:p>
    <w:p>
      <w:pPr>
        <w:pStyle w:val="BodyText"/>
      </w:pPr>
      <w:r>
        <w:t xml:space="preserve">Обновлено: 16.12.2019</w:t>
      </w:r>
    </w:p>
    <w:p>
      <w:pPr>
        <w:pStyle w:val="BodyText"/>
      </w:pPr>
      <w:r>
        <w:t xml:space="preserve">Информация о фактических тиражах, а также технических параметрах памятных монет из драгоценных и недрагоценных металлов, выпущенных в обращение Банком России, размещена в базе данных по памятным и инвестиционным монетам .</w:t>
      </w:r>
    </w:p>
    <w:p>
      <w:pPr>
        <w:pStyle w:val="BodyText"/>
      </w:pPr>
      <w:r>
        <w:t xml:space="preserve">Почему количество монет Банка России из недрагоценных металлов, предназначенных для коллекционирования, ограничено?</w:t>
      </w:r>
    </w:p>
    <w:p>
      <w:pPr>
        <w:pStyle w:val="BodyText"/>
      </w:pPr>
      <w:r>
        <w:t xml:space="preserve">Обновлено: 16.12.2019</w:t>
      </w:r>
    </w:p>
    <w:p>
      <w:pPr>
        <w:pStyle w:val="BodyText"/>
      </w:pPr>
      <w:r>
        <w:t xml:space="preserve">Ограничение связано с техническими возможностями АО «Гознак», а также с особенностями перевозки и распространения данных монет по территории Российской Федерации.</w:t>
      </w:r>
    </w:p>
    <w:p>
      <w:pPr>
        <w:pStyle w:val="BodyText"/>
      </w:pPr>
      <w:r>
        <w:t xml:space="preserve">Почему на инвестиционных монетах появляются пятна, как влияет их наличие на качество монет?</w:t>
      </w:r>
    </w:p>
    <w:p>
      <w:pPr>
        <w:pStyle w:val="BodyText"/>
      </w:pPr>
      <w:r>
        <w:t xml:space="preserve">Обновлено: 16.12.2019</w:t>
      </w:r>
    </w:p>
    <w:p>
      <w:pPr>
        <w:pStyle w:val="BodyText"/>
      </w:pPr>
      <w:r>
        <w:t xml:space="preserve">Главное требование, предъявляемое к инвестиционным монетам — соответствие заявленным параметрам по массе химически чистого драгоценного металла, что, в свою очередь, обеспечивается отсутствием механических повреждений.</w:t>
      </w:r>
    </w:p>
    <w:p>
      <w:pPr>
        <w:pStyle w:val="BodyText"/>
      </w:pPr>
      <w:r>
        <w:t xml:space="preserve">В ряде случаев, в зависимости от условий хранения, на монетах могут появляться пятна, представляющие собой окислы металлов и микроскопические частицы различных веществ, попадающие на поверхность.</w:t>
      </w:r>
    </w:p>
    <w:p>
      <w:pPr>
        <w:pStyle w:val="BodyText"/>
      </w:pPr>
      <w:r>
        <w:t xml:space="preserve">Может ли физическое лицо продать памятные или инвестиционные монеты банку?</w:t>
      </w:r>
    </w:p>
    <w:p>
      <w:pPr>
        <w:pStyle w:val="BodyText"/>
      </w:pPr>
      <w:r>
        <w:t xml:space="preserve">Обновлено: 16.12.2019</w:t>
      </w:r>
    </w:p>
    <w:p>
      <w:pPr>
        <w:pStyle w:val="BodyText"/>
      </w:pPr>
      <w:r>
        <w:t xml:space="preserve">Банк России не регламентирует вопросы обратного выкупа кредитными организациями монет у населения. Вместе с тем, необходимо отметить, что ряд кредитных организаций осуществляет выкуп монет у населения.</w:t>
      </w:r>
    </w:p>
    <w:p>
      <w:pPr>
        <w:pStyle w:val="BodyText"/>
      </w:pPr>
      <w:r>
        <w:t xml:space="preserve">Общие вопросы</w:t>
      </w:r>
    </w:p>
    <w:p>
      <w:pPr>
        <w:pStyle w:val="BodyText"/>
      </w:pPr>
      <w:r>
        <w:t xml:space="preserve">Почему на банкнотах и монетах Банка России помещен герб Временного правительства 1917 г., а не герб Российской Федерации?</w:t>
      </w:r>
    </w:p>
    <w:p>
      <w:pPr>
        <w:pStyle w:val="BodyText"/>
      </w:pPr>
      <w:r>
        <w:t xml:space="preserve">Обновлено: 11.11.2019</w:t>
      </w:r>
    </w:p>
    <w:p>
      <w:pPr>
        <w:pStyle w:val="BodyText"/>
      </w:pPr>
      <w:r>
        <w:t xml:space="preserve">На денежных знаках Банка России помещается его официальная эмблема — изображение двуглавого орла с опущенными крыльями и надпись полукругом «БАНК РОССИИ». В 1992 г. в условиях отсутствия государственной символики Российской Федерации эта эмблема была помещена на аверсах новых образцов монет, которые были утверждены Постановлением Президиума Верховного Совета Российской Федерации от 17.07.1992 № 3352-1 «О монетах нового образца, выпускаемых в обращение». Начиная с 1995 г. указанная эмблема помещается и на билетах Банка России.</w:t>
      </w:r>
    </w:p>
    <w:p>
      <w:pPr>
        <w:pStyle w:val="BodyText"/>
      </w:pPr>
      <w:r>
        <w:t xml:space="preserve">В 2001 г. эмблема Банка России в установленном порядке внесена в Государственный геральдический регистр Российской Федерации под № 687.</w:t>
      </w:r>
    </w:p>
    <w:p>
      <w:pPr>
        <w:pStyle w:val="BodyText"/>
      </w:pPr>
      <w:r>
        <w:t xml:space="preserve">Изображение орла на эмблеме Банка России несколько отличается от изображения орла, исполненного в 1917 г. художником Билибиным И.Я. для государственного символа Временного правительства России.</w:t>
      </w:r>
    </w:p>
    <w:p>
      <w:pPr>
        <w:pStyle w:val="BodyText"/>
      </w:pPr>
      <w:r>
        <w:t xml:space="preserve">Использование Банком России своей эмблемы для оформления денежных знаков не противоречит законодательству Российской Федерации. Ст. 7 Федерального конституционного закона № 2-ФКЗ от 25.12.2000 «О Государственном гербе Российской Федерации» устанавливает, что Государственный герб Российской Федерации может помещаться на денежных знаках, то есть помещение герба на денежных знаках не является обязательным.</w:t>
      </w:r>
    </w:p>
    <w:p>
      <w:pPr>
        <w:pStyle w:val="BodyText"/>
      </w:pPr>
      <w:r>
        <w:t xml:space="preserve">В соответствии с указанной нормой закона Банк России поместил изображение Государственного герба Российской Федерации на аверсах памятных монет, посвященных XXII Олимпийским зимним играм и XI Паралимпийским зимним играм 2014 года в г. Сочи. Кроме того, начиная с 2016 г. чеканки на аверсах всех монет, в оформлении которых использовалась эмблема Банка России, размещается изображение Государственного герба Российской Федерации. Также изображение Государственного герба Российской Федерации размещено на банкнотах Банка России образца 2017 г. и памятных банкнотах Банка России номиналом 100 рублей, посвященных Чемпионату мира по футболу FIFA 2018 года.</w:t>
      </w:r>
    </w:p>
    <w:p>
      <w:pPr>
        <w:pStyle w:val="BodyText"/>
      </w:pPr>
      <w:r>
        <w:t xml:space="preserve">Вправе ли банки отказывать клиенту в размене наличных денег?</w:t>
      </w:r>
    </w:p>
    <w:p>
      <w:pPr>
        <w:pStyle w:val="BodyText"/>
      </w:pPr>
      <w:r>
        <w:t xml:space="preserve">Обновлено: 04.03.2020</w:t>
      </w:r>
    </w:p>
    <w:p>
      <w:pPr>
        <w:pStyle w:val="BodyText"/>
      </w:pPr>
      <w:r>
        <w:t xml:space="preserve">В соответствии с Положением Банка России от 29.01.2018 № 630-П «О порядке ведения кассовых операций и правилах хранения, перевозки и инкассации банкнот и монеты Банка России в кредитных организациях на территории Российской Федерации» размен банкнот Банка России, монеты Банка России одного номинала на банкноты Банка России, монету Банка России другого номинала осуществляют кредитные организации (филиалы), их внутренние структурные подразделения, совершающие банковскую операцию по инкассации денежных средств, векселей, платежных и расчетных документов и кассовому обслуживанию физических и юридических лиц.</w:t>
      </w:r>
    </w:p>
    <w:p>
      <w:pPr>
        <w:pStyle w:val="BodyText"/>
      </w:pPr>
      <w:r>
        <w:t xml:space="preserve">Информацию об осуществлении кредитными организациями операции по размену наличных денег и порядке ее проведения можно узнать на их официальных сайтах.</w:t>
      </w:r>
    </w:p>
    <w:p>
      <w:pPr>
        <w:pStyle w:val="BodyText"/>
      </w:pPr>
      <w:r>
        <w:t xml:space="preserve">На сайте Банка России используются файлы cookie</w:t>
      </w:r>
    </w:p>
    <w:p>
      <w:pPr>
        <w:pStyle w:val="BodyText"/>
      </w:pPr>
      <w:r>
        <w:t xml:space="preserve">Оставаясь на www.cbr.ru , вы принимаете пользовательское соглашение</w:t>
      </w:r>
    </w:p>
    <w:bookmarkEnd w:id="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22">
    <w:nsid w:val="00A9942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23">
    <w:nsid w:val="00A9942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24">
    <w:nsid w:val="00A9942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4">
    <w:abstractNumId w:val="994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2026-09-27T11:00:26Z</dcterms:created>
  <dcterms:modified xsi:type="dcterms:W3CDTF">2026-09-27T11:00:26Z</dcterms:modified>
</cp:coreProperties>
</file>

<file path=docProps/custom.xml><?xml version="1.0" encoding="utf-8"?>
<Properties xmlns="http://schemas.openxmlformats.org/officeDocument/2006/custom-properties" xmlns:vt="http://schemas.openxmlformats.org/officeDocument/2006/docPropsVTypes"/>
</file>