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национальная-антициклическая-надбавка"/>
    <w:p>
      <w:pPr>
        <w:pStyle w:val="Heading1"/>
      </w:pPr>
      <w:r>
        <w:t xml:space="preserve">Национальная антициклическая надбавка</w:t>
      </w:r>
    </w:p>
    <w:p>
      <w:pPr>
        <w:pStyle w:val="FirstParagraph"/>
      </w:pPr>
      <w:r>
        <w:t xml:space="preserve">Национальная антициклическая надбавка</w:t>
      </w:r>
    </w:p>
    <w:p>
      <w:pPr>
        <w:pStyle w:val="BodyText"/>
      </w:pPr>
      <w:r>
        <w:t xml:space="preserve">В российском макропруденциальном регулировании такой инструмент, как контрциклический буфер капитала (Countercyclical capital buffer), получил название национальной антициклической надбавки (АЦН).</w:t>
      </w:r>
    </w:p>
    <w:p>
      <w:pPr>
        <w:pStyle w:val="BodyText"/>
      </w:pPr>
      <w:r>
        <w:t xml:space="preserve">Помимо МПН, действующих в отдельных сегментах кредитования, инструментарий макропруденциальной политики Банка России включает АЦН. Использование АЦН направлено на повышение устойчивости банковского сектора к возможным шокам и ограничение их влияния на кредитование экономики. АЦН формируется в период ускоренного роста кредитования во всех сегментах кредитования (корпоративное кредитование, ипотека, необеспеченное потребительское кредитование) и распускается в случае кризиса.</w:t>
      </w:r>
    </w:p>
    <w:p>
      <w:pPr>
        <w:pStyle w:val="BodyText"/>
      </w:pPr>
      <w:r>
        <w:t xml:space="preserve">Банк России принимает решения об установлении величины АЦН на основе анализа широкого перечня показателей, характеризующих состояние кредитного цикла. Определение уровня системных рисков банковского сектора, связанных с состоянием кредитного цикла, осуществляется на основе мониторинга динамики кредитной активности (в том числе по отдельным сегментам), а также финансового состояния банков и их заемщиков. Указанные показатели анализируются в увязке с ожидаемым изменением макроэкономических условий и других финансовых показателей, в частности показателей кредитного гэпа. Кредитный гэп определяется как отклонение фактического значения соотношения кредитных требований к ВВП от его долгосрочного тренда. Если значение кредитного гэпа находится в отрицательной области, это позволяет характеризовать ситуацию как нисходящую фазу кредитного цикла, если в положительной области – как восходящую фазу кредитного цикла.</w:t>
      </w:r>
    </w:p>
    <w:p>
      <w:pPr>
        <w:pStyle w:val="BodyText"/>
      </w:pPr>
      <w:r>
        <w:t xml:space="preserve">Совет директоров Банка России 8 ноября 2024 года принял решение впервые установить положительную величину АЦН к нормативам достаточности капитала кредитных организаций от взвешенных по риску активов: с 1 февраля 2025 года – в размере 0,25 процента, с 1 июля – 0,5 процента.</w:t>
      </w:r>
    </w:p>
    <w:p>
      <w:pPr>
        <w:pStyle w:val="BodyText"/>
      </w:pPr>
      <w:r>
        <w:t xml:space="preserve">Индикаторы кредитного цикла</w:t>
      </w:r>
    </w:p>
    <w:p>
      <w:pPr>
        <w:pStyle w:val="BodyText"/>
      </w:pPr>
      <w:r>
        <w:t xml:space="preserve">Сводные данные по индикаторам кредитного цикла</w:t>
      </w:r>
    </w:p>
    <w:p>
      <w:pPr>
        <w:pStyle w:val="BodyText"/>
      </w:pPr>
      <w:r>
        <w:t xml:space="preserve">Ряды значений индикаторов кредитного цикла</w:t>
      </w:r>
    </w:p>
    <w:p>
      <w:pPr>
        <w:pStyle w:val="BodyText"/>
      </w:pPr>
      <w:r>
        <w:t xml:space="preserve">Методологические комментарии к индикаторам кредитного цикла</w:t>
      </w:r>
    </w:p>
    <w:p>
      <w:pPr>
        <w:pStyle w:val="BodyText"/>
      </w:pPr>
      <w:r>
        <w:t xml:space="preserve">27 июля 2026 г.</w:t>
      </w:r>
    </w:p>
    <w:p>
      <w:pPr>
        <w:pStyle w:val="BodyText"/>
      </w:pPr>
      <w:r>
        <w:t xml:space="preserve">11:50</w:t>
      </w:r>
    </w:p>
    <w:p>
      <w:pPr>
        <w:pStyle w:val="BodyText"/>
      </w:pPr>
      <w:r>
        <w:t xml:space="preserve">Банк России принял ряд решений по макропруденциальной политике</w:t>
      </w:r>
    </w:p>
    <w:p>
      <w:pPr>
        <w:pStyle w:val="BodyText"/>
      </w:pPr>
      <w:r>
        <w:t xml:space="preserve">29 апреля 2026 г.</w:t>
      </w:r>
    </w:p>
    <w:p>
      <w:pPr>
        <w:pStyle w:val="BodyText"/>
      </w:pPr>
      <w:r>
        <w:t xml:space="preserve">18:00</w:t>
      </w:r>
    </w:p>
    <w:p>
      <w:pPr>
        <w:pStyle w:val="BodyText"/>
      </w:pPr>
      <w:r>
        <w:t xml:space="preserve">Банк России принял ряд решений по макропруденциальной политике</w:t>
      </w:r>
    </w:p>
    <w:p>
      <w:pPr>
        <w:pStyle w:val="BodyText"/>
      </w:pPr>
      <w:r>
        <w:t xml:space="preserve">30 января 2026 г.</w:t>
      </w:r>
    </w:p>
    <w:p>
      <w:pPr>
        <w:pStyle w:val="BodyText"/>
      </w:pPr>
      <w:r>
        <w:t xml:space="preserve">18:22</w:t>
      </w:r>
    </w:p>
    <w:p>
      <w:pPr>
        <w:pStyle w:val="BodyText"/>
      </w:pPr>
      <w:r>
        <w:t xml:space="preserve">Банк России принял ряд решений по макропруденциальной политике</w:t>
      </w:r>
    </w:p>
    <w:p>
      <w:pPr>
        <w:pStyle w:val="BodyText"/>
      </w:pPr>
      <w:r>
        <w:t xml:space="preserve">24 апреля 2025 г.</w:t>
      </w:r>
    </w:p>
    <w:p>
      <w:pPr>
        <w:pStyle w:val="BodyText"/>
      </w:pPr>
      <w:r>
        <w:t xml:space="preserve">18:15</w:t>
      </w:r>
    </w:p>
    <w:p>
      <w:pPr>
        <w:pStyle w:val="BodyText"/>
      </w:pPr>
      <w:r>
        <w:t xml:space="preserve">Банк России принял ряд решений по макропруденциальной политике</w:t>
      </w:r>
    </w:p>
    <w:p>
      <w:pPr>
        <w:pStyle w:val="BodyText"/>
      </w:pPr>
      <w:r>
        <w:t xml:space="preserve">8 ноября 2024 г.</w:t>
      </w:r>
    </w:p>
    <w:p>
      <w:pPr>
        <w:pStyle w:val="BodyText"/>
      </w:pPr>
      <w:r>
        <w:t xml:space="preserve">19:17</w:t>
      </w:r>
    </w:p>
    <w:p>
      <w:pPr>
        <w:pStyle w:val="BodyText"/>
      </w:pPr>
      <w:r>
        <w:t xml:space="preserve">Банк России принял ряд решений по банковскому регулированию</w:t>
      </w:r>
    </w:p>
    <w:p>
      <w:pPr>
        <w:pStyle w:val="BodyText"/>
      </w:pPr>
      <w:r>
        <w:t xml:space="preserve">30 августа 2024 г.</w:t>
      </w:r>
    </w:p>
    <w:p>
      <w:pPr>
        <w:pStyle w:val="BodyText"/>
      </w:pPr>
      <w:r>
        <w:t xml:space="preserve">12:55</w:t>
      </w:r>
    </w:p>
    <w:p>
      <w:pPr>
        <w:pStyle w:val="BodyText"/>
      </w:pPr>
      <w:r>
        <w:t xml:space="preserve">Банк России установил национальную антициклическую надбавку к нормативам достаточности капитала на уровне 0,25 процента от взвешенных по риску активов</w:t>
      </w:r>
    </w:p>
    <w:p>
      <w:pPr>
        <w:pStyle w:val="BodyText"/>
      </w:pPr>
      <w:r>
        <w:t xml:space="preserve">24 декабря 2021 г.</w:t>
      </w:r>
    </w:p>
    <w:p>
      <w:pPr>
        <w:pStyle w:val="BodyText"/>
      </w:pPr>
      <w:r>
        <w:t xml:space="preserve">20:45</w:t>
      </w:r>
    </w:p>
    <w:p>
      <w:pPr>
        <w:pStyle w:val="BodyText"/>
      </w:pPr>
      <w:r>
        <w:t xml:space="preserve">Банк России установил значение национальной антициклической надбавки Российской Федерации на уровне ноль процентов от взвешенных по риску активов</w:t>
      </w:r>
    </w:p>
    <w:p>
      <w:pPr>
        <w:pStyle w:val="BodyText"/>
      </w:pPr>
      <w:r>
        <w:t xml:space="preserve">30 сентября 2021 г.</w:t>
      </w:r>
    </w:p>
    <w:p>
      <w:pPr>
        <w:pStyle w:val="BodyText"/>
      </w:pPr>
      <w:r>
        <w:t xml:space="preserve">16:35</w:t>
      </w:r>
    </w:p>
    <w:p>
      <w:pPr>
        <w:pStyle w:val="BodyText"/>
      </w:pPr>
      <w:r>
        <w:t xml:space="preserve">Банк России установил значение национальной антициклической надбавки Российской Федерации на уровне ноль процентов от взвешенных по риску активов</w:t>
      </w:r>
    </w:p>
    <w:p>
      <w:pPr>
        <w:pStyle w:val="BodyText"/>
      </w:pPr>
      <w:r>
        <w:t xml:space="preserve">25 июня 2021 г.</w:t>
      </w:r>
    </w:p>
    <w:p>
      <w:pPr>
        <w:pStyle w:val="BodyText"/>
      </w:pPr>
      <w:r>
        <w:t xml:space="preserve">20:15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</w:t>
      </w:r>
    </w:p>
    <w:p>
      <w:pPr>
        <w:pStyle w:val="BodyText"/>
      </w:pPr>
      <w:r>
        <w:t xml:space="preserve">19 марта 2021 г.</w:t>
      </w:r>
    </w:p>
    <w:p>
      <w:pPr>
        <w:pStyle w:val="BodyText"/>
      </w:pPr>
      <w:r>
        <w:t xml:space="preserve">15:26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 и надбавок к коэффициентам риска</w:t>
      </w:r>
    </w:p>
    <w:p>
      <w:pPr>
        <w:pStyle w:val="BodyText"/>
      </w:pPr>
      <w:r>
        <w:t xml:space="preserve">18 декабря 2020 г.</w:t>
      </w:r>
    </w:p>
    <w:p>
      <w:pPr>
        <w:pStyle w:val="BodyText"/>
      </w:pPr>
      <w:r>
        <w:t xml:space="preserve">14:30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 и надбавок к коэффициентам риска</w:t>
      </w:r>
    </w:p>
    <w:p>
      <w:pPr>
        <w:pStyle w:val="BodyText"/>
      </w:pPr>
      <w:r>
        <w:t xml:space="preserve">19 июня 2020 г.</w:t>
      </w:r>
    </w:p>
    <w:p>
      <w:pPr>
        <w:pStyle w:val="BodyText"/>
      </w:pPr>
      <w:r>
        <w:t xml:space="preserve">18:14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 и надбавок к коэффициентам риска</w:t>
      </w:r>
    </w:p>
    <w:p>
      <w:pPr>
        <w:pStyle w:val="BodyText"/>
      </w:pPr>
      <w:r>
        <w:t xml:space="preserve">16 декабря 2019 г.</w:t>
      </w:r>
    </w:p>
    <w:p>
      <w:pPr>
        <w:pStyle w:val="BodyText"/>
      </w:pPr>
      <w:r>
        <w:t xml:space="preserve">15:35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 и значения надбавок к коэффициентам риска</w:t>
      </w:r>
    </w:p>
    <w:p>
      <w:pPr>
        <w:pStyle w:val="BodyText"/>
      </w:pPr>
      <w:r>
        <w:t xml:space="preserve">30 августа 2019 г.</w:t>
      </w:r>
    </w:p>
    <w:p>
      <w:pPr>
        <w:pStyle w:val="BodyText"/>
      </w:pPr>
      <w:r>
        <w:t xml:space="preserve">17:34</w:t>
      </w:r>
    </w:p>
    <w:p>
      <w:pPr>
        <w:pStyle w:val="BodyText"/>
      </w:pPr>
      <w:r>
        <w:t xml:space="preserve">Банк России сохранил значение национальной антициклической надбавки Российской Федерации и значения надбавок к коэффициентам риска</w:t>
      </w:r>
    </w:p>
    <w:p>
      <w:pPr>
        <w:pStyle w:val="BodyText"/>
      </w:pPr>
      <w:r>
        <w:t xml:space="preserve">5 июня 2019 г.</w:t>
      </w:r>
    </w:p>
    <w:p>
      <w:pPr>
        <w:pStyle w:val="BodyText"/>
      </w:pPr>
      <w:r>
        <w:t xml:space="preserve">18:19</w:t>
      </w:r>
    </w:p>
    <w:p>
      <w:pPr>
        <w:pStyle w:val="BodyText"/>
      </w:pPr>
      <w:r>
        <w:t xml:space="preserve">О величине национальной антициклической надбавки Российской Федерации и надбавках к коэффициентам риска для целей расчета кредитными организациями нормативов достаточности капитала</w:t>
      </w:r>
    </w:p>
    <w:p>
      <w:pPr>
        <w:pStyle w:val="BodyText"/>
      </w:pPr>
      <w:r>
        <w:t xml:space="preserve">7 марта 2019 г.</w:t>
      </w:r>
    </w:p>
    <w:p>
      <w:pPr>
        <w:pStyle w:val="BodyText"/>
      </w:pPr>
      <w:r>
        <w:t xml:space="preserve">09:55</w:t>
      </w:r>
    </w:p>
    <w:p>
      <w:pPr>
        <w:pStyle w:val="BodyText"/>
      </w:pPr>
      <w:r>
        <w:t xml:space="preserve">О величине национальной антициклической надбавки Российской Федерации и надбавках к коэффициентам риска для целей расчета кредитными организациями нормативов достаточности капитала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2026-09-27T11:00:26Z</dcterms:created>
  <dcterms:modified xsi:type="dcterms:W3CDTF">2026-09-27T11:00:26Z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