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d69b5b57a07cc97694eeb84c92795785f989af"/>
    <w:p>
      <w:pPr>
        <w:pStyle w:val="Heading1"/>
      </w:pPr>
      <w:r>
        <w:t xml:space="preserve">Обзор денежно-кредитной политики Банка России</w:t>
      </w:r>
    </w:p>
    <w:p>
      <w:pPr>
        <w:pStyle w:val="FirstParagraph"/>
      </w:pPr>
      <w:r>
        <w:t xml:space="preserve">Обзор денежно-кредитной политики Банка России</w:t>
      </w:r>
    </w:p>
    <w:p>
      <w:pPr>
        <w:pStyle w:val="BodyText"/>
      </w:pPr>
      <w:r>
        <w:t xml:space="preserve">Обзор ДКП — 2023</w:t>
      </w:r>
    </w:p>
    <w:p>
      <w:pPr>
        <w:pStyle w:val="BodyText"/>
      </w:pPr>
      <w:r>
        <w:t xml:space="preserve">Обзор денежно-кредитной политики (Обзор ДКП) – это комплексный анализ денежно-кредитной политики (ДКП) Банка России и ее соответствия меняющимся реалиям. По результатам анализа Банк России принимает решения о сохранении или уточнении параметров ДКП.</w:t>
      </w:r>
    </w:p>
    <w:p>
      <w:pPr>
        <w:pStyle w:val="BodyText"/>
      </w:pPr>
      <w:r>
        <w:t xml:space="preserve">Цель Обзора ДКП – всесторонний анализ условий проведения ДКП и ее результатов в период таргетирования инфляции (ИТ, англ. Inflation Targeting), того, в какой мере эти результаты соответствуют установленной законом основной цели ДКП – защите и обеспечению устойчивости рубля посредством поддержания ценовой стабильности , в том числе для формирования условий сбалансированного и устойчивого экономического роста. Банк России сохраняет безоговорочную приверженность мандату по поддержанию ценовой стабильности, установленному законом, и режиму таргетирования инфляции.</w:t>
      </w:r>
    </w:p>
    <w:p>
      <w:pPr>
        <w:pStyle w:val="BodyText"/>
      </w:pPr>
      <w:r>
        <w:t xml:space="preserve">Банк России завершил первый Обзор ДКП в 2023 году ( Обзор ДКП – 2023 ). В 2026 году Банк России приступил к проведению очередного Обзора ДКП ( Обзор ДКП – 2028 ).</w:t>
      </w:r>
    </w:p>
    <w:p>
      <w:pPr>
        <w:pStyle w:val="BodyText"/>
      </w:pPr>
      <w:r>
        <w:t xml:space="preserve">Свое мнение по Обзору ДКП вы можете прислать на odkp@cbr.ru .</w:t>
      </w:r>
    </w:p>
    <w:p>
      <w:pPr>
        <w:pStyle w:val="BodyText"/>
      </w:pPr>
      <w:r>
        <w:t xml:space="preserve">Важные материалы</w:t>
      </w:r>
    </w:p>
    <w:p>
      <w:pPr>
        <w:pStyle w:val="BodyText"/>
      </w:pPr>
      <w:r>
        <w:t xml:space="preserve">Обзор денежно-кредитной политики Банка России – 2028: план аналитических работ и мероприятий</w:t>
      </w:r>
    </w:p>
    <w:p>
      <w:pPr>
        <w:pStyle w:val="BodyText"/>
      </w:pPr>
      <w:r>
        <w:t xml:space="preserve">Обзор денежно-кредитной политики Банка России – 2023: план аналитических работ и мероприятий</w:t>
      </w:r>
    </w:p>
    <w:p>
      <w:pPr>
        <w:pStyle w:val="BodyText"/>
      </w:pPr>
      <w:r>
        <w:t xml:space="preserve">Доклад для общественных консультаций «Обзор денежно-кредитной политики»</w:t>
      </w:r>
    </w:p>
    <w:p>
      <w:pPr>
        <w:pStyle w:val="BodyText"/>
      </w:pPr>
      <w:r>
        <w:t xml:space="preserve">Исследования и аналитические записки</w:t>
      </w:r>
    </w:p>
    <w:p>
      <w:pPr>
        <w:pStyle w:val="BodyText"/>
      </w:pPr>
      <w:r>
        <w:t xml:space="preserve">Обзор ДКП – 2023</w:t>
      </w:r>
    </w:p>
    <w:p>
      <w:pPr>
        <w:pStyle w:val="BodyText"/>
      </w:pPr>
      <w:r>
        <w:t xml:space="preserve">Итоги общественных консультаций в регионах по «Обзору денежно-кредитной политики»</w:t>
      </w:r>
    </w:p>
    <w:p>
      <w:pPr>
        <w:pStyle w:val="BodyText"/>
      </w:pPr>
      <w:r>
        <w:t xml:space="preserve">Ответственное структурное подразделение: Департамент денежно-кредитной политики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2026-09-27T11:00:25Z</dcterms:created>
  <dcterms:modified xsi:type="dcterms:W3CDTF">2026-09-27T11:00:25Z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