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операции-денежно-кредитной-политики"/>
    <w:p>
      <w:pPr>
        <w:pStyle w:val="Heading1"/>
      </w:pPr>
      <w:r>
        <w:t xml:space="preserve">Операции денежно-кредитной политики</w:t>
      </w:r>
    </w:p>
    <w:p>
      <w:pPr>
        <w:pStyle w:val="FirstParagraph"/>
      </w:pPr>
      <w:r>
        <w:t xml:space="preserve">Операции денежно-кредитной политики</w:t>
      </w:r>
    </w:p>
    <w:p>
      <w:pPr>
        <w:pStyle w:val="BodyText"/>
      </w:pPr>
      <w:r>
        <w:t xml:space="preserve">При проведении операций денежно-кредитной политики Банк России следует поставленной операционной цели.</w:t>
      </w:r>
    </w:p>
    <w:p>
      <w:pPr>
        <w:pStyle w:val="BodyText"/>
      </w:pPr>
      <w:r>
        <w:t xml:space="preserve">Для достижения основной цели денежно-кредитной политики — поддержания ценовой стабильности — Банк России устанавливает операционную цель — сближение ставок в сегменте овернайт денежного рынка с ключевой ставкой.</w:t>
      </w:r>
    </w:p>
    <w:p>
      <w:pPr>
        <w:pStyle w:val="BodyText"/>
      </w:pPr>
      <w:r>
        <w:t xml:space="preserve">Достижение операционной цели обеспечивается на базе выбранных общих подходов к управлению банковской ликвидностью и процентными ставками с помощью системы инструментов денежно-кредитной политики , которая включает обязательные резервы , внутридневной кредит, аукционы по абсорбированию / предоставлению ликвидности, механизм процентного коридора.</w:t>
      </w:r>
    </w:p>
    <w:p>
      <w:pPr>
        <w:pStyle w:val="BodyText"/>
      </w:pPr>
      <w:r>
        <w:t xml:space="preserve">При проведении аукционов по предоставлению или абсорбированию ликвидности с рассчитанным на основе прогноза лимитом Банк России стремится привести фактические остатки на корсчетах по банковскому сектору в целом в соответствие с потребностью в них, которая обусловлена необходимостью поддержания банками обязательных резервов.</w:t>
      </w:r>
    </w:p>
    <w:p>
      <w:pPr>
        <w:pStyle w:val="BodyText"/>
      </w:pPr>
      <w:r>
        <w:t xml:space="preserve">В этих условиях процентный коридор, границы которого определены ставками по однодневным «симметричным» инструментам постоянного действия, не только ограничивает размах колебаний ставок в сегменте овернайт денежного рынка, но и способствует сближению последних с ключевой ставкой.</w:t>
      </w:r>
    </w:p>
    <w:p>
      <w:pPr>
        <w:pStyle w:val="BodyText"/>
      </w:pPr>
      <w:r>
        <w:t xml:space="preserve">Важные материалы</w:t>
      </w:r>
    </w:p>
    <w:p>
      <w:pPr>
        <w:pStyle w:val="BodyText"/>
      </w:pPr>
      <w:r>
        <w:t xml:space="preserve">Итоги аукционов РЕПО в рублях и валютный своп по покупке долларов США и евро за рубли</w:t>
      </w:r>
    </w:p>
    <w:p>
      <w:pPr>
        <w:pStyle w:val="BodyText"/>
      </w:pPr>
      <w:r>
        <w:t xml:space="preserve">www.cbr.ru</w:t>
      </w:r>
    </w:p>
    <w:p>
      <w:pPr>
        <w:pStyle w:val="BodyText"/>
      </w:pPr>
      <w:r>
        <w:t xml:space="preserve">Итоги депозитных аукционов</w:t>
      </w:r>
    </w:p>
    <w:p>
      <w:pPr>
        <w:pStyle w:val="BodyText"/>
      </w:pPr>
      <w:r>
        <w:t xml:space="preserve">www.cbr.ru</w:t>
      </w:r>
    </w:p>
    <w:p>
      <w:pPr>
        <w:pStyle w:val="BodyText"/>
      </w:pPr>
      <w:r>
        <w:t xml:space="preserve">Итоги аукционов по размещению ОБР</w:t>
      </w:r>
    </w:p>
    <w:p>
      <w:pPr>
        <w:pStyle w:val="BodyText"/>
      </w:pPr>
      <w:r>
        <w:t xml:space="preserve">www.cbr.ru</w:t>
      </w:r>
    </w:p>
    <w:p>
      <w:pPr>
        <w:pStyle w:val="BodyText"/>
      </w:pPr>
      <w:r>
        <w:t xml:space="preserve">Информация о размещении и завершении размещения выпусков ОБР</w:t>
      </w:r>
    </w:p>
    <w:p>
      <w:pPr>
        <w:pStyle w:val="BodyText"/>
      </w:pPr>
      <w:r>
        <w:t xml:space="preserve">Операции денежно-кредитной политики</w:t>
      </w:r>
    </w:p>
    <w:p>
      <w:pPr>
        <w:pStyle w:val="BodyText"/>
      </w:pPr>
      <w:r>
        <w:t xml:space="preserve">Исполнение Банком России обязательств по ОБР</w:t>
      </w:r>
    </w:p>
    <w:p>
      <w:pPr>
        <w:pStyle w:val="BodyText"/>
      </w:pPr>
      <w:r>
        <w:t xml:space="preserve">www.cbr.ru</w:t>
      </w:r>
    </w:p>
    <w:p>
      <w:pPr>
        <w:pStyle w:val="BodyText"/>
      </w:pPr>
      <w:r>
        <w:t xml:space="preserve">Ответственное структурное подразделение: Департамент денежно-кредитной политики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2026-09-27T11:00:28Z</dcterms:created>
  <dcterms:modified xsi:type="dcterms:W3CDTF">2026-09-27T11:00:28Z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