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25d08e76f81170c305e8134694e2110ef28433"/>
    <w:p>
      <w:pPr>
        <w:pStyle w:val="Heading1"/>
      </w:pPr>
      <w:r>
        <w:t xml:space="preserve">Организация выпуска в обращение и распространение монет Банка России из драгоценных и недрагоценных металлов</w:t>
      </w:r>
    </w:p>
    <w:p>
      <w:pPr>
        <w:pStyle w:val="FirstParagraph"/>
      </w:pPr>
      <w:r>
        <w:t xml:space="preserve">Организация выпуска в обращение и распространение монет Банка России из драгоценных и недрагоценных металлов</w:t>
      </w:r>
    </w:p>
    <w:p>
      <w:pPr>
        <w:pStyle w:val="BodyText"/>
      </w:pPr>
      <w:r>
        <w:t xml:space="preserve">Основные принципы, правила планирования выпуска монет в обращение и</w:t>
      </w:r>
      <w:r>
        <w:t xml:space="preserve"> </w:t>
      </w:r>
      <w:r>
        <w:t xml:space="preserve">распространения определены в Основных направлениях</w:t>
      </w:r>
      <w:r>
        <w:t xml:space="preserve"> </w:t>
      </w:r>
      <w:r>
        <w:t xml:space="preserve">организации выпуска в обращение и распространения памятных и инвестиционных</w:t>
      </w:r>
      <w:r>
        <w:t xml:space="preserve"> </w:t>
      </w:r>
      <w:r>
        <w:t xml:space="preserve">монет Банка России из драгоценных металлов и памятных монет Банка России из</w:t>
      </w:r>
      <w:r>
        <w:t xml:space="preserve"> </w:t>
      </w:r>
      <w:r>
        <w:t xml:space="preserve">недрагоценных металлов .</w:t>
      </w:r>
    </w:p>
    <w:p>
      <w:pPr>
        <w:pStyle w:val="BodyText"/>
      </w:pPr>
      <w:r>
        <w:t xml:space="preserve">Решение о выпуске памятных и инвестиционных монет принимается Советом</w:t>
      </w:r>
      <w:r>
        <w:t xml:space="preserve"> </w:t>
      </w:r>
      <w:r>
        <w:t xml:space="preserve">директоров Банка России не позднее чем за 12 месяцев до наступления планируемого</w:t>
      </w:r>
      <w:r>
        <w:t xml:space="preserve"> </w:t>
      </w:r>
      <w:r>
        <w:t xml:space="preserve">года. В отдельных случаях возможен выпуск дополнительных памятных монет. Правила</w:t>
      </w:r>
      <w:r>
        <w:t xml:space="preserve"> </w:t>
      </w:r>
      <w:r>
        <w:t xml:space="preserve">рассмотрения предложений о выпуске в обращение таких монет содержатся в Основных</w:t>
      </w:r>
      <w:r>
        <w:t xml:space="preserve"> </w:t>
      </w:r>
      <w:r>
        <w:t xml:space="preserve">направлениях.</w:t>
      </w:r>
    </w:p>
    <w:p>
      <w:pPr>
        <w:pStyle w:val="BodyText"/>
      </w:pPr>
      <w:r>
        <w:t xml:space="preserve">Все виды памятных и инвестиционных монет Банка России из драгоценных металлов</w:t>
      </w:r>
      <w:r>
        <w:t xml:space="preserve"> </w:t>
      </w:r>
      <w:r>
        <w:t xml:space="preserve">и памятных монет Банка России из недрагоценных металлов в сувенирной упаковке</w:t>
      </w:r>
      <w:r>
        <w:t xml:space="preserve"> </w:t>
      </w:r>
      <w:r>
        <w:t xml:space="preserve">распространяются как на территории Российской Федерации, так и за ее пределами,</w:t>
      </w:r>
      <w:r>
        <w:t xml:space="preserve"> </w:t>
      </w:r>
      <w:r>
        <w:t xml:space="preserve">и передаются соответственно российским и иностранным распространителям.</w:t>
      </w:r>
    </w:p>
    <w:p>
      <w:pPr>
        <w:pStyle w:val="BodyText"/>
      </w:pPr>
      <w:r>
        <w:t xml:space="preserve">Все виды памятных монет из недрагоценных металлов распространяются только на</w:t>
      </w:r>
      <w:r>
        <w:t xml:space="preserve"> </w:t>
      </w:r>
      <w:r>
        <w:t xml:space="preserve">территории Российской Федерации.</w:t>
      </w:r>
    </w:p>
    <w:p>
      <w:pPr>
        <w:pStyle w:val="BodyText"/>
      </w:pPr>
      <w:r>
        <w:t xml:space="preserve">Выдающиеся личности</w:t>
      </w:r>
    </w:p>
    <w:p>
      <w:pPr>
        <w:pStyle w:val="BodyText"/>
      </w:pPr>
      <w:r>
        <w:t xml:space="preserve">2 рубля (серебро)</w:t>
      </w:r>
    </w:p>
    <w:p>
      <w:pPr>
        <w:pStyle w:val="BodyText"/>
      </w:pPr>
      <w:r>
        <w:t xml:space="preserve">От 100 лет 1 и далее кратные 50</w:t>
      </w:r>
    </w:p>
    <w:p>
      <w:pPr>
        <w:pStyle w:val="BodyText"/>
      </w:pPr>
      <w:r>
        <w:t xml:space="preserve">Исторические события 2</w:t>
      </w:r>
    </w:p>
    <w:p>
      <w:pPr>
        <w:pStyle w:val="BodyText"/>
      </w:pPr>
      <w:r>
        <w:t xml:space="preserve">3, 25, 100 рублей (серебро); 50, 100, 10 000, 25 000, 50 000 рублей (золото)</w:t>
      </w:r>
    </w:p>
    <w:p>
      <w:pPr>
        <w:pStyle w:val="BodyText"/>
      </w:pPr>
      <w:r>
        <w:t xml:space="preserve">50, 75, 100 лет и далее кратные 50</w:t>
      </w:r>
    </w:p>
    <w:p>
      <w:pPr>
        <w:pStyle w:val="BodyText"/>
      </w:pPr>
      <w:r>
        <w:t xml:space="preserve">Победа советского народа в Великой Отечественной войне 1941–1945 гг. (включая юбилейные даты)</w:t>
      </w:r>
    </w:p>
    <w:p>
      <w:pPr>
        <w:pStyle w:val="BodyText"/>
      </w:pPr>
      <w:r>
        <w:t xml:space="preserve">3, 25, 100 рублей (серебро); 50, 10 000 рублей (золото)</w:t>
      </w:r>
    </w:p>
    <w:p>
      <w:pPr>
        <w:pStyle w:val="BodyText"/>
      </w:pPr>
      <w:r>
        <w:t xml:space="preserve">50 рублей (комбинированная, сталь)</w:t>
      </w:r>
    </w:p>
    <w:p>
      <w:pPr>
        <w:pStyle w:val="BodyText"/>
      </w:pPr>
      <w:r>
        <w:t xml:space="preserve">В год проведения празднования и кратные 5</w:t>
      </w:r>
    </w:p>
    <w:p>
      <w:pPr>
        <w:pStyle w:val="BodyText"/>
      </w:pPr>
      <w:r>
        <w:t xml:space="preserve">Города</w:t>
      </w:r>
    </w:p>
    <w:p>
      <w:pPr>
        <w:pStyle w:val="BodyText"/>
      </w:pPr>
      <w:r>
        <w:t xml:space="preserve">3, 25 рублей (серебро); 50, 100 рублей (золото)</w:t>
      </w:r>
    </w:p>
    <w:p>
      <w:pPr>
        <w:pStyle w:val="BodyText"/>
      </w:pPr>
      <w:r>
        <w:t xml:space="preserve">50, 75, 100 лет и далее кратные 50</w:t>
      </w:r>
    </w:p>
    <w:p>
      <w:pPr>
        <w:pStyle w:val="BodyText"/>
      </w:pPr>
      <w:r>
        <w:t xml:space="preserve">Органы государственной власти</w:t>
      </w:r>
    </w:p>
    <w:p>
      <w:pPr>
        <w:pStyle w:val="BodyText"/>
      </w:pPr>
      <w:r>
        <w:t xml:space="preserve">1, 3 рубля (серебро)</w:t>
      </w:r>
    </w:p>
    <w:p>
      <w:pPr>
        <w:pStyle w:val="BodyText"/>
      </w:pPr>
      <w:r>
        <w:t xml:space="preserve">10, 25 лет и далее кратные 25</w:t>
      </w:r>
    </w:p>
    <w:p>
      <w:pPr>
        <w:pStyle w:val="BodyText"/>
      </w:pPr>
      <w:r>
        <w:t xml:space="preserve">Организации с участием государства или муниципального образования</w:t>
      </w:r>
    </w:p>
    <w:p>
      <w:pPr>
        <w:pStyle w:val="BodyText"/>
      </w:pPr>
      <w:r>
        <w:t xml:space="preserve">События международного значения (включая спортивные)</w:t>
      </w:r>
    </w:p>
    <w:p>
      <w:pPr>
        <w:pStyle w:val="BodyText"/>
      </w:pPr>
      <w:r>
        <w:t xml:space="preserve">3, 25 рублей (серебро); 50, 100 рублей (золото)</w:t>
      </w:r>
    </w:p>
    <w:p>
      <w:pPr>
        <w:pStyle w:val="BodyText"/>
      </w:pPr>
      <w:r>
        <w:t xml:space="preserve">25 рублей (медно-никелевый сплав в сувенирной упаковке)</w:t>
      </w:r>
    </w:p>
    <w:p>
      <w:pPr>
        <w:pStyle w:val="BodyText"/>
      </w:pPr>
      <w:r>
        <w:t xml:space="preserve">В год проведения, 5, 10, 25 лет и далее кратные 25</w:t>
      </w:r>
    </w:p>
    <w:p>
      <w:pPr>
        <w:pStyle w:val="BodyText"/>
      </w:pPr>
      <w:r>
        <w:t xml:space="preserve">История Банка России</w:t>
      </w:r>
    </w:p>
    <w:p>
      <w:pPr>
        <w:pStyle w:val="BodyText"/>
      </w:pPr>
      <w:r>
        <w:t xml:space="preserve">3, 25 рублей (серебро); 50, 100 рублей (золото)</w:t>
      </w:r>
    </w:p>
    <w:p>
      <w:pPr>
        <w:pStyle w:val="BodyText"/>
      </w:pPr>
      <w:r>
        <w:t xml:space="preserve">50 рублей (комбинированная, сталь)</w:t>
      </w:r>
    </w:p>
    <w:p>
      <w:pPr>
        <w:pStyle w:val="BodyText"/>
      </w:pPr>
      <w:r>
        <w:t xml:space="preserve">Юбилейные даты, кратные 10</w:t>
      </w:r>
    </w:p>
    <w:p>
      <w:pPr>
        <w:pStyle w:val="BodyText"/>
      </w:pPr>
      <w:r>
        <w:t xml:space="preserve">События на финансовом рынке</w:t>
      </w:r>
    </w:p>
    <w:p>
      <w:pPr>
        <w:pStyle w:val="BodyText"/>
      </w:pPr>
      <w:r>
        <w:t xml:space="preserve">3, 25 рублей (серебро); 50, 100 рублей (золото)</w:t>
      </w:r>
    </w:p>
    <w:p>
      <w:pPr>
        <w:pStyle w:val="BodyText"/>
      </w:pPr>
      <w:r>
        <w:t xml:space="preserve">25 рублей (медно-никелевый сплав в сувенирной упаковке)</w:t>
      </w:r>
    </w:p>
    <w:p>
      <w:pPr>
        <w:pStyle w:val="BodyText"/>
      </w:pPr>
      <w:r>
        <w:t xml:space="preserve">В год проведения, 5, 10, 25 лет и далее кратные 25</w:t>
      </w:r>
    </w:p>
    <w:p>
      <w:pPr>
        <w:pStyle w:val="BodyText"/>
      </w:pPr>
      <w:r>
        <w:t xml:space="preserve">1 При предоставлении Банку России прав на использование изображения и имени лица, которому посвящена памятная монета. 2 Решение о выпуске памятных монет номиналом 10 000, 25 000 и 50 000 рублей (золото) принимается с учетом статуса и значимости события, которому посвящен выпуск монеты, в части соответствия целевым приоритетам, установленным пунктом 2.4 Основных направлений.</w:t>
      </w:r>
    </w:p>
    <w:p>
      <w:pPr>
        <w:pStyle w:val="BodyText"/>
      </w:pPr>
      <w:r>
        <w:t xml:space="preserve">Выдающиеся личности России 2</w:t>
      </w:r>
    </w:p>
    <w:p>
      <w:pPr>
        <w:pStyle w:val="BodyText"/>
      </w:pPr>
      <w:r>
        <w:t xml:space="preserve">2 рубля (серебро)</w:t>
      </w:r>
    </w:p>
    <w:p>
      <w:pPr>
        <w:pStyle w:val="BodyText"/>
      </w:pPr>
      <w:r>
        <w:t xml:space="preserve">Ежегодно (при наличии юбилейных дат)</w:t>
      </w:r>
    </w:p>
    <w:p>
      <w:pPr>
        <w:pStyle w:val="BodyText"/>
      </w:pPr>
      <w:r>
        <w:t xml:space="preserve">Исторические события</w:t>
      </w:r>
    </w:p>
    <w:p>
      <w:pPr>
        <w:pStyle w:val="BodyText"/>
      </w:pPr>
      <w:r>
        <w:t xml:space="preserve">3, 25, 100 рублей (серебро); 50, 100, 10 000, 25 000, 50 000 рублей (золото)</w:t>
      </w:r>
    </w:p>
    <w:p>
      <w:pPr>
        <w:pStyle w:val="BodyText"/>
      </w:pPr>
      <w:r>
        <w:t xml:space="preserve">Ежегодно (при наличии юбилейных дат)</w:t>
      </w:r>
    </w:p>
    <w:p>
      <w:pPr>
        <w:pStyle w:val="BodyText"/>
      </w:pPr>
      <w:r>
        <w:t xml:space="preserve">Города 3</w:t>
      </w:r>
    </w:p>
    <w:p>
      <w:pPr>
        <w:pStyle w:val="BodyText"/>
      </w:pPr>
      <w:r>
        <w:t xml:space="preserve">3, 25 рублей (серебро); 50, 100 рублей (золото)</w:t>
      </w:r>
    </w:p>
    <w:p>
      <w:pPr>
        <w:pStyle w:val="BodyText"/>
      </w:pPr>
      <w:r>
        <w:t xml:space="preserve">Ежегодно (при наличии юбилейных дат)</w:t>
      </w:r>
    </w:p>
    <w:p>
      <w:pPr>
        <w:pStyle w:val="BodyText"/>
      </w:pPr>
      <w:r>
        <w:t xml:space="preserve">Красная книга</w:t>
      </w:r>
    </w:p>
    <w:p>
      <w:pPr>
        <w:pStyle w:val="BodyText"/>
      </w:pPr>
      <w:r>
        <w:t xml:space="preserve">2 рубля (серебро)</w:t>
      </w:r>
    </w:p>
    <w:p>
      <w:pPr>
        <w:pStyle w:val="BodyText"/>
      </w:pPr>
      <w:r>
        <w:t xml:space="preserve">Один раз в два года (за исключением годов выпуска монет серии «Сохраним наш мир»)</w:t>
      </w:r>
    </w:p>
    <w:p>
      <w:pPr>
        <w:pStyle w:val="BodyText"/>
      </w:pPr>
      <w:r>
        <w:t xml:space="preserve">Вооруженные Силы Российской Федерации</w:t>
      </w:r>
    </w:p>
    <w:p>
      <w:pPr>
        <w:pStyle w:val="BodyText"/>
      </w:pPr>
      <w:r>
        <w:t xml:space="preserve">1, 3 рубля (серебро)</w:t>
      </w:r>
    </w:p>
    <w:p>
      <w:pPr>
        <w:pStyle w:val="BodyText"/>
      </w:pPr>
      <w:r>
        <w:t xml:space="preserve">Один раз в два года</w:t>
      </w:r>
    </w:p>
    <w:p>
      <w:pPr>
        <w:pStyle w:val="BodyText"/>
      </w:pPr>
      <w:r>
        <w:t xml:space="preserve">Российская (советская) мультипликация</w:t>
      </w:r>
    </w:p>
    <w:p>
      <w:pPr>
        <w:pStyle w:val="BodyText"/>
      </w:pPr>
      <w:r>
        <w:t xml:space="preserve">3 рубля (серебро); 25 рублей (сталь); 25 рублей (медно-никелевый сплав в сувенирной упаковке)</w:t>
      </w:r>
    </w:p>
    <w:p>
      <w:pPr>
        <w:pStyle w:val="BodyText"/>
      </w:pPr>
      <w:r>
        <w:t xml:space="preserve">Ежегодно (при предоставлении Банку России прав на использование объектов интеллектуальной собственности)</w:t>
      </w:r>
    </w:p>
    <w:p>
      <w:pPr>
        <w:pStyle w:val="BodyText"/>
      </w:pPr>
      <w:r>
        <w:t xml:space="preserve">Легенды и сказки народов России</w:t>
      </w:r>
    </w:p>
    <w:p>
      <w:pPr>
        <w:pStyle w:val="BodyText"/>
      </w:pPr>
      <w:r>
        <w:t xml:space="preserve">3 рубля (серебро)</w:t>
      </w:r>
    </w:p>
    <w:p>
      <w:pPr>
        <w:pStyle w:val="BodyText"/>
      </w:pPr>
      <w:r>
        <w:t xml:space="preserve">Один раз в два года</w:t>
      </w:r>
    </w:p>
    <w:p>
      <w:pPr>
        <w:pStyle w:val="BodyText"/>
      </w:pPr>
      <w:r>
        <w:t xml:space="preserve">Памятники архитектуры России</w:t>
      </w:r>
    </w:p>
    <w:p>
      <w:pPr>
        <w:pStyle w:val="BodyText"/>
      </w:pPr>
      <w:r>
        <w:t xml:space="preserve">3, 25 рублей (серебро)</w:t>
      </w:r>
    </w:p>
    <w:p>
      <w:pPr>
        <w:pStyle w:val="BodyText"/>
      </w:pPr>
      <w:r>
        <w:t xml:space="preserve">Ежегодно</w:t>
      </w:r>
    </w:p>
    <w:p>
      <w:pPr>
        <w:pStyle w:val="BodyText"/>
      </w:pPr>
      <w:r>
        <w:t xml:space="preserve">Ювелирное искусство в России</w:t>
      </w:r>
    </w:p>
    <w:p>
      <w:pPr>
        <w:pStyle w:val="BodyText"/>
      </w:pPr>
      <w:r>
        <w:t xml:space="preserve">3, 25 рублей, в том числе с цветным покрытием (серебро)</w:t>
      </w:r>
    </w:p>
    <w:p>
      <w:pPr>
        <w:pStyle w:val="BodyText"/>
      </w:pPr>
      <w:r>
        <w:t xml:space="preserve">Один раз в три года</w:t>
      </w:r>
    </w:p>
    <w:p>
      <w:pPr>
        <w:pStyle w:val="BodyText"/>
      </w:pPr>
      <w:r>
        <w:t xml:space="preserve">Сокровищница мировой культуры</w:t>
      </w:r>
    </w:p>
    <w:p>
      <w:pPr>
        <w:pStyle w:val="BodyText"/>
      </w:pPr>
      <w:r>
        <w:t xml:space="preserve">3, 25 рублей (серебро)</w:t>
      </w:r>
    </w:p>
    <w:p>
      <w:pPr>
        <w:pStyle w:val="BodyText"/>
      </w:pPr>
      <w:r>
        <w:t xml:space="preserve">Один раз в три года (при наличии рекомендаций Минкультуры России)</w:t>
      </w:r>
    </w:p>
    <w:p>
      <w:pPr>
        <w:pStyle w:val="BodyText"/>
      </w:pPr>
      <w:r>
        <w:t xml:space="preserve">Юбилей Победы советского народа в Великой Отечественной войне 1941 — 1945 гг.</w:t>
      </w:r>
    </w:p>
    <w:p>
      <w:pPr>
        <w:pStyle w:val="BodyText"/>
      </w:pPr>
      <w:r>
        <w:t xml:space="preserve">3, 25, 100 рублей (серебро); 50, 10 000 рублей (золото); 50 рублей (комбинированная, сталь)</w:t>
      </w:r>
    </w:p>
    <w:p>
      <w:pPr>
        <w:pStyle w:val="BodyText"/>
      </w:pPr>
      <w:r>
        <w:t xml:space="preserve">Один раз в пять лет к юбилеям Победы</w:t>
      </w:r>
    </w:p>
    <w:p>
      <w:pPr>
        <w:pStyle w:val="BodyText"/>
      </w:pPr>
      <w:r>
        <w:t xml:space="preserve">Победа советского народа в Великой Отечественной войне 1941 — 1945 гг.</w:t>
      </w:r>
    </w:p>
    <w:p>
      <w:pPr>
        <w:pStyle w:val="BodyText"/>
      </w:pPr>
      <w:r>
        <w:t xml:space="preserve">3 рубля (серебро); 50 рублей (комбинированная, сталь)</w:t>
      </w:r>
    </w:p>
    <w:p>
      <w:pPr>
        <w:pStyle w:val="BodyText"/>
      </w:pPr>
      <w:r>
        <w:t xml:space="preserve">Ежегодно, за исключением юбилейных годов</w:t>
      </w:r>
    </w:p>
    <w:p>
      <w:pPr>
        <w:pStyle w:val="BodyText"/>
      </w:pPr>
      <w:r>
        <w:t xml:space="preserve">Сохраним наш мир</w:t>
      </w:r>
    </w:p>
    <w:p>
      <w:pPr>
        <w:pStyle w:val="BodyText"/>
      </w:pPr>
      <w:r>
        <w:t xml:space="preserve">3, 25, 100 рублей (серебро); 50, 100, 10 000 рублей (золото)</w:t>
      </w:r>
    </w:p>
    <w:p>
      <w:pPr>
        <w:pStyle w:val="BodyText"/>
      </w:pPr>
      <w:r>
        <w:t xml:space="preserve">Один раз в три года</w:t>
      </w:r>
    </w:p>
    <w:p>
      <w:pPr>
        <w:pStyle w:val="BodyText"/>
      </w:pPr>
      <w:r>
        <w:t xml:space="preserve">Россия во всемирном культурном и природном наследии ЮНЕСКО</w:t>
      </w:r>
    </w:p>
    <w:p>
      <w:pPr>
        <w:pStyle w:val="BodyText"/>
      </w:pPr>
      <w:r>
        <w:t xml:space="preserve">3, 25, 200 рублей (серебро); 50, 100, 10 000 рублей (золото)</w:t>
      </w:r>
    </w:p>
    <w:p>
      <w:pPr>
        <w:pStyle w:val="BodyText"/>
      </w:pPr>
      <w:r>
        <w:t xml:space="preserve">Один раз в пять лет (при предоставлении Банку России прав на использование объектов интеллектуальной собственности)</w:t>
      </w:r>
    </w:p>
    <w:p>
      <w:pPr>
        <w:pStyle w:val="BodyText"/>
      </w:pPr>
      <w:r>
        <w:t xml:space="preserve">Космос</w:t>
      </w:r>
    </w:p>
    <w:p>
      <w:pPr>
        <w:pStyle w:val="BodyText"/>
      </w:pPr>
      <w:r>
        <w:t xml:space="preserve">3, 25 рублей (серебро); 50 рублей (золото)</w:t>
      </w:r>
    </w:p>
    <w:p>
      <w:pPr>
        <w:pStyle w:val="BodyText"/>
      </w:pPr>
      <w:r>
        <w:t xml:space="preserve">Один раз в два года (при наличии рекомендаций Госкорпорации «Роскосмос»)</w:t>
      </w:r>
    </w:p>
    <w:p>
      <w:pPr>
        <w:pStyle w:val="BodyText"/>
      </w:pPr>
      <w:r>
        <w:t xml:space="preserve">Изобретения России</w:t>
      </w:r>
    </w:p>
    <w:p>
      <w:pPr>
        <w:pStyle w:val="BodyText"/>
      </w:pPr>
      <w:r>
        <w:t xml:space="preserve">3 рубля (серебро)</w:t>
      </w:r>
    </w:p>
    <w:p>
      <w:pPr>
        <w:pStyle w:val="BodyText"/>
      </w:pPr>
      <w:r>
        <w:t xml:space="preserve">Один раз в два года</w:t>
      </w:r>
    </w:p>
    <w:p>
      <w:pPr>
        <w:pStyle w:val="BodyText"/>
      </w:pPr>
      <w:r>
        <w:t xml:space="preserve">Атомный ледокольный флот России</w:t>
      </w:r>
    </w:p>
    <w:p>
      <w:pPr>
        <w:pStyle w:val="BodyText"/>
      </w:pPr>
      <w:r>
        <w:t xml:space="preserve">3 рубля (серебро); 200 рублей (золото)</w:t>
      </w:r>
    </w:p>
    <w:p>
      <w:pPr>
        <w:pStyle w:val="BodyText"/>
      </w:pPr>
      <w:r>
        <w:t xml:space="preserve">Один раз в два года (при наличии рекомендаций Госкорпорации «Росатом»)</w:t>
      </w:r>
    </w:p>
    <w:p>
      <w:pPr>
        <w:pStyle w:val="BodyText"/>
      </w:pPr>
      <w:r>
        <w:t xml:space="preserve">Российская Федерация</w:t>
      </w:r>
    </w:p>
    <w:p>
      <w:pPr>
        <w:pStyle w:val="BodyText"/>
      </w:pPr>
      <w:r>
        <w:t xml:space="preserve">10 рублей (комбинированная, сталь)</w:t>
      </w:r>
    </w:p>
    <w:p>
      <w:pPr>
        <w:pStyle w:val="BodyText"/>
      </w:pPr>
      <w:r>
        <w:t xml:space="preserve">Ежегодно (при наличии герба субъекта Российской Федерации в государственном геральдическом регистре Российской Федерации)</w:t>
      </w:r>
    </w:p>
    <w:p>
      <w:pPr>
        <w:pStyle w:val="BodyText"/>
      </w:pPr>
      <w:r>
        <w:t xml:space="preserve">Человек труда</w:t>
      </w:r>
    </w:p>
    <w:p>
      <w:pPr>
        <w:pStyle w:val="BodyText"/>
      </w:pPr>
      <w:r>
        <w:t xml:space="preserve">10 рублей (сталь)</w:t>
      </w:r>
    </w:p>
    <w:p>
      <w:pPr>
        <w:pStyle w:val="BodyText"/>
      </w:pPr>
      <w:r>
        <w:t xml:space="preserve">Ежегодно</w:t>
      </w:r>
    </w:p>
    <w:p>
      <w:pPr>
        <w:pStyle w:val="BodyText"/>
      </w:pPr>
      <w:r>
        <w:t xml:space="preserve">Герои Великой Отечественной войны 1941 — 1945 гг.</w:t>
      </w:r>
    </w:p>
    <w:p>
      <w:pPr>
        <w:pStyle w:val="BodyText"/>
      </w:pPr>
      <w:r>
        <w:t xml:space="preserve">2, 3 рубля (серебро)</w:t>
      </w:r>
    </w:p>
    <w:p>
      <w:pPr>
        <w:pStyle w:val="BodyText"/>
      </w:pPr>
      <w:r>
        <w:t xml:space="preserve">Ежегодно (при наличии рекомендаций РОК «Победа»)</w:t>
      </w:r>
    </w:p>
    <w:p>
      <w:pPr>
        <w:pStyle w:val="BodyText"/>
      </w:pPr>
      <w:r>
        <w:t xml:space="preserve">Города трудовой доблести</w:t>
      </w:r>
    </w:p>
    <w:p>
      <w:pPr>
        <w:pStyle w:val="BodyText"/>
      </w:pPr>
      <w:r>
        <w:t xml:space="preserve">10 рублей (сталь)</w:t>
      </w:r>
    </w:p>
    <w:p>
      <w:pPr>
        <w:pStyle w:val="BodyText"/>
      </w:pPr>
      <w:r>
        <w:t xml:space="preserve">Ежегодно (в соответствии с перечнем городов — обладателей почетного звания)</w:t>
      </w:r>
    </w:p>
    <w:p>
      <w:pPr>
        <w:pStyle w:val="BodyText"/>
      </w:pPr>
      <w:r>
        <w:t xml:space="preserve">Российский спорт</w:t>
      </w:r>
    </w:p>
    <w:p>
      <w:pPr>
        <w:pStyle w:val="BodyText"/>
      </w:pPr>
      <w:r>
        <w:t xml:space="preserve">1, 3 рубля (серебро); 25 рублей (медно-никелевый сплав в сувенирной упаковке)</w:t>
      </w:r>
    </w:p>
    <w:p>
      <w:pPr>
        <w:pStyle w:val="BodyText"/>
      </w:pPr>
      <w:r>
        <w:t xml:space="preserve">Ежегодно (при наличии рекомендаций Минспорта России и соответствии дополнительным критериям) 4</w:t>
      </w:r>
    </w:p>
    <w:p>
      <w:pPr>
        <w:pStyle w:val="BodyText"/>
      </w:pPr>
      <w:r>
        <w:t xml:space="preserve">Российская юриспруденция</w:t>
      </w:r>
    </w:p>
    <w:p>
      <w:pPr>
        <w:pStyle w:val="BodyText"/>
      </w:pPr>
      <w:r>
        <w:t xml:space="preserve">2 рубля (серебро)</w:t>
      </w:r>
    </w:p>
    <w:p>
      <w:pPr>
        <w:pStyle w:val="BodyText"/>
      </w:pPr>
      <w:r>
        <w:t xml:space="preserve">Ежегодно (при наличии рекомендаций Минюста России)</w:t>
      </w:r>
    </w:p>
    <w:p>
      <w:pPr>
        <w:pStyle w:val="BodyText"/>
      </w:pPr>
      <w:r>
        <w:t xml:space="preserve">1 Серия памятных монет — это совокупность памятных монет, посвященных одной тематике и выпускаемых в обращение на протяжении двух и более лет. В серии памятных монет Банка России включаются одна и более монет, указанных в таблице номиналов (металла) в течение календарного года. 2 При планировании выпуска памятных монет, посвященных выдающимся личностям в сериях «Российская юриспруденция», «Российский спорт» или вне серий, не планируются выпуски монет, посвященных этим же выдающимся личностям в серии «Выдающиеся личности России». 3 Включая древние города (не менее 500 лет с даты официального основания города). 4 Возраст спортивного клуба (100 и более лет), наличие у клуба высокого спортивного результата, принадлежность к массовым видам спорта, выступление клуба в ведущих всероссийских спортивных соревнованиях.</w:t>
      </w:r>
    </w:p>
    <w:p>
      <w:pPr>
        <w:pStyle w:val="BodyText"/>
      </w:pPr>
      <w:r>
        <w:t xml:space="preserve">Ответственное структурное подразделение: Департамент наличного денежного обращения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2026-09-27T11:00:24Z</dcterms:created>
  <dcterms:modified xsi:type="dcterms:W3CDTF">2026-09-27T11:00:24Z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