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авовой-статус-и-функции"/>
    <w:p>
      <w:pPr>
        <w:pStyle w:val="Heading1"/>
      </w:pPr>
      <w:r>
        <w:t xml:space="preserve">Правовой статус и функции</w:t>
      </w:r>
    </w:p>
    <w:p>
      <w:pPr>
        <w:pStyle w:val="FirstParagraph"/>
      </w:pPr>
      <w:r>
        <w:t xml:space="preserve">Правовой статус и функции</w:t>
      </w:r>
    </w:p>
    <w:p>
      <w:pPr>
        <w:pStyle w:val="BodyText"/>
      </w:pPr>
      <w:r>
        <w:t xml:space="preserve">Статьей 75 Конституции Российской Федерации установлен особый конституционно—правовой статус Центрального банка Российской Федерации, определено его исключительное право на осуществление денежной эмиссии (часть 1) и в качестве основной функции — защита и обеспечение устойчивости рубля (часть 2). Статус, цели деятельности, функции и полномочия Банка России определяются также Федеральным законом 10 июля 2002 года № 86—ФЗ «О Центральном банке Российской Федерации (Банке России)» и другими федеральными законами.</w:t>
      </w:r>
    </w:p>
    <w:p>
      <w:pPr>
        <w:pStyle w:val="BodyText"/>
      </w:pPr>
      <w:r>
        <w:t xml:space="preserve">В соответствии со статьей 3 Федерального закона «О Центральном банке Российской Федерации (Банке России)» целями деятельности Банка России являются: защита и обеспечение устойчивости рубля; развитие и укрепление банковской системы Российской Федерации; обеспечение стабильности и развитие национальной платежной системы; развитие финансового рынка Российской Федерации; обеспечение стабильности финансового рынка Российской Федерации.</w:t>
      </w:r>
    </w:p>
    <w:p>
      <w:pPr>
        <w:pStyle w:val="BodyText"/>
      </w:pPr>
      <w:r>
        <w:t xml:space="preserve">Ключевым элементом правового статуса Банка России является принцип независимости, который проявляется прежде всего в том, что Банк России выступает как особый публично—правовой институт, обладающий исключительным правом денежной эмиссии и организации денежного обращения. Он не является органом государственной власти, вместе с тем его полномочия по своей правовой природе относятся к функциям государственной власти, поскольку их реализация предполагает применение мер государственного принуждения. Функции и полномочия, предусмотренные Конституцией Российской Федерации и Федеральным законом «О Центральном банке Российской Федерации (Банке России)», Банк России осуществляет независимо от федеральных органов государственной власти, органов государственной власти субъектов Российской Федерации и органов местного самоуправления. Независимость статуса Банка России отражена в статье 75 Конституции Российской Федерации, а также в статьях 1 и 2 Федерального закона «О Центральном банке Российской Федерации (Банке России)».</w:t>
      </w:r>
    </w:p>
    <w:p>
      <w:pPr>
        <w:pStyle w:val="BodyText"/>
      </w:pPr>
      <w:r>
        <w:t xml:space="preserve">Нормотворческие полномочия Банка России предполагают его исключительное право по изданию нормативных актов, обязательных для федеральных органов государственной власти, органов государственной власти субъектов Российской Федерации и органов местного самоуправления, всех юридических и физических лиц, по вопросам, отнесенным к его компетенции Федеральным законом «О Центральном банке Российской Федерации (Банке России)» и другими федеральными законами. Банк России в соответствии со статьей 104 Конституции Российской Федерации не обладает правом законодательной инициативы, однако его участие в законодательном процессе, помимо издания собственных правовых актов, обеспечивается также и тем, что проекты федеральных законов, а также нормативных правовых актов федеральных органов исполнительной власти, касающиеся выполнения Банком России своих функций, должны направляться на заключение в Банк России.</w:t>
      </w:r>
    </w:p>
    <w:p>
      <w:pPr>
        <w:pStyle w:val="BodyText"/>
      </w:pPr>
      <w:r>
        <w:t xml:space="preserve">Банк России является юридическим лицом. Уставный капитал и иное имущество Банка России являются федеральной собственностью, при этом Банк России наделен имущественной и финансовой самостоятельностью. Полномочия по владению, пользованию и распоряжению имуществом Банка России, включая золотовалютные резервы Банка России, осуществляются самим Банком России в соответствии с целями и в порядке, которые установлены Федеральным законом «О Центральном банке Российской Федерации (Банке России)». Изъятие и обременение обязательствами имущества Банка России без его согласия не допускаются, если иное не предусмотрено федеральным законом. Финансовая независимость Банка России выражается в том, что он осуществляет свои расходы за счет собственных доходов. Банк России вправе защищать интересы в судебном порядке, в том числе в международных судах, судах иностранных государств и третейских судах.</w:t>
      </w:r>
    </w:p>
    <w:p>
      <w:pPr>
        <w:pStyle w:val="BodyText"/>
      </w:pPr>
      <w:r>
        <w:t xml:space="preserve">Государство не отвечает по обязательствам Банка России, так же, как и Банк России — по обязательствам государства, если они не приняли на себя такие обязательства или если иное не предусмотрено федеральными законами. Банк России не отвечает по обязательствам кредитных организаций и некредитных финансовых организаций, за исключением случаев, когда Банк России принимает на себя такие обязательства, а кредитные организации и некредитные финансовые организации не отвечают по обязательствам Банка России, за исключением случаев, когда кредитные организации и некредитные финансовые организации принимают на себя такие обязательства.</w:t>
      </w:r>
    </w:p>
    <w:p>
      <w:pPr>
        <w:pStyle w:val="BodyText"/>
      </w:pPr>
      <w:r>
        <w:t xml:space="preserve">В своей деятельности Банк России подотчетен Государственной Думе Федерального Собрания Российской Федерации (далее — Государственная Дума), которая назначает на должность и освобождает от должности Председателя Банка России (по представлению Президента Российской Федерации) и членов Совета директоров Банка России (по представлению Председателя Банка России, согласованному с Президентом Российской Федерации); направляет и отзывает представителей Государственной Думы в Национальном финансовом совете в рамках своей квоты, а также рассматривает основные направления единой государственной денежно—кредитной политики и годовой отчет Банка России и принимает по ним решения. На основании предложения Национального финансового совета Государственная Дума вправе принять решение о проверке Счетной палатой Российской Федерации финансово—хозяйственной деятельности Банка России, его структурных подразделений и учреждений. Кроме того, Государственная Дума проводит парламентские слушания о деятельности Банка России с участием его представителей, а также заслушивает доклады Председателя Банка России о деятельности Банка России при представлении годового отчета и основных направлений единой государственной денежно—кредитной политики.</w:t>
      </w:r>
    </w:p>
    <w:p>
      <w:pPr>
        <w:pStyle w:val="BodyText"/>
      </w:pPr>
      <w:r>
        <w:t xml:space="preserve">Функции Банка России</w:t>
      </w:r>
    </w:p>
    <w:p>
      <w:pPr>
        <w:pStyle w:val="BodyText"/>
      </w:pPr>
      <w:r>
        <w:t xml:space="preserve">Банк России осуществляет свои функции в соответствии с Конституцией Российской Федерации, Федеральным законом «О Центральном банке Российской Федерации (Банке России)» и иными федеральными законами. Согласно статье 75 Конституции Российской Федерации, основной функцией Банка России является защита и обеспечение устойчивости рубля, а денежная эмиссия осуществляется исключительно Банком России. В соответствии со статьей 4 Федерального закона «О Центральном банке Российской Федерации (Банке России)», Банк России выполняет следующие функции:</w:t>
      </w:r>
    </w:p>
    <w:p>
      <w:pPr>
        <w:pStyle w:val="BodyText"/>
      </w:pPr>
      <w:r>
        <w:t xml:space="preserve">во взаимодействии с Правительством Российской Федерации разрабатывает и проводит единую государственную денежно-кредитную политику;</w:t>
      </w:r>
    </w:p>
    <w:p>
      <w:pPr>
        <w:pStyle w:val="BodyText"/>
      </w:pPr>
      <w:r>
        <w:t xml:space="preserve">во взаимодействии с Правительством Российской Федерации разрабатывает и проводит политику развития и обеспечения стабильности функционирования финансового рынка Российской Федерации;</w:t>
      </w:r>
    </w:p>
    <w:p>
      <w:pPr>
        <w:pStyle w:val="BodyText"/>
      </w:pPr>
      <w:r>
        <w:t xml:space="preserve">монопольно осуществляет эмиссию наличных денег и организует наличное денежное обращение;</w:t>
      </w:r>
    </w:p>
    <w:p>
      <w:pPr>
        <w:pStyle w:val="BodyText"/>
      </w:pPr>
      <w:r>
        <w:t xml:space="preserve">утверждает графическое обозначение рубля в виде знака;</w:t>
      </w:r>
    </w:p>
    <w:p>
      <w:pPr>
        <w:pStyle w:val="BodyText"/>
      </w:pPr>
      <w:r>
        <w:t xml:space="preserve">является кредитором последней инстанции для кредитных организаций, иностранных банков, осуществляющих деятельность на территории Российской Федерации через свои филиалы, организует систему их рефинансирования;</w:t>
      </w:r>
    </w:p>
    <w:p>
      <w:pPr>
        <w:pStyle w:val="BodyText"/>
      </w:pPr>
      <w:r>
        <w:t xml:space="preserve">устанавливает правила осуществления расчетов в Российской Федерации;</w:t>
      </w:r>
    </w:p>
    <w:p>
      <w:pPr>
        <w:pStyle w:val="BodyText"/>
      </w:pPr>
      <w:r>
        <w:t xml:space="preserve">осуществляет надзор и наблюдение в национальной платежной системе;</w:t>
      </w:r>
    </w:p>
    <w:p>
      <w:pPr>
        <w:pStyle w:val="BodyText"/>
      </w:pPr>
      <w:r>
        <w:t xml:space="preserve">организует и обеспечивает функционирование платформы цифрового рубля;</w:t>
      </w:r>
    </w:p>
    <w:p>
      <w:pPr>
        <w:pStyle w:val="BodyText"/>
      </w:pPr>
      <w:r>
        <w:t xml:space="preserve">устанавливает правила проведения банковских операций;</w:t>
      </w:r>
    </w:p>
    <w:p>
      <w:pPr>
        <w:pStyle w:val="BodyText"/>
      </w:pPr>
      <w:r>
        <w:t xml:space="preserve">осуществляет эффективное управление золотовалютными резервами Банка России;</w:t>
      </w:r>
    </w:p>
    <w:p>
      <w:pPr>
        <w:pStyle w:val="BodyText"/>
      </w:pPr>
      <w:r>
        <w:t xml:space="preserve">принимает решение о государственной регистрации кредитных организаций, выдает кредитным организациям лицензии на осуществление банковских операций, приостанавливает их действие и отзывает их;</w:t>
      </w:r>
    </w:p>
    <w:p>
      <w:pPr>
        <w:pStyle w:val="BodyText"/>
      </w:pPr>
      <w:r>
        <w:t xml:space="preserve">принимает решения о государственной регистрации негосударственных пенсионных фондов;</w:t>
      </w:r>
    </w:p>
    <w:p>
      <w:pPr>
        <w:pStyle w:val="BodyText"/>
      </w:pPr>
      <w:r>
        <w:t xml:space="preserve">принимает решения о выдаче иностранным банкам лицензий на осуществление банковских операций для осуществления деятельности на территории Российской Федерации через свои филиалы и об отзыве (аннулировании) таких лицензий;</w:t>
      </w:r>
    </w:p>
    <w:p>
      <w:pPr>
        <w:pStyle w:val="BodyText"/>
      </w:pPr>
      <w:r>
        <w:t xml:space="preserve">осуществляет надзор за деятельностью кредитных организаций, филиалов иностранных банков и банковских групп;</w:t>
      </w:r>
    </w:p>
    <w:p>
      <w:pPr>
        <w:pStyle w:val="BodyText"/>
      </w:pPr>
      <w:r>
        <w:t xml:space="preserve">осуществляет регулирование, контроль и надзор за деятельностью некредитных финансовых организаций в соответствии с федеральными законами;</w:t>
      </w:r>
    </w:p>
    <w:p>
      <w:pPr>
        <w:pStyle w:val="BodyText"/>
      </w:pPr>
      <w:r>
        <w:t xml:space="preserve">осуществляет регулирование, контроль и надзор в сфере оказания профессиональных услуг на финансовом рынке в соответствии с федеральными законами;</w:t>
      </w:r>
    </w:p>
    <w:p>
      <w:pPr>
        <w:pStyle w:val="BodyText"/>
      </w:pPr>
      <w:r>
        <w:t xml:space="preserve">осуществляет регулирование, контроль и надзор за деятельностью операторов по приему платежей в соответствии с федеральными законами;</w:t>
      </w:r>
    </w:p>
    <w:p>
      <w:pPr>
        <w:pStyle w:val="BodyText"/>
      </w:pPr>
      <w:r>
        <w:t xml:space="preserve">осуществляет регистрацию выпусков эмиссионных ценных бумаг и проспектов ценных бумаг, регистрацию отчетов об итогах выпусков эмиссионных ценных бумаг;</w:t>
      </w:r>
    </w:p>
    <w:p>
      <w:pPr>
        <w:pStyle w:val="BodyText"/>
      </w:pPr>
      <w:r>
        <w:t xml:space="preserve">осуществляет контроль и надзор за соблюдением эмитентами требований законодательства Российской Федерации об акционерных обществах и ценных бумагах;</w:t>
      </w:r>
    </w:p>
    <w:p>
      <w:pPr>
        <w:pStyle w:val="BodyText"/>
      </w:pPr>
      <w:r>
        <w:t xml:space="preserve">осуществляет регулирование, контроль и надзор в сфере корпоративных отношений в акционерных обществах;</w:t>
      </w:r>
    </w:p>
    <w:p>
      <w:pPr>
        <w:pStyle w:val="BodyText"/>
      </w:pPr>
      <w:r>
        <w:t xml:space="preserve">осуществляет самостоятельно или по поручению Правительства Российской Федерации все виды банковских операций и иных сделок, необходимых для выполнения функций Банка России;</w:t>
      </w:r>
    </w:p>
    <w:p>
      <w:pPr>
        <w:pStyle w:val="BodyText"/>
      </w:pPr>
      <w:r>
        <w:t xml:space="preserve">организует и осуществляет валютное регулирование и валютный контроль в соответствии с законодательством Российской Федерации;</w:t>
      </w:r>
    </w:p>
    <w:p>
      <w:pPr>
        <w:pStyle w:val="BodyText"/>
      </w:pPr>
      <w:r>
        <w:t xml:space="preserve">определяет порядок осуществления расчетов с международными организациями, иностранными государствами, а также с юридическими и физическими лицами;</w:t>
      </w:r>
    </w:p>
    <w:p>
      <w:pPr>
        <w:pStyle w:val="BodyText"/>
      </w:pPr>
      <w:r>
        <w:t xml:space="preserve">утверждает отраслевые стандарты бухгалтерского учета для Банка России, кредитных организаций, некредитных финансовых организаций, бюро кредитных историй, кредитных рейтинговых агентств, план счетов бухгалтерского учета для Банка России и порядок его применения, планы счетов бухгалтерского учета для кредитных организаций, некредитных финансовых организаций, бюро кредитных историй, кредитных рейтинговых агентств и порядок их применения;</w:t>
      </w:r>
    </w:p>
    <w:p>
      <w:pPr>
        <w:pStyle w:val="BodyText"/>
      </w:pPr>
      <w:r>
        <w:t xml:space="preserve">устанавливает и публикует официальные курсы иностранных валют по отношению к рублю;</w:t>
      </w:r>
    </w:p>
    <w:p>
      <w:pPr>
        <w:pStyle w:val="BodyText"/>
      </w:pPr>
      <w:r>
        <w:t xml:space="preserve">принимает участие в разработке прогноза платежного баланса Российской Федерации;</w:t>
      </w:r>
    </w:p>
    <w:p>
      <w:pPr>
        <w:pStyle w:val="BodyText"/>
      </w:pPr>
      <w:r>
        <w:t xml:space="preserve">принимает участие в разработке методологии составления финансового счета Российской Федерации в системе национальных счетов и организует составление финансового счета Российской Федерации;</w:t>
      </w:r>
    </w:p>
    <w:p>
      <w:pPr>
        <w:pStyle w:val="BodyText"/>
      </w:pPr>
      <w:r>
        <w:t xml:space="preserve">организует составление платежного баланса Российской Федерации, международной инвестиционной позиции Российской Федерации, статистики внешней торговли Российской Федерации услугами, внешнего долга Российской Федерации, международных резервов Российской Федерации, прямых инвестиций в Российскую Федерацию и прямых инвестиций из Российской Федерации за рубеж;</w:t>
      </w:r>
    </w:p>
    <w:p>
      <w:pPr>
        <w:pStyle w:val="BodyText"/>
      </w:pPr>
      <w:r>
        <w:t xml:space="preserve">для составления платежного баланса Российской Федерации, международной инвестиционной позиции Российской Федерации, статистики внешней торговли Российской Федерации услугами, внешнего долга Российской Федерации, международных резервов Российской Федерации, прямых инвестиций в Российскую Федерацию и прямых инвестиций из Российской Федерации за рубеж самостоятельно формирует и утверждает статистическую методологию, перечень респондентов, формы федерального статистического наблюдения и порядок составления и предоставления респондентами первичных статистических данных по этим формам;</w:t>
      </w:r>
    </w:p>
    <w:p>
      <w:pPr>
        <w:pStyle w:val="BodyText"/>
      </w:pPr>
      <w:r>
        <w:t xml:space="preserve">проводит анализ и прогнозирование состояния экономики Российской Федерации, публикует соответствующие материалы и статистические данные;</w:t>
      </w:r>
    </w:p>
    <w:p>
      <w:pPr>
        <w:pStyle w:val="BodyText"/>
      </w:pPr>
      <w:r>
        <w:t xml:space="preserve">осуществляет выплаты Банка России по вкладам физических лиц в признанных банкротами банках, не участвующих в системе обязательного страхования вкладов в банках Российской Федерации, в случаях и порядке, которые предусмотрены федеральным законом;</w:t>
      </w:r>
    </w:p>
    <w:p>
      <w:pPr>
        <w:pStyle w:val="BodyText"/>
      </w:pPr>
      <w:r>
        <w:t xml:space="preserve">является депозитарием средств Международного валютного фонда в валюте Российской Федерации, осуществляет операции и сделки, предусмотренные статьями Соглашения Международного валютного фонда и договорами с Международным валютным фондом;</w:t>
      </w:r>
    </w:p>
    <w:p>
      <w:pPr>
        <w:pStyle w:val="BodyText"/>
      </w:pPr>
      <w:r>
        <w:t xml:space="preserve">осуществляет контроль за соблюдением требований законодательства Российской Федерации о противодействии неправомерному использованию инсайдерской информации и манипулированию рынком;</w:t>
      </w:r>
    </w:p>
    <w:p>
      <w:pPr>
        <w:pStyle w:val="BodyText"/>
      </w:pPr>
      <w:r>
        <w:t xml:space="preserve">осуществляет защиту прав и законных интересов акционеров и инвесторов на финансовых рынках, страхователей, застрахованных лиц и выгодоприобретателей, признаваемых таковыми в соответствии со страховым законодательством, а также застрахованных лиц по обязательному пенсионному страхованию, вкладчиков и участников негосударственного пенсионного фонда по негосударственному пенсионному обеспечению и по договорам долгосрочных сбережений;</w:t>
      </w:r>
    </w:p>
    <w:p>
      <w:pPr>
        <w:pStyle w:val="BodyText"/>
      </w:pPr>
      <w:r>
        <w:t xml:space="preserve">организовывает оказание услуг по передаче электронных сообщений по финансовым операциям;</w:t>
      </w:r>
    </w:p>
    <w:p>
      <w:pPr>
        <w:pStyle w:val="BodyText"/>
      </w:pPr>
      <w:r>
        <w:t xml:space="preserve">во взаимодействии с Правительством Российской Федерации реализует мероприятия по повышению уровня финансовой грамотности населения и субъектов малого и среднего предпринимательства в Российской Федерации;</w:t>
      </w:r>
    </w:p>
    <w:p>
      <w:pPr>
        <w:pStyle w:val="BodyText"/>
      </w:pPr>
      <w:r>
        <w:t xml:space="preserve">во взаимодействии с Правительством Российской Федерации разрабатывает и проводит политику по обеспечению доступности финансовых услуг для населения и субъектов малого и среднего предпринимательства в Российской Федерации;</w:t>
      </w:r>
    </w:p>
    <w:p>
      <w:pPr>
        <w:pStyle w:val="BodyText"/>
      </w:pPr>
      <w:r>
        <w:t xml:space="preserve">осуществляет оценку степени (уровня) риска совершения подозрительных операций кредитными организациями, филиалами иностранных банков, клиентами кредитных организаций и клиентами филиалов иностранных банков – юридическими лицами (за исключением кредитных организаций, филиалов иностранных банков, государственных органов и органов местного самоуправления) (индивидуальными предпринимателями), зарегистрированными в соответствии с законодательством Российской Федерации;</w:t>
      </w:r>
    </w:p>
    <w:p>
      <w:pPr>
        <w:pStyle w:val="BodyText"/>
      </w:pPr>
      <w:r>
        <w:t xml:space="preserve">выполняет функции уполномоченного органа и регулирующего органа по вопросам экспериментальных правовых режимов в сфере цифровых инноваций на финансовом рынке в случаях и порядке, которые предусмотрены Федеральным законом от 31 июля 2020 года № 258-ФЗ «Об экспериментальных правовых режимах в сфере цифровых инноваций в Российской Федерации»;</w:t>
      </w:r>
    </w:p>
    <w:p>
      <w:pPr>
        <w:pStyle w:val="BodyText"/>
      </w:pPr>
      <w:r>
        <w:t xml:space="preserve">осуществляет иные функции в соответствии с федеральными законами.</w:t>
      </w:r>
    </w:p>
    <w:p>
      <w:pPr>
        <w:pStyle w:val="BodyText"/>
      </w:pPr>
      <w:r>
        <w:t xml:space="preserve">Основные материалы</w:t>
      </w:r>
    </w:p>
    <w:p>
      <w:pPr>
        <w:pStyle w:val="BodyText"/>
      </w:pPr>
      <w:r>
        <w:t xml:space="preserve">Федеральный закон «О Центральном банке Российской Федерации (Банке России)»</w:t>
      </w:r>
    </w:p>
    <w:p>
      <w:pPr>
        <w:pStyle w:val="BodyText"/>
      </w:pPr>
      <w:r>
        <w:t xml:space="preserve">www.pravo.gov.ru</w:t>
      </w:r>
    </w:p>
    <w:p>
      <w:pPr>
        <w:pStyle w:val="BodyText"/>
      </w:pPr>
      <w:r>
        <w:t xml:space="preserve">Федеральный закон «О банках и банковской деятельности»</w:t>
      </w:r>
    </w:p>
    <w:p>
      <w:pPr>
        <w:pStyle w:val="BodyText"/>
      </w:pPr>
      <w:r>
        <w:t xml:space="preserve">pravo.gov.ru</w:t>
      </w:r>
    </w:p>
    <w:p>
      <w:pPr>
        <w:pStyle w:val="BodyText"/>
      </w:pPr>
      <w:r>
        <w:t xml:space="preserve">Статья 75 Конституции Российской Федерации</w:t>
      </w:r>
    </w:p>
    <w:p>
      <w:pPr>
        <w:pStyle w:val="BodyText"/>
      </w:pPr>
      <w:r>
        <w:t xml:space="preserve">Свидетельство о внесении записи в Единый государственный реестр юридических лиц в отношении Банка России</w:t>
      </w:r>
    </w:p>
    <w:p>
      <w:pPr>
        <w:pStyle w:val="BodyText"/>
      </w:pPr>
      <w:r>
        <w:t xml:space="preserve">Свидетельство о постановке Банка России на учет в налоговом органе по месту нахождения на территории Российской Федерации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2026-09-27T11:00:23Z</dcterms:created>
  <dcterms:modified xsi:type="dcterms:W3CDTF">2026-09-27T11:00:23Z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