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совет-директоров-банка-россии"/>
    <w:p>
      <w:pPr>
        <w:pStyle w:val="Heading1"/>
      </w:pPr>
      <w:r>
        <w:t xml:space="preserve">Совет директоров Банка России</w:t>
      </w:r>
    </w:p>
    <w:p>
      <w:pPr>
        <w:pStyle w:val="FirstParagraph"/>
      </w:pPr>
      <w:r>
        <w:t xml:space="preserve">Совет директоров Банка России</w:t>
      </w:r>
    </w:p>
    <w:p>
      <w:pPr>
        <w:pStyle w:val="BodyText"/>
      </w:pPr>
      <w:r>
        <w:t xml:space="preserve">Совет директоров Банка России — коллегиальный орган управления Банка России, в который входят Председатель Банка России и 14 членов Совета директоров, работающих на постоянной основе в Банке России. Члены Совета директоров назначаются Государственной Думой сроком на пять лет по представлению Председателя Банка России, согласованному с Президентом Российской Федерации.</w:t>
      </w:r>
    </w:p>
    <w:p>
      <w:pPr>
        <w:pStyle w:val="BodyText"/>
      </w:pPr>
      <w:r>
        <w:t xml:space="preserve">Совет директоров осуществляет широкий круг функций, отнесенных к его компетенции Федеральным законом «О Центральном банке Российской Федерации (Банке России)».</w:t>
      </w:r>
    </w:p>
    <w:p>
      <w:pPr>
        <w:pStyle w:val="BodyText"/>
      </w:pPr>
      <w:r>
        <w:t xml:space="preserve">В сфере денежно-кредитной политики и развития финансового рынка Российской Федерации Совет директоров во взаимодействии с Правительством Российской Федерации разрабатывает основные направления единой государственной денежно-кредитной политики и основные направления развития финансового рынка, принимает решения об изменении процентных ставок Банка России, о размере обязательных резервных требований и другие решения.</w:t>
      </w:r>
    </w:p>
    <w:p>
      <w:pPr>
        <w:pStyle w:val="BodyText"/>
      </w:pPr>
      <w:r>
        <w:t xml:space="preserve">В сфере наличного денежного обращения Совет директоров принимает решения о выпуске банкнот и монет Банка России нового образца, об изъятии из обращения банкнот и монет Банка России старого образца.</w:t>
      </w:r>
    </w:p>
    <w:p>
      <w:pPr>
        <w:pStyle w:val="BodyText"/>
      </w:pPr>
      <w:r>
        <w:t xml:space="preserve">В сфере регулирования банковской системы и финансового рынка Совет директоров устанавливает правила проведения банковских операций для банковской системы Российской Федерации, принимает решения об установлении обязательных нормативов для кредитных организаций, банковских групп и некредитных финансовых организаций, о порядке формирования резервов кредитными организациями, а также иные решения.</w:t>
      </w:r>
    </w:p>
    <w:p>
      <w:pPr>
        <w:pStyle w:val="BodyText"/>
      </w:pPr>
      <w:r>
        <w:t xml:space="preserve">В сфере обеспечения финансовой стабильности Совет директоров принимает решения о размерах надбавок к коэффициентам риска по отдельным видам активов, о применении макропруденциальных лимитов.</w:t>
      </w:r>
    </w:p>
    <w:p>
      <w:pPr>
        <w:pStyle w:val="BodyText"/>
      </w:pPr>
      <w:r>
        <w:t xml:space="preserve">В сфере национальной платежной системы Совет директоров устанавливает правила осуществления расчетов в национальной платежной системе, определяет тарифы на услуги в платежной системе Банка России, включая Систему быстрых платежей, устанавливает предельные значения комиссий в рамках иных платежных систем, а также комиссий, взимаемых банками со своих клиентов по договорам о приеме платежных карт за переводы денежных средств.</w:t>
      </w:r>
    </w:p>
    <w:p>
      <w:pPr>
        <w:pStyle w:val="BodyText"/>
      </w:pPr>
      <w:r>
        <w:t xml:space="preserve">В сфере финансово-хозяйственной и организационно-кадровой деятельности Банка России Совет директоров утверждает структуру Банка России, годовую финансовую отчетность и отчет о деятельности Банка России, а также осуществляет иные функции.</w:t>
      </w:r>
    </w:p>
    <w:p>
      <w:pPr>
        <w:pStyle w:val="BodyText"/>
      </w:pPr>
      <w:r>
        <w:t xml:space="preserve">Решения Совета директоров принимаются большинством голосов от числа присутствующих на его заседании членов при кворуме в восемь человек. Совет директоров заседает не реже одного раза в месяц.</w:t>
      </w:r>
    </w:p>
    <w:p>
      <w:pPr>
        <w:pStyle w:val="BodyText"/>
      </w:pPr>
      <w:r>
        <w:t xml:space="preserve">Состав Совета директоров:</w:t>
      </w:r>
    </w:p>
    <w:p>
      <w:pPr>
        <w:pStyle w:val="BodyText"/>
      </w:pPr>
      <w:r>
        <w:t xml:space="preserve">Набиуллина Эльвира Сахипзадовна</w:t>
      </w:r>
    </w:p>
    <w:p>
      <w:pPr>
        <w:pStyle w:val="BodyText"/>
      </w:pPr>
      <w:r>
        <w:t xml:space="preserve">Председатель Центрального банка Российской Федерации (Банка России)</w:t>
      </w:r>
    </w:p>
    <w:p>
      <w:pPr>
        <w:pStyle w:val="BodyText"/>
      </w:pPr>
      <w:r>
        <w:t xml:space="preserve">Тулин Дмитрий Владиславович</w:t>
      </w:r>
    </w:p>
    <w:p>
      <w:pPr>
        <w:pStyle w:val="BodyText"/>
      </w:pPr>
      <w:r>
        <w:t xml:space="preserve">Первый заместитель Председателя Банка России</w:t>
      </w:r>
    </w:p>
    <w:p>
      <w:pPr>
        <w:pStyle w:val="BodyText"/>
      </w:pPr>
      <w:r>
        <w:t xml:space="preserve">Чистюхин Владимир Викторович</w:t>
      </w:r>
    </w:p>
    <w:p>
      <w:pPr>
        <w:pStyle w:val="BodyText"/>
      </w:pPr>
      <w:r>
        <w:t xml:space="preserve">Первый заместитель Председателя Банка России</w:t>
      </w:r>
    </w:p>
    <w:p>
      <w:pPr>
        <w:pStyle w:val="BodyText"/>
      </w:pPr>
      <w:r>
        <w:t xml:space="preserve">Габуния Филипп Георгиевич</w:t>
      </w:r>
    </w:p>
    <w:p>
      <w:pPr>
        <w:pStyle w:val="BodyText"/>
      </w:pPr>
      <w:r>
        <w:t xml:space="preserve">Заместитель Председателя Банка России</w:t>
      </w:r>
    </w:p>
    <w:p>
      <w:pPr>
        <w:pStyle w:val="BodyText"/>
      </w:pPr>
      <w:r>
        <w:t xml:space="preserve">Гузнов Алексей Геннадьевич</w:t>
      </w:r>
    </w:p>
    <w:p>
      <w:pPr>
        <w:pStyle w:val="BodyText"/>
      </w:pPr>
      <w:r>
        <w:t xml:space="preserve">Статс-секретарь – заместитель Председателя Банка России</w:t>
      </w:r>
    </w:p>
    <w:p>
      <w:pPr>
        <w:pStyle w:val="BodyText"/>
      </w:pPr>
      <w:r>
        <w:t xml:space="preserve">Заботкин Алексей Борисович</w:t>
      </w:r>
    </w:p>
    <w:p>
      <w:pPr>
        <w:pStyle w:val="BodyText"/>
      </w:pPr>
      <w:r>
        <w:t xml:space="preserve">Заместитель Председателя Банка России</w:t>
      </w:r>
    </w:p>
    <w:p>
      <w:pPr>
        <w:pStyle w:val="BodyText"/>
      </w:pPr>
      <w:r>
        <w:t xml:space="preserve">Мамута Михаил Валерьевич</w:t>
      </w:r>
    </w:p>
    <w:p>
      <w:pPr>
        <w:pStyle w:val="BodyText"/>
      </w:pPr>
      <w:r>
        <w:t xml:space="preserve">Заместитель Председателя Банка России</w:t>
      </w:r>
    </w:p>
    <w:p>
      <w:pPr>
        <w:pStyle w:val="BodyText"/>
      </w:pPr>
      <w:r>
        <w:t xml:space="preserve">Полякова Ольга Васильевна</w:t>
      </w:r>
    </w:p>
    <w:p>
      <w:pPr>
        <w:pStyle w:val="BodyText"/>
      </w:pPr>
      <w:r>
        <w:t xml:space="preserve">Заместитель Председателя Банка России</w:t>
      </w:r>
    </w:p>
    <w:p>
      <w:pPr>
        <w:pStyle w:val="BodyText"/>
      </w:pPr>
      <w:r>
        <w:t xml:space="preserve">Данилова Елизавета Олеговна</w:t>
      </w:r>
    </w:p>
    <w:p>
      <w:pPr>
        <w:pStyle w:val="BodyText"/>
      </w:pPr>
      <w:r>
        <w:t xml:space="preserve">Директор Департамента финансовой стабильности Банка России</w:t>
      </w:r>
    </w:p>
    <w:p>
      <w:pPr>
        <w:pStyle w:val="BodyText"/>
      </w:pPr>
      <w:r>
        <w:t xml:space="preserve">Марданов Рустэм Хабибович</w:t>
      </w:r>
    </w:p>
    <w:p>
      <w:pPr>
        <w:pStyle w:val="BodyText"/>
      </w:pPr>
      <w:r>
        <w:t xml:space="preserve">Начальник Главного управления Банка России по Центральному федеральному округу</w:t>
      </w:r>
    </w:p>
    <w:p>
      <w:pPr>
        <w:pStyle w:val="BodyText"/>
      </w:pPr>
      <w:r>
        <w:t xml:space="preserve">Симановский Алексей Юрьевич</w:t>
      </w:r>
    </w:p>
    <w:p>
      <w:pPr>
        <w:pStyle w:val="BodyText"/>
      </w:pPr>
      <w:r>
        <w:t xml:space="preserve">Советник Председателя Банка России</w:t>
      </w:r>
    </w:p>
    <w:p>
      <w:pPr>
        <w:pStyle w:val="BodyText"/>
      </w:pPr>
      <w:r>
        <w:t xml:space="preserve">Решения Совета директоров Информация о решениях Совета директоров</w:t>
      </w:r>
    </w:p>
    <w:p>
      <w:pPr>
        <w:pStyle w:val="BodyText"/>
      </w:pPr>
      <w:r>
        <w:t xml:space="preserve">Дата публикации</w:t>
      </w:r>
    </w:p>
    <w:p>
      <w:pPr>
        <w:pStyle w:val="BodyText"/>
      </w:pPr>
      <w:r>
        <w:t xml:space="preserve">23.09.2026</w:t>
      </w:r>
    </w:p>
    <w:p>
      <w:pPr>
        <w:pStyle w:val="BodyText"/>
      </w:pPr>
      <w:r>
        <w:t xml:space="preserve">Решение Совета директоров Банка России о выпуске в обращение в 2028 году памятной монеты «Самбо» в серии «Российский спорт»</w:t>
      </w:r>
    </w:p>
    <w:p>
      <w:pPr>
        <w:pStyle w:val="BodyText"/>
      </w:pPr>
      <w:r>
        <w:t xml:space="preserve">Дата решения: 16.09.2026</w:t>
      </w:r>
    </w:p>
    <w:p>
      <w:pPr>
        <w:pStyle w:val="BodyText"/>
      </w:pPr>
      <w:r>
        <w:t xml:space="preserve">23.09.2026</w:t>
      </w:r>
    </w:p>
    <w:p>
      <w:pPr>
        <w:pStyle w:val="BodyText"/>
      </w:pPr>
      <w:r>
        <w:t xml:space="preserve">Решение Совета директоров Банка России о выпуске в обращение в 2027 году памятной монеты «200-летие основания г. Бердянска» в серии «Города»</w:t>
      </w:r>
    </w:p>
    <w:p>
      <w:pPr>
        <w:pStyle w:val="BodyText"/>
      </w:pPr>
      <w:r>
        <w:t xml:space="preserve">Дата решения: 16.09.2026</w:t>
      </w:r>
    </w:p>
    <w:p>
      <w:pPr>
        <w:pStyle w:val="BodyText"/>
      </w:pPr>
      <w:r>
        <w:t xml:space="preserve">14.09.2026</w:t>
      </w:r>
    </w:p>
    <w:p>
      <w:pPr>
        <w:pStyle w:val="BodyText"/>
      </w:pPr>
      <w:r>
        <w:t xml:space="preserve">Решение Совета директоров Банка России об установлении надбавок к коэффициентам риска в отношении требований по отдельным кредитам (займам), предоставленным юридическим лицам в рублях, и требований по вложениям в долговые ценные бумаги, номинированные в рублях</w:t>
      </w:r>
    </w:p>
    <w:p>
      <w:pPr>
        <w:pStyle w:val="BodyText"/>
      </w:pPr>
      <w:r>
        <w:t xml:space="preserve">Дата решения: 11.09.2026</w:t>
      </w:r>
    </w:p>
    <w:p>
      <w:pPr>
        <w:pStyle w:val="BodyText"/>
      </w:pPr>
      <w:r>
        <w:t xml:space="preserve">03.09.2026</w:t>
      </w:r>
    </w:p>
    <w:p>
      <w:pPr>
        <w:pStyle w:val="BodyText"/>
      </w:pPr>
      <w:r>
        <w:t xml:space="preserve">Решение Совета директоров Банка России о выпуске в обращение в 2027 году памятной монеты «100-летие акционерного общества «Конструкторское бюро приборостроения им. академика А.Г. Шипунова» и 100-летие со дня рождения академика А.Г. Шипунова» в серии «Исторические события»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03.09.2026</w:t>
      </w:r>
    </w:p>
    <w:p>
      <w:pPr>
        <w:pStyle w:val="BodyText"/>
      </w:pPr>
      <w:r>
        <w:t xml:space="preserve">Решение Совета директоров Банка России о выпуске в обращение в 2027 году памятной монеты «Первый Президент Республики Татарстан М.Ш. Шаймиев, к 90-летию со дня рождения» в серии «Выдающиеся личности России»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01.09.2026</w:t>
      </w:r>
    </w:p>
    <w:p>
      <w:pPr>
        <w:pStyle w:val="BodyText"/>
      </w:pPr>
      <w:r>
        <w:t xml:space="preserve">Решение Совета директоров Банка России об установлении периода, в течение которого не подлежит применению ограничение значения полной стоимости потребительского займа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01.09.2026</w:t>
      </w:r>
    </w:p>
    <w:p>
      <w:pPr>
        <w:pStyle w:val="BodyText"/>
      </w:pPr>
      <w:r>
        <w:t xml:space="preserve">Решение Совета директоров Банка России о комиссии при выдаче физическим лицам наличной иностранной валюты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01.09.2026</w:t>
      </w:r>
    </w:p>
    <w:p>
      <w:pPr>
        <w:pStyle w:val="BodyText"/>
      </w:pPr>
      <w:r>
        <w:t xml:space="preserve">Решение Совета директоров Банка России о тарифах на услуги Банка России, уплачиваемые клиентами Банка России в сервисах срочного и несрочного переводов платежной системы Банка России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31.08.2026</w:t>
      </w:r>
    </w:p>
    <w:p>
      <w:pPr>
        <w:pStyle w:val="BodyText"/>
      </w:pPr>
      <w:r>
        <w:t xml:space="preserve">Решение Совета директоров Банка России о внесении изменений в Решение Совета директоров Банка России от 9 декабря 2025 года «О требованиях к деятельности профессиональных участников рынка ценных бумаг, осуществляющих депозитарную деятельность и (или) деятельность по ведению реестра владельцев ценных бумаг, при обеспечении на основании пунктов 7 и 7(1) Указа Президента Российской Федерации от 3 марта 2023 года № 138 «О дополнительных временных мерах экономического характера, связанных с обращением ценных бумаг» обособленного учета российских ценных бумаг, еврооблигаций и замещающих облигаций»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31.08.2026</w:t>
      </w:r>
    </w:p>
    <w:p>
      <w:pPr>
        <w:pStyle w:val="BodyText"/>
      </w:pPr>
      <w:r>
        <w:t xml:space="preserve">Решение Совета директоров Банка России о требованиях к деятельности профессиональных участников рынка ценных бумаг, осуществляющих деятельность по ведению реестра владельцев ценных бумаг и (или) депозитарную деятельность, при введении и прекращении временного управления ценными бумагами в соответствии с пунктами 1 и 8 Указа Президента Российской Федерации от 25 апреля 2023 года № 302 «О временном управлении некоторым имуществом» и пунктами 1 и 5 Указа Президента Российской Федерации от 24 августа 2026 года № 604 «О мерах по обеспечению безопасности объектов критической инфраструктуры Российской Федерации»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31.08.2026</w:t>
      </w:r>
    </w:p>
    <w:p>
      <w:pPr>
        <w:pStyle w:val="BodyText"/>
      </w:pPr>
      <w:r>
        <w:t xml:space="preserve">Решение Совета директоров Банка России об установлении режима специального рублевого счета физического лица, включенного в список лиц, в отношении которых применяются временные ограничительные меры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31.08.2026</w:t>
      </w:r>
    </w:p>
    <w:p>
      <w:pPr>
        <w:pStyle w:val="BodyText"/>
      </w:pPr>
      <w:r>
        <w:t xml:space="preserve">Решение Совета директоров Банка России об определении максимальных сумм операций с цифровыми рублями, перечня операций с цифровыми рублями и сроков обеспечения кредитными организациями возможности совершения операций с цифровыми рублями для своих клиентов с 01.09.2026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31.08.2026</w:t>
      </w:r>
    </w:p>
    <w:p>
      <w:pPr>
        <w:pStyle w:val="BodyText"/>
      </w:pPr>
      <w:r>
        <w:t xml:space="preserve">Решение Совета директоров Банка России об определении тарифов на услуги оператора платформы цифрового рубля и размера вознаграждения, выплачиваемого оператором платформы цифрового рубля участникам платформы цифрового рубля</w:t>
      </w:r>
    </w:p>
    <w:p>
      <w:pPr>
        <w:pStyle w:val="BodyText"/>
      </w:pPr>
      <w:r>
        <w:t xml:space="preserve">Дата решения: 28.08.2026</w:t>
      </w:r>
    </w:p>
    <w:p>
      <w:pPr>
        <w:pStyle w:val="BodyText"/>
      </w:pPr>
      <w:r>
        <w:t xml:space="preserve">14.09.2026</w:t>
      </w:r>
    </w:p>
    <w:p>
      <w:pPr>
        <w:pStyle w:val="BodyText"/>
      </w:pPr>
      <w:r>
        <w:t xml:space="preserve">Банк России впервые установил макропруденциальные надбавки по вложениям банков в облигации, обеспеченные поступлениями средств по потребительским кредитам</w:t>
      </w:r>
    </w:p>
    <w:p>
      <w:pPr>
        <w:pStyle w:val="BodyText"/>
      </w:pPr>
      <w:r>
        <w:t xml:space="preserve">11.09.2026</w:t>
      </w:r>
    </w:p>
    <w:p>
      <w:pPr>
        <w:pStyle w:val="BodyText"/>
      </w:pPr>
      <w:r>
        <w:t xml:space="preserve">Банк России принял решение сохранить ключевую ставку на уровне 14,00% годовых</w:t>
      </w:r>
    </w:p>
    <w:p>
      <w:pPr>
        <w:pStyle w:val="BodyText"/>
      </w:pPr>
      <w:r>
        <w:t xml:space="preserve">10.09.2026</w:t>
      </w:r>
    </w:p>
    <w:p>
      <w:pPr>
        <w:pStyle w:val="BodyText"/>
      </w:pPr>
      <w:r>
        <w:t xml:space="preserve">Продлены полномочия финансового омбудсмена Дениса Новака</w:t>
      </w:r>
    </w:p>
    <w:p>
      <w:pPr>
        <w:pStyle w:val="BodyText"/>
      </w:pPr>
      <w:r>
        <w:t xml:space="preserve">01.09.2026</w:t>
      </w:r>
    </w:p>
    <w:p>
      <w:pPr>
        <w:pStyle w:val="BodyText"/>
      </w:pPr>
      <w:r>
        <w:t xml:space="preserve">Совет директоров Банка России принял решение о включении ценных бумаг в Ломбардный список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2026-09-27T11:00:23Z</dcterms:created>
  <dcterms:modified xsi:type="dcterms:W3CDTF">2026-09-27T11:00:23Z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