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b2d200becbe35e8965abc9cf170f005c4a9371"/>
    <w:p>
      <w:pPr>
        <w:pStyle w:val="Heading1"/>
      </w:pPr>
      <w:r>
        <w:t xml:space="preserve">Специальные краски, предназначенные для предотвращения хищения банкнот Банка России при их транспортировке и хранении</w:t>
      </w:r>
    </w:p>
    <w:p>
      <w:pPr>
        <w:pStyle w:val="FirstParagraph"/>
      </w:pPr>
      <w:r>
        <w:t xml:space="preserve">Специальные краски, предназначенные для предотвращения хищения банкнот Банка России при их транспортировке и хранении</w:t>
      </w:r>
    </w:p>
    <w:p>
      <w:pPr>
        <w:pStyle w:val="BodyText"/>
      </w:pPr>
      <w:r>
        <w:t xml:space="preserve">Специальные краски (спецкраски) используются в устройствах, предназначенных для предотвращения хищения банкнот Банка России при их перевозке и хранении (спецконтейнерах), обладают устойчивостью к воздействию растворителей, химических реактивов и другими отличительными характеристиками, позволяющими идентифицировать их наличие на банкнотах.</w:t>
      </w:r>
    </w:p>
    <w:p>
      <w:pPr>
        <w:pStyle w:val="BodyText"/>
      </w:pPr>
      <w:r>
        <w:t xml:space="preserve">Для эффективного выявления кассовыми работниками учреждений Банка России и кредитных организаций окрашенных спецкраской банкнот Банка России, попавших в наличное денежное обращение либо предъявленных похитителями к обмену, должны использоваться специальные краски со следующими отличительными особенностями:</w:t>
      </w:r>
    </w:p>
    <w:p>
      <w:pPr>
        <w:pStyle w:val="BodyText"/>
      </w:pPr>
      <w:r>
        <w:t xml:space="preserve">наличие цвета, искажающего видимый образ банкноты;</w:t>
      </w:r>
    </w:p>
    <w:p>
      <w:pPr>
        <w:pStyle w:val="BodyText"/>
      </w:pPr>
      <w:r>
        <w:t xml:space="preserve">наличие свечения в УФ-лучах;</w:t>
      </w:r>
    </w:p>
    <w:p>
      <w:pPr>
        <w:pStyle w:val="BodyText"/>
      </w:pPr>
      <w:r>
        <w:t xml:space="preserve">наличие ИК-поглощающих свойств, искажающих ИК-образ банкнот, но при этом позволяющих выявить инфракрасные метки, присутствующие на банкнотах Банка России;</w:t>
      </w:r>
    </w:p>
    <w:p>
      <w:pPr>
        <w:pStyle w:val="BodyText"/>
      </w:pPr>
      <w:r>
        <w:t xml:space="preserve">по-возможности, наличие дополнительного приборно регистрируемого свойства, например, ИК-люминесценции.</w:t>
      </w:r>
    </w:p>
    <w:p>
      <w:pPr>
        <w:pStyle w:val="BodyText"/>
      </w:pPr>
      <w:r>
        <w:t xml:space="preserve">В целях исключения возможности удаления спецкраски с поверхности окрашенных банкнот Банка России спецкраски должны обладать следующими свойствами:</w:t>
      </w:r>
    </w:p>
    <w:p>
      <w:pPr>
        <w:pStyle w:val="BodyText"/>
      </w:pPr>
      <w:r>
        <w:t xml:space="preserve">хорошей впитываемостью банкнотной бумагой для обеспечения окрашивания значительных площадей банкноты при любых условиях попадания на нее спецкраски;</w:t>
      </w:r>
    </w:p>
    <w:p>
      <w:pPr>
        <w:pStyle w:val="BodyText"/>
      </w:pPr>
      <w:r>
        <w:t xml:space="preserve">устойчивостью к растворителям и моющим средствам, в том числе люминесцирующего компонента.</w:t>
      </w:r>
    </w:p>
    <w:p>
      <w:pPr>
        <w:pStyle w:val="BodyText"/>
      </w:pPr>
      <w:r>
        <w:t xml:space="preserve">На применяемые в спецконтейнерах спецкраски пользователям спецконтейнеров необходимо иметь паспорт безопасности на русском языке.</w:t>
      </w:r>
    </w:p>
    <w:p>
      <w:pPr>
        <w:pStyle w:val="BodyText"/>
      </w:pPr>
      <w:r>
        <w:t xml:space="preserve">Специальные краски, использующиеся на территории Российской Федерации</w:t>
      </w:r>
    </w:p>
    <w:p>
      <w:pPr>
        <w:pStyle w:val="BodyText"/>
      </w:pPr>
      <w:r>
        <w:t xml:space="preserve">ООО «Специальные технологии контроля» (Россия)</w:t>
      </w:r>
    </w:p>
    <w:p>
      <w:pPr>
        <w:pStyle w:val="BodyText"/>
      </w:pPr>
      <w:r>
        <w:t xml:space="preserve">цвет — фиолетовый</w:t>
      </w:r>
    </w:p>
    <w:p>
      <w:pPr>
        <w:pStyle w:val="BodyText"/>
      </w:pPr>
      <w:r>
        <w:t xml:space="preserve">обладает ИК-поглощающими свойствами, искажающими ИК-образ банкнот, а также достаточной прозрачностью, позволяющей выявить инфракрасные метки, присутствующие на банкнотах Банка России</w:t>
      </w:r>
    </w:p>
    <w:p>
      <w:pPr>
        <w:pStyle w:val="BodyText"/>
      </w:pPr>
      <w:r>
        <w:t xml:space="preserve">обладает люминесценцией оранжевого цвета</w:t>
      </w:r>
    </w:p>
    <w:p>
      <w:pPr>
        <w:pStyle w:val="BodyText"/>
      </w:pPr>
      <w:r>
        <w:t xml:space="preserve">ООО «ПрофСнабХим» (Россия)</w:t>
      </w:r>
    </w:p>
    <w:p>
      <w:pPr>
        <w:pStyle w:val="BodyText"/>
      </w:pPr>
      <w:r>
        <w:t xml:space="preserve">цвет — темно — красный</w:t>
      </w:r>
    </w:p>
    <w:p>
      <w:pPr>
        <w:pStyle w:val="BodyText"/>
      </w:pPr>
      <w:r>
        <w:t xml:space="preserve">обладает ИК-поглощающими свойствами, искажающими ИК-образ банкнот, а также достаточной прозрачностью, позволяющей выявить инфракрасные метки, присутствующие на банкнотах Банка России</w:t>
      </w:r>
    </w:p>
    <w:p>
      <w:pPr>
        <w:pStyle w:val="BodyText"/>
      </w:pPr>
      <w:r>
        <w:t xml:space="preserve">обладает люминесценцией розового и голубого цвета</w:t>
      </w:r>
    </w:p>
    <w:p>
      <w:pPr>
        <w:pStyle w:val="BodyText"/>
      </w:pPr>
      <w:r>
        <w:t xml:space="preserve">SICPA SA (Швейцария)</w:t>
      </w:r>
    </w:p>
    <w:p>
      <w:pPr>
        <w:pStyle w:val="BodyText"/>
      </w:pPr>
      <w:r>
        <w:t xml:space="preserve">цвет — красный</w:t>
      </w:r>
    </w:p>
    <w:p>
      <w:pPr>
        <w:pStyle w:val="BodyText"/>
      </w:pPr>
      <w:r>
        <w:t xml:space="preserve">обладает ИК-поглощающими свойствами, искажающими ИК-образ банкнот, а также достаточной прозрачностью, позволяющей выявить инфракрасные метки, присутствующие на банкнотах Банка России</w:t>
      </w:r>
    </w:p>
    <w:p>
      <w:pPr>
        <w:pStyle w:val="BodyText"/>
      </w:pPr>
      <w:r>
        <w:t xml:space="preserve">обладает люминесценцией розового и голубого цвета</w:t>
      </w:r>
    </w:p>
    <w:p>
      <w:pPr>
        <w:pStyle w:val="BodyText"/>
      </w:pPr>
      <w:r>
        <w:t xml:space="preserve">SICPA SA (Швейцария)</w:t>
      </w:r>
    </w:p>
    <w:p>
      <w:pPr>
        <w:pStyle w:val="BodyText"/>
      </w:pPr>
      <w:r>
        <w:t xml:space="preserve">цвета — черный и красный</w:t>
      </w:r>
    </w:p>
    <w:p>
      <w:pPr>
        <w:pStyle w:val="BodyText"/>
      </w:pPr>
      <w:r>
        <w:t xml:space="preserve">Черный краситель обладает ИК-поглощающими свойствами, искажающими ИК-образ банкнот, красный краситель обладает достаточной прозрачностью, позволяющей выявить инфракрасные метки, присутствующие на банкнотах Банка России</w:t>
      </w:r>
    </w:p>
    <w:p>
      <w:pPr>
        <w:pStyle w:val="BodyText"/>
      </w:pPr>
      <w:r>
        <w:t xml:space="preserve">обладает слабой люминесценцией красного цвета</w:t>
      </w:r>
    </w:p>
    <w:p>
      <w:pPr>
        <w:pStyle w:val="BodyText"/>
      </w:pPr>
      <w:r>
        <w:t xml:space="preserve">SICPA SA (Швейцария)</w:t>
      </w:r>
    </w:p>
    <w:p>
      <w:pPr>
        <w:pStyle w:val="BodyText"/>
      </w:pPr>
      <w:r>
        <w:t xml:space="preserve">цвет — зеленый</w:t>
      </w:r>
    </w:p>
    <w:p>
      <w:pPr>
        <w:pStyle w:val="BodyText"/>
      </w:pPr>
      <w:r>
        <w:t xml:space="preserve">обладает ИК-поглощающими свойствами, искажающими ИК-образ банкнот, а также достаточной прозрачностью, позволяющей выявить инфракрасные метки, присутствующие на банкнотах Банка России</w:t>
      </w:r>
    </w:p>
    <w:p>
      <w:pPr>
        <w:pStyle w:val="BodyText"/>
      </w:pPr>
      <w:r>
        <w:t xml:space="preserve">люминесценцией не обладает</w:t>
      </w:r>
    </w:p>
    <w:p>
      <w:pPr>
        <w:pStyle w:val="BodyText"/>
      </w:pPr>
      <w:r>
        <w:t xml:space="preserve">Условия и порядок приема на экспертизу и обмена учреждениями Банка России банкнот Банка России, окрашенных специальной краской, установлены Указанием Банка России от 05.06.2009 № 2248-У «Об условиях и порядке приема на экспертизу и обмена банкнот Банка России, окрашенных специальной краской, на территории Российской Федерации» (зарегистрировано в Минюсте РФ 13 июля 2009 г. № 14322) с изменениями, внесенными Указанием Банка России от 01.09.2014 № 3372-У «О внесении изменений в Указание Банка России от 5 июня 2009 года № 2248-У «Об условиях и порядке приема на экспертизу и обмена банкнот Банка России, окрашенных специальной краской, на территории Российской Федерации» (зарегистрировано в Минюсте РФ 29 сентября 2014 г. № 34160).</w:t>
      </w:r>
    </w:p>
    <w:p>
      <w:pPr>
        <w:pStyle w:val="BodyText"/>
      </w:pPr>
      <w:r>
        <w:t xml:space="preserve">Правовые акты</w:t>
      </w:r>
    </w:p>
    <w:p>
      <w:pPr>
        <w:pStyle w:val="BodyText"/>
      </w:pPr>
      <w:r>
        <w:t xml:space="preserve">Ответственное структурное подразделение: Департамент наличного денежного обращения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2026-09-27T11:00:24Z</dcterms:created>
  <dcterms:modified xsi:type="dcterms:W3CDTF">2026-09-27T11:00:24Z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