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устойчивое-развитие"/>
    <w:p>
      <w:pPr>
        <w:pStyle w:val="Heading1"/>
      </w:pPr>
      <w:r>
        <w:t xml:space="preserve">Устойчивое развитие</w:t>
      </w:r>
    </w:p>
    <w:p>
      <w:pPr>
        <w:pStyle w:val="FirstParagraph"/>
      </w:pPr>
      <w:r>
        <w:t xml:space="preserve">Устойчивое развитие</w:t>
      </w:r>
    </w:p>
    <w:p>
      <w:pPr>
        <w:pStyle w:val="BodyText"/>
      </w:pPr>
      <w:r>
        <w:t xml:space="preserve">Устойчивое развитие — это развитие, отвечающее потребностям настоящего времени без ущерба для возможности будущих поколений удовлетворять свои собственные потребности.</w:t>
      </w:r>
    </w:p>
    <w:p>
      <w:pPr>
        <w:pStyle w:val="BodyText"/>
      </w:pPr>
      <w:r>
        <w:t xml:space="preserve">Устойчивое развитие в широком смысле предполагает такое сочетание инвестиций и потребления, технологических новаций и институциональных преобразований, которое обеспечивает общественное благосостояние не только в настоящем, но и в будущем.</w:t>
      </w:r>
    </w:p>
    <w:p>
      <w:pPr>
        <w:pStyle w:val="BodyText"/>
      </w:pPr>
      <w:r>
        <w:t xml:space="preserve">Глобальный тренд на декарбонизацию, разработку экологических стандартов производства и повышение социальной ответственности бизнеса формируют понимание того, что участники, не учитывающие эти факторы, будут создавать повышенные риски для финансового сектора.</w:t>
      </w:r>
    </w:p>
    <w:p>
      <w:pPr>
        <w:pStyle w:val="BodyText"/>
      </w:pPr>
      <w:r>
        <w:t xml:space="preserve">Мир все более внимателен к климатическим и экологическим рискам, совершенствованию инструментов и инфраструктуры устойчивого развития. Парижское соглашение по климату заложило идеологическую и правовую основу для нового глобального перераспределения потоков капитала в пользу рынков, отвечающих современным потребностям. Россия приняла это соглашение в 2019 году.</w:t>
      </w:r>
    </w:p>
    <w:p>
      <w:pPr>
        <w:pStyle w:val="BodyText"/>
      </w:pPr>
      <w:r>
        <w:t xml:space="preserve">Тенденции, заложенные в цели устойчивого развития ООН, соответствуют национальным целям развития Российской Федерации, направленным на устойчивое экономическое и социальное развитие и повышение уровня жизни граждан. Национальные проекты охватывают вопросы экологии, изменения климата, биоразнообразия, социального благополучия, и не ограничиваются ими.</w:t>
      </w:r>
    </w:p>
    <w:p>
      <w:pPr>
        <w:pStyle w:val="BodyText"/>
      </w:pPr>
      <w:r>
        <w:t xml:space="preserve">Подробнее о деятельности Банка России по анализу и учету климатических рисков в соответствующем разделе .</w:t>
      </w:r>
    </w:p>
    <w:p>
      <w:pPr>
        <w:pStyle w:val="BodyText"/>
      </w:pPr>
      <w:r>
        <w:t xml:space="preserve">Таким образом, устойчивое развитие это не просто вопрос имиджа или социальной ответственности, а необходимость для выстраивания устойчивой, конкурентоспособной и технологически независимой экономики. Приоритетом для России становится ориентация повестки устойчивого развития на национальный контекст — то есть адаптация международных подходов с учетом национальных особенностей, целей и приоритетов.</w:t>
      </w:r>
    </w:p>
    <w:p>
      <w:pPr>
        <w:pStyle w:val="BodyText"/>
      </w:pPr>
      <w:r>
        <w:t xml:space="preserve">Задачи Банка России:</w:t>
      </w:r>
    </w:p>
    <w:p>
      <w:pPr>
        <w:pStyle w:val="BodyText"/>
      </w:pPr>
      <w:r>
        <w:t xml:space="preserve">Развивать необходимую инфраструктуру и инструменты для финансирования устойчивого развития, – такие как облигации и кредиты, – что обеспечивает реализацию экологических, социальных и других проектов, важных для общества. Помимо того, Банк России определяет принципы корпоративного управления для финансовых и нефинансовых организаций и подходы, согласно которым они публикуют свою отчетность об устойчивом развитии;</w:t>
      </w:r>
    </w:p>
    <w:p>
      <w:pPr>
        <w:pStyle w:val="BodyText"/>
      </w:pPr>
      <w:r>
        <w:t xml:space="preserve">Помочь рынку адаптироваться к новым вызовам и условиям. Игнорирование целей устойчивого развития в деятельности организации может повлечь повышенные риски, поэтому необходимо создавать системы по идентификации, оценке и мониторингу таких рисков;</w:t>
      </w:r>
    </w:p>
    <w:p>
      <w:pPr>
        <w:pStyle w:val="BodyText"/>
      </w:pPr>
      <w:r>
        <w:t xml:space="preserve">Обеспечить внедрение принципов устойчивого развития в операционную деятельность Банка России.</w:t>
      </w:r>
    </w:p>
    <w:p>
      <w:pPr>
        <w:pStyle w:val="BodyText"/>
      </w:pPr>
      <w:r>
        <w:t xml:space="preserve">Для Банка России как финансового регулятора устойчивое развитие означает возможность содействия перераспределению финансовых потоков на проекты, отвечающие национальным приоритетам России, а также обеспечение финансовой стабильности Российской Федерации.</w:t>
      </w:r>
    </w:p>
    <w:p>
      <w:pPr>
        <w:pStyle w:val="BodyText"/>
      </w:pPr>
      <w:r>
        <w:t xml:space="preserve">Комитет по финансированию устойчивого развития</w:t>
      </w:r>
    </w:p>
    <w:p>
      <w:pPr>
        <w:pStyle w:val="BodyText"/>
      </w:pPr>
      <w:r>
        <w:t xml:space="preserve">В конце 2020 года в Банке России создана Рабочая группа по финансированию устойчивого развития, которая определяет стратегию по этому направлению и контролирует ее реализацию. В 2025 году структура Рабочей группы была оптимизирована, в 2026 году Рабочая группа была реорганизована в Комитет по финансированию устойчивого развития с целью расширения полномочий. В настоящее время Комитет состоит из трех экспертных групп с участием представителей федеральных органов исполнительной власти, институтов развития, участников финансового рынка, саморегулируемых организаций и науки.</w:t>
      </w:r>
    </w:p>
    <w:p>
      <w:pPr>
        <w:pStyle w:val="BodyText"/>
      </w:pPr>
      <w:r>
        <w:t xml:space="preserve">Подробнее о работе регулятора в области устойчивого развития вы можете узнать в презентации «Деятельность Банка России в области устойчивого развития» .</w:t>
      </w:r>
    </w:p>
    <w:p>
      <w:pPr>
        <w:pStyle w:val="BodyText"/>
      </w:pPr>
      <w:r>
        <w:t xml:space="preserve">Важные материалы</w:t>
      </w:r>
    </w:p>
    <w:p>
      <w:pPr>
        <w:pStyle w:val="BodyText"/>
      </w:pPr>
      <w:r>
        <w:t xml:space="preserve">Информационные письма и рекомендации по устойчивому развитию</w:t>
      </w:r>
    </w:p>
    <w:p>
      <w:pPr>
        <w:pStyle w:val="BodyText"/>
      </w:pPr>
      <w:r>
        <w:t xml:space="preserve">Устойчивое развитие</w:t>
      </w:r>
    </w:p>
    <w:p>
      <w:pPr>
        <w:pStyle w:val="BodyText"/>
      </w:pPr>
      <w:r>
        <w:t xml:space="preserve">Прочие публикации Банка России, посвященные устойчивому развитию</w:t>
      </w:r>
    </w:p>
    <w:p>
      <w:pPr>
        <w:pStyle w:val="BodyText"/>
      </w:pPr>
      <w:r>
        <w:t xml:space="preserve">Устойчивое развитие</w:t>
      </w:r>
    </w:p>
    <w:p>
      <w:pPr>
        <w:pStyle w:val="BodyText"/>
      </w:pPr>
      <w:r>
        <w:t xml:space="preserve">Ключевые тактические цели Рабочей группы по финансированию устойчивого развития</w:t>
      </w:r>
    </w:p>
    <w:p>
      <w:pPr>
        <w:pStyle w:val="BodyText"/>
      </w:pPr>
      <w:r>
        <w:t xml:space="preserve">Презентация «Деятельность Банка России в области устойчивого развития»</w:t>
      </w:r>
    </w:p>
    <w:p>
      <w:pPr>
        <w:pStyle w:val="BodyText"/>
      </w:pPr>
      <w:r>
        <w:t xml:space="preserve">Полезная информация</w:t>
      </w:r>
    </w:p>
    <w:p>
      <w:pPr>
        <w:pStyle w:val="BodyText"/>
      </w:pPr>
      <w:r>
        <w:t xml:space="preserve">27.08.2026</w:t>
      </w:r>
    </w:p>
    <w:p>
      <w:pPr>
        <w:pStyle w:val="BodyText"/>
      </w:pPr>
      <w:r>
        <w:t xml:space="preserve">Выпущенные на внутреннем рынке долговые ценные бумаги, включенные в сектор устойчивого развития</w:t>
      </w:r>
    </w:p>
    <w:p>
      <w:pPr>
        <w:pStyle w:val="BodyText"/>
      </w:pPr>
      <w:r>
        <w:t xml:space="preserve">Июль 2026</w:t>
      </w:r>
    </w:p>
    <w:p>
      <w:pPr>
        <w:pStyle w:val="BodyText"/>
      </w:pPr>
      <w:r>
        <w:t xml:space="preserve">Глоссарий терминов в области финансирования устойчивого развития и климатического регулирования</w:t>
      </w:r>
    </w:p>
    <w:p>
      <w:pPr>
        <w:pStyle w:val="BodyText"/>
      </w:pPr>
      <w:r>
        <w:t xml:space="preserve">Климатические риски</w:t>
      </w:r>
    </w:p>
    <w:p>
      <w:pPr>
        <w:pStyle w:val="BodyText"/>
      </w:pPr>
      <w:r>
        <w:t xml:space="preserve">Финансовая стабильность</w:t>
      </w:r>
    </w:p>
    <w:p>
      <w:pPr>
        <w:pStyle w:val="BodyText"/>
      </w:pPr>
      <w:r>
        <w:t xml:space="preserve">Ответственные структурные подразделения: Департамент корпоративных отношений , Департамент финансовой стабильности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2026-09-27T11:00:24Z</dcterms:created>
  <dcterms:modified xsi:type="dcterms:W3CDTF">2026-09-27T11:00:24Z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