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1a43f3850f4a9b50809bdb490f701692050a81"/>
    <w:p>
      <w:pPr>
        <w:pStyle w:val="Heading1"/>
      </w:pPr>
      <w:r>
        <w:t xml:space="preserve">Как открыть банковскую ячейку в отделении ZX Bank</w:t>
      </w:r>
    </w:p>
    <w:p>
      <w:pPr>
        <w:pStyle w:val="FirstParagraph"/>
      </w:pPr>
      <w:r>
        <w:t xml:space="preserve">Открытие банковской ячейки (сейфовой ячейки) в отделении ZX Bank — надёжный способ сохранить ваши ценности и важные документы. Следуйте этим простым шагам, чтобы подать заявку на ячейку и получить к ней доступ в любом нашем отделении в Индии, Шри-Ланке, Бутане или Непале.</w:t>
      </w:r>
    </w:p>
    <w:p>
      <w:r>
        <w:pict>
          <v:rect style="width:0;height:1.5pt" o:hralign="center" o:hrstd="t" o:hr="t"/>
        </w:pict>
      </w:r>
    </w:p>
    <w:bookmarkStart w:id="9" w:name="шаг-1-проверьте-наличие-свободных-ячеек"/>
    <w:p>
      <w:pPr>
        <w:pStyle w:val="Heading2"/>
      </w:pPr>
      <w:r>
        <w:t xml:space="preserve">Шаг 1: Проверьте наличие свободных ячеек</w:t>
      </w:r>
    </w:p>
    <w:p>
      <w:pPr>
        <w:pStyle w:val="Compact"/>
        <w:numPr>
          <w:ilvl w:val="0"/>
          <w:numId w:val="1001"/>
        </w:numPr>
      </w:pPr>
      <w:r>
        <w:t xml:space="preserve">Посетите ближайшее</w:t>
      </w:r>
      <w:r>
        <w:t xml:space="preserve"> </w:t>
      </w:r>
      <w:r>
        <w:rPr>
          <w:b/>
          <w:bCs/>
        </w:rPr>
        <w:t xml:space="preserve">отделение ZX Bank</w:t>
      </w:r>
      <w:r>
        <w:t xml:space="preserve"> </w:t>
      </w:r>
      <w:r>
        <w:t xml:space="preserve">или позвоните непосредственно в отделение.</w:t>
      </w:r>
    </w:p>
    <w:p>
      <w:pPr>
        <w:pStyle w:val="Compact"/>
        <w:numPr>
          <w:ilvl w:val="0"/>
          <w:numId w:val="1001"/>
        </w:numPr>
      </w:pPr>
      <w:r>
        <w:t xml:space="preserve">Уточните размеры ячеек и их наличие.</w:t>
      </w:r>
    </w:p>
    <w:p>
      <w:pPr>
        <w:pStyle w:val="Compact"/>
        <w:numPr>
          <w:ilvl w:val="0"/>
          <w:numId w:val="1001"/>
        </w:numPr>
      </w:pPr>
      <w:r>
        <w:t xml:space="preserve">Популярные размеры: малая, средняя, большая (наличие может различаться в зависимости от местоположения).</w:t>
      </w:r>
    </w:p>
    <w:p>
      <w:r>
        <w:pict>
          <v:rect style="width:0;height:1.5pt" o:hralign="center" o:hrstd="t" o:hr="t"/>
        </w:pict>
      </w:r>
    </w:p>
    <w:bookmarkEnd w:id="9"/>
    <w:bookmarkStart w:id="10" w:name="шаг-2-требования-к-заявителю"/>
    <w:p>
      <w:pPr>
        <w:pStyle w:val="Heading2"/>
      </w:pPr>
      <w:r>
        <w:t xml:space="preserve">Шаг 2: Требования к заявителю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Действующий клиент ZX Bank:</w:t>
      </w:r>
      <w:r>
        <w:t xml:space="preserve"> </w:t>
      </w:r>
      <w:r>
        <w:t xml:space="preserve">у вас должен быть сберегательный или расчётный счёт (или его нужно открыть).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Соответствие требованиям KYC:</w:t>
      </w:r>
      <w:r>
        <w:t xml:space="preserve"> </w:t>
      </w:r>
      <w:r>
        <w:t xml:space="preserve">убедитесь, что ваши данные KYC («Знай своего клиента») актуальны.</w:t>
      </w:r>
    </w:p>
    <w:p>
      <w:pPr>
        <w:pStyle w:val="Compact"/>
        <w:numPr>
          <w:ilvl w:val="1"/>
          <w:numId w:val="1003"/>
        </w:numPr>
      </w:pPr>
      <w:r>
        <w:t xml:space="preserve">Действующий документ с фотографией, удостоверяющий личность (Aadhaar/паспорт/водительское удостоверение)</w:t>
      </w:r>
    </w:p>
    <w:p>
      <w:pPr>
        <w:pStyle w:val="Compact"/>
        <w:numPr>
          <w:ilvl w:val="1"/>
          <w:numId w:val="1003"/>
        </w:numPr>
      </w:pPr>
      <w:r>
        <w:t xml:space="preserve">Документ, подтверждающий адрес</w:t>
      </w:r>
    </w:p>
    <w:p>
      <w:pPr>
        <w:pStyle w:val="Compact"/>
        <w:numPr>
          <w:ilvl w:val="1"/>
          <w:numId w:val="1003"/>
        </w:numPr>
      </w:pPr>
      <w:r>
        <w:t xml:space="preserve">Недавняя фотография паспортного формата</w:t>
      </w:r>
    </w:p>
    <w:p>
      <w:r>
        <w:pict>
          <v:rect style="width:0;height:1.5pt" o:hralign="center" o:hrstd="t" o:hr="t"/>
        </w:pict>
      </w:r>
    </w:p>
    <w:bookmarkEnd w:id="10"/>
    <w:bookmarkStart w:id="11" w:name="шаг-3-порядок-оформления-ячейки"/>
    <w:p>
      <w:pPr>
        <w:pStyle w:val="Heading2"/>
      </w:pPr>
      <w:r>
        <w:t xml:space="preserve">Шаг 3: Порядок оформления ячейки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Посетите отделение:</w:t>
      </w:r>
      <w:r>
        <w:t xml:space="preserve"> </w:t>
      </w:r>
      <w:r>
        <w:t xml:space="preserve">возьмите с собой оригиналы документов и их копии.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Заполните заявление:</w:t>
      </w:r>
      <w:r>
        <w:t xml:space="preserve"> </w:t>
      </w:r>
      <w:r>
        <w:t xml:space="preserve">запросите в отделении «Заявление на предоставление банковской ячейки» и заполните его.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Предоставьте документы для идентификации (KYC):</w:t>
      </w:r>
      <w:r>
        <w:t xml:space="preserve"> </w:t>
      </w:r>
      <w:r>
        <w:t xml:space="preserve">приложите к заявлению необходимые документы для идентификации (KYC).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Договор на ячейку:</w:t>
      </w:r>
      <w:r>
        <w:t xml:space="preserve"> </w:t>
      </w:r>
      <w:r>
        <w:t xml:space="preserve">ознакомьтесь с договором аренды ячейки, предоставленным банком, и подпишите его.</w:t>
      </w:r>
    </w:p>
    <w:p>
      <w:r>
        <w:pict>
          <v:rect style="width:0;height:1.5pt" o:hralign="center" o:hrstd="t" o:hr="t"/>
        </w:pict>
      </w:r>
    </w:p>
    <w:bookmarkEnd w:id="11"/>
    <w:bookmarkStart w:id="12" w:name="Xc7857cd997cce9791f136674496c43e6dd6aafd"/>
    <w:p>
      <w:pPr>
        <w:pStyle w:val="Heading2"/>
      </w:pPr>
      <w:r>
        <w:t xml:space="preserve">Шаг 4: Гарантийный депозит и оплата аренды</w:t>
      </w:r>
    </w:p>
    <w:p>
      <w:pPr>
        <w:pStyle w:val="Compact"/>
        <w:numPr>
          <w:ilvl w:val="0"/>
          <w:numId w:val="1005"/>
        </w:numPr>
      </w:pPr>
      <w:r>
        <w:t xml:space="preserve">Внесите</w:t>
      </w:r>
      <w:r>
        <w:t xml:space="preserve"> </w:t>
      </w:r>
      <w:r>
        <w:rPr>
          <w:b/>
          <w:bCs/>
        </w:rPr>
        <w:t xml:space="preserve">возвратный гарантийный депозит</w:t>
      </w:r>
      <w:r>
        <w:t xml:space="preserve"> </w:t>
      </w:r>
      <w:r>
        <w:t xml:space="preserve">(арендная плата за ячейку может различаться в зависимости от размера ячейки и города).</w:t>
      </w:r>
    </w:p>
    <w:p>
      <w:pPr>
        <w:pStyle w:val="Compact"/>
        <w:numPr>
          <w:ilvl w:val="0"/>
          <w:numId w:val="1005"/>
        </w:numPr>
      </w:pPr>
      <w:r>
        <w:t xml:space="preserve">Арендная плата за ячейку, как правило, вносится</w:t>
      </w:r>
      <w:r>
        <w:t xml:space="preserve"> </w:t>
      </w:r>
      <w:r>
        <w:rPr>
          <w:b/>
          <w:bCs/>
        </w:rPr>
        <w:t xml:space="preserve">ежегодно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Оплатить можно наличными, чеком или прямым банковским переводом.</w:t>
      </w:r>
    </w:p>
    <w:p>
      <w:r>
        <w:pict>
          <v:rect style="width:0;height:1.5pt" o:hralign="center" o:hrstd="t" o:hr="t"/>
        </w:pict>
      </w:r>
    </w:p>
    <w:bookmarkEnd w:id="12"/>
    <w:bookmarkStart w:id="13" w:name="X070fced1709e1bd90bb1af5bf9335c9eee6a104"/>
    <w:p>
      <w:pPr>
        <w:pStyle w:val="Heading2"/>
      </w:pPr>
      <w:r>
        <w:t xml:space="preserve">Шаг 5: Предоставление ячейки и доступ к ней</w:t>
      </w:r>
    </w:p>
    <w:p>
      <w:pPr>
        <w:pStyle w:val="Compact"/>
        <w:numPr>
          <w:ilvl w:val="0"/>
          <w:numId w:val="1006"/>
        </w:numPr>
      </w:pPr>
      <w:r>
        <w:t xml:space="preserve">После одобрения вам будет присвоен номер ячейки.</w:t>
      </w:r>
    </w:p>
    <w:p>
      <w:pPr>
        <w:pStyle w:val="Compact"/>
        <w:numPr>
          <w:ilvl w:val="0"/>
          <w:numId w:val="1006"/>
        </w:numPr>
      </w:pPr>
      <w:r>
        <w:t xml:space="preserve">Получите</w:t>
      </w:r>
      <w:r>
        <w:t xml:space="preserve"> </w:t>
      </w:r>
      <w:r>
        <w:rPr>
          <w:b/>
          <w:bCs/>
        </w:rPr>
        <w:t xml:space="preserve">ключи от ячейки</w:t>
      </w:r>
      <w:r>
        <w:t xml:space="preserve"> </w:t>
      </w:r>
      <w:r>
        <w:t xml:space="preserve">(обычно два ключа; банк не хранит дубликаты).</w:t>
      </w:r>
    </w:p>
    <w:p>
      <w:pPr>
        <w:pStyle w:val="Compact"/>
        <w:numPr>
          <w:ilvl w:val="0"/>
          <w:numId w:val="1006"/>
        </w:numPr>
      </w:pPr>
      <w:r>
        <w:t xml:space="preserve">Сотрудник банка покажет, где находится ячейка, и объяснит порядок пользования ею.</w:t>
      </w:r>
    </w:p>
    <w:p>
      <w:r>
        <w:pict>
          <v:rect style="width:0;height:1.5pt" o:hralign="center" o:hrstd="t" o:hr="t"/>
        </w:pict>
      </w:r>
    </w:p>
    <w:bookmarkEnd w:id="13"/>
    <w:bookmarkStart w:id="14" w:name="шаг-6-пользование-ячейкой"/>
    <w:p>
      <w:pPr>
        <w:pStyle w:val="Heading2"/>
      </w:pPr>
      <w:r>
        <w:t xml:space="preserve">Шаг 6: Пользование ячейкой</w:t>
      </w:r>
    </w:p>
    <w:p>
      <w:pPr>
        <w:pStyle w:val="Compact"/>
        <w:numPr>
          <w:ilvl w:val="0"/>
          <w:numId w:val="1007"/>
        </w:numPr>
      </w:pPr>
      <w:r>
        <w:t xml:space="preserve">Доступ к ячейке возможен</w:t>
      </w:r>
      <w:r>
        <w:t xml:space="preserve"> </w:t>
      </w:r>
      <w:r>
        <w:rPr>
          <w:b/>
          <w:bCs/>
        </w:rPr>
        <w:t xml:space="preserve">в часы работы отделения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Приходите в отделение с ключами от ячейки и действующим документом, удостоверяющим личность.</w:t>
      </w:r>
    </w:p>
    <w:p>
      <w:pPr>
        <w:pStyle w:val="Compact"/>
        <w:numPr>
          <w:ilvl w:val="0"/>
          <w:numId w:val="1007"/>
        </w:numPr>
      </w:pPr>
      <w:r>
        <w:t xml:space="preserve">Каждый раз при посещении ячейки расписывайтесь в</w:t>
      </w:r>
      <w:r>
        <w:t xml:space="preserve"> </w:t>
      </w:r>
      <w:r>
        <w:rPr>
          <w:b/>
          <w:bCs/>
        </w:rPr>
        <w:t xml:space="preserve">журнале посещения ячеек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Все операции с ячейкой проводятся конфиденциально в зоне хранилища.</w:t>
      </w:r>
    </w:p>
    <w:p>
      <w:r>
        <w:pict>
          <v:rect style="width:0;height:1.5pt" o:hralign="center" o:hrstd="t" o:hr="t"/>
        </w:pict>
      </w:r>
    </w:p>
    <w:bookmarkEnd w:id="14"/>
    <w:bookmarkStart w:id="15" w:name="дополнительные-рекомендации"/>
    <w:p>
      <w:pPr>
        <w:pStyle w:val="Heading2"/>
      </w:pPr>
      <w:r>
        <w:t xml:space="preserve">Дополнительные рекомендации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Назначение выгодоприобретателя:</w:t>
      </w:r>
      <w:r>
        <w:t xml:space="preserve"> </w:t>
      </w:r>
      <w:r>
        <w:t xml:space="preserve">настоятельно рекомендуем назначить выгодоприобретателя по вашей ячейке.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Совместная ячейка:</w:t>
      </w:r>
      <w:r>
        <w:t xml:space="preserve"> </w:t>
      </w:r>
      <w:r>
        <w:t xml:space="preserve">вы можете оформить совместную ячейку с другим владельцем счёта.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Утеря ключа:</w:t>
      </w:r>
      <w:r>
        <w:t xml:space="preserve"> </w:t>
      </w:r>
      <w:r>
        <w:t xml:space="preserve">немедленно сообщите в банк; за изготовление дубликата ключа или вскрытие замка взимается плата.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Ежегодная арендная плата:</w:t>
      </w:r>
      <w:r>
        <w:t xml:space="preserve"> </w:t>
      </w:r>
      <w:r>
        <w:t xml:space="preserve">вносите ежегодную арендную плату вовремя, чтобы избежать штрафов за просрочку или блокировки ячейки.</w:t>
      </w:r>
    </w:p>
    <w:p>
      <w:r>
        <w:pict>
          <v:rect style="width:0;height:1.5pt" o:hralign="center" o:hrstd="t" o:hr="t"/>
        </w:pict>
      </w:r>
    </w:p>
    <w:bookmarkEnd w:id="15"/>
    <w:bookmarkStart w:id="17" w:name="куда-обратиться-за-помощью"/>
    <w:p>
      <w:pPr>
        <w:pStyle w:val="Heading2"/>
      </w:pPr>
      <w:r>
        <w:t xml:space="preserve">Куда обратиться за помощью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Посетите:</w:t>
      </w:r>
      <w:r>
        <w:t xml:space="preserve"> </w:t>
      </w:r>
      <w:r>
        <w:t xml:space="preserve">ближайшее отделение ZX Bank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Сайт:</w:t>
      </w:r>
      <w:r>
        <w:t xml:space="preserve"> </w:t>
      </w:r>
      <w:hyperlink r:id="rId16">
        <w:r>
          <w:rPr>
            <w:rStyle w:val="Hyperlink"/>
          </w:rPr>
          <w:t xml:space="preserve">www.zxbank.asia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Служба поддержки клиентов:</w:t>
      </w:r>
      <w:r>
        <w:t xml:space="preserve"> </w:t>
      </w:r>
      <w:r>
        <w:t xml:space="preserve">контакты указаны в разделе «Контакты» на официальном сайте или в мобильном приложении</w:t>
      </w:r>
    </w:p>
    <w:p>
      <w:pPr>
        <w:pStyle w:val="BlockText"/>
      </w:pPr>
      <w:r>
        <w:rPr>
          <w:b/>
          <w:bCs/>
        </w:rPr>
        <w:t xml:space="preserve">Храните ценности в ZX Bank — надёжно и без забот!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2026-09-27T11:01:08Z</dcterms:created>
  <dcterms:modified xsi:type="dcterms:W3CDTF">2026-09-27T11:01:08Z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