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кредит-под-залог-золота-zx-bank"/>
    <w:p>
      <w:pPr>
        <w:pStyle w:val="Heading1"/>
      </w:pPr>
      <w:r>
        <w:t xml:space="preserve">Кредит под залог золота ZX Bank</w:t>
      </w:r>
    </w:p>
    <w:p>
      <w:pPr>
        <w:pStyle w:val="FirstParagraph"/>
      </w:pPr>
      <w:r>
        <w:t xml:space="preserve">ZX Bank предлагает гибкие кредиты под залог золота: клиенты быстро получают доступ к средствам, передавая в залог свои золотые украшения. Наши кредиты под залог золота предназначены для тех, кому нужны деньги немедленно — на нужды бизнеса, в экстренных ситуациях, на образование или на любые личные цели.</w:t>
      </w:r>
    </w:p>
    <w:p>
      <w:r>
        <w:pict>
          <v:rect style="width:0;height:1.5pt" o:hralign="center" o:hrstd="t" o:hr="t"/>
        </w:pict>
      </w:r>
    </w:p>
    <w:bookmarkStart w:id="9" w:name="X9814f2c8fe9f2636a2305089e0048f6eaaf2340"/>
    <w:p>
      <w:pPr>
        <w:pStyle w:val="Heading2"/>
      </w:pPr>
      <w:r>
        <w:rPr>
          <w:b/>
          <w:bCs/>
        </w:rPr>
        <w:t xml:space="preserve">Особенности кредита под залог золота ZX Bank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Быстрое оформление:</w:t>
      </w:r>
      <w:r>
        <w:t xml:space="preserve"> </w:t>
      </w:r>
      <w:r>
        <w:t xml:space="preserve">выдача кредита в день обращения в отделение, минимум документов и мгновенное одобрение.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Безопасное хранение:</w:t>
      </w:r>
      <w:r>
        <w:t xml:space="preserve"> </w:t>
      </w:r>
      <w:r>
        <w:t xml:space="preserve">ваши золотые украшения надёжно хранятся в банковских хранилищах.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Гибкое погашение:</w:t>
      </w:r>
      <w:r>
        <w:t xml:space="preserve"> </w:t>
      </w:r>
      <w:r>
        <w:t xml:space="preserve">выбор срока и вариантов погашения.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Цифровое отслеживание:</w:t>
      </w:r>
      <w:r>
        <w:t xml:space="preserve"> </w:t>
      </w:r>
      <w:r>
        <w:t xml:space="preserve">управляйте кредитом и погашайте его в мобильном приложении ZX Bank Asia.</w:t>
      </w:r>
    </w:p>
    <w:p>
      <w:r>
        <w:pict>
          <v:rect style="width:0;height:1.5pt" o:hralign="center" o:hrstd="t" o:hr="t"/>
        </w:pict>
      </w:r>
    </w:p>
    <w:bookmarkEnd w:id="9"/>
    <w:bookmarkStart w:id="10" w:name="процентная-ставка"/>
    <w:p>
      <w:pPr>
        <w:pStyle w:val="Heading2"/>
      </w:pPr>
      <w:r>
        <w:rPr>
          <w:b/>
          <w:bCs/>
        </w:rPr>
        <w:t xml:space="preserve">Процентная ставка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Начальная ставка:</w:t>
      </w:r>
      <w:r>
        <w:t xml:space="preserve"> </w:t>
      </w:r>
      <w:r>
        <w:rPr>
          <w:b/>
          <w:bCs/>
          <w:i/>
          <w:iCs/>
        </w:rPr>
        <w:t xml:space="preserve">9.5% годовых</w:t>
      </w:r>
      <w:r>
        <w:t xml:space="preserve"> </w:t>
      </w:r>
      <w:r>
        <w:t xml:space="preserve">(плавающая, может меняться в зависимости от действующих ставок банка и срока кредита)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Комиссия за оформление кредита:</w:t>
      </w:r>
      <w:r>
        <w:t xml:space="preserve"> </w:t>
      </w:r>
      <w:r>
        <w:rPr>
          <w:i/>
          <w:iCs/>
        </w:rPr>
        <w:t xml:space="preserve">0.25% от суммы кредита или ₹250 (в зависимости от того, что больше)</w:t>
      </w:r>
    </w:p>
    <w:p>
      <w:pPr>
        <w:pStyle w:val="FirstParagraph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фактическая процентная ставка может различаться в зависимости от пробы золота, рыночных ставок и суммы кредита.</w:t>
      </w:r>
    </w:p>
    <w:p>
      <w:r>
        <w:pict>
          <v:rect style="width:0;height:1.5pt" o:hralign="center" o:hrstd="t" o:hr="t"/>
        </w:pict>
      </w:r>
    </w:p>
    <w:bookmarkEnd w:id="10"/>
    <w:bookmarkStart w:id="11" w:name="максимальная-сумма-кредита"/>
    <w:p>
      <w:pPr>
        <w:pStyle w:val="Heading2"/>
      </w:pPr>
      <w:r>
        <w:rPr>
          <w:b/>
          <w:bCs/>
        </w:rPr>
        <w:t xml:space="preserve">Максимальная сумма кредита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До ₹50 лакхов (Индия)</w:t>
      </w:r>
    </w:p>
    <w:p>
      <w:pPr>
        <w:pStyle w:val="Compact"/>
        <w:numPr>
          <w:ilvl w:val="0"/>
          <w:numId w:val="1003"/>
        </w:numPr>
      </w:pPr>
      <w:r>
        <w:t xml:space="preserve">Другие страны (Шри-Ланка, Непал, Бутан, Бангладеш): эквивалент в местной валюте в пределах регуляторного максимума, установленного банком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Соотношение кредита и стоимости залога (LTV):</w:t>
      </w:r>
      <w:r>
        <w:t xml:space="preserve"> </w:t>
      </w:r>
      <w:r>
        <w:t xml:space="preserve">до 75% рыночной стоимости золота в соответствии с требованиями Резервного банка Индии (RBI)</w:t>
      </w:r>
    </w:p>
    <w:p>
      <w:r>
        <w:pict>
          <v:rect style="width:0;height:1.5pt" o:hralign="center" o:hrstd="t" o:hr="t"/>
        </w:pict>
      </w:r>
    </w:p>
    <w:bookmarkEnd w:id="11"/>
    <w:bookmarkStart w:id="12" w:name="необходимые-документы"/>
    <w:p>
      <w:pPr>
        <w:pStyle w:val="Heading2"/>
      </w:pPr>
      <w:r>
        <w:rPr>
          <w:b/>
          <w:bCs/>
        </w:rPr>
        <w:t xml:space="preserve">Необходимые документы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Документ, удостоверяющий личность</w:t>
      </w:r>
      <w:r>
        <w:t xml:space="preserve"> </w:t>
      </w:r>
      <w:r>
        <w:rPr>
          <w:i/>
          <w:iCs/>
        </w:rPr>
        <w:t xml:space="preserve">(любой из следующих):</w:t>
      </w:r>
    </w:p>
    <w:p>
      <w:pPr>
        <w:pStyle w:val="Compact"/>
        <w:numPr>
          <w:ilvl w:val="1"/>
          <w:numId w:val="1005"/>
        </w:numPr>
      </w:pPr>
      <w:r>
        <w:t xml:space="preserve">Карта Aadhaar</w:t>
      </w:r>
    </w:p>
    <w:p>
      <w:pPr>
        <w:pStyle w:val="Compact"/>
        <w:numPr>
          <w:ilvl w:val="1"/>
          <w:numId w:val="1005"/>
        </w:numPr>
      </w:pPr>
      <w:r>
        <w:t xml:space="preserve">Паспорт</w:t>
      </w:r>
    </w:p>
    <w:p>
      <w:pPr>
        <w:pStyle w:val="Compact"/>
        <w:numPr>
          <w:ilvl w:val="1"/>
          <w:numId w:val="1005"/>
        </w:numPr>
      </w:pPr>
      <w:r>
        <w:t xml:space="preserve">Удостоверение избирателя</w:t>
      </w:r>
    </w:p>
    <w:p>
      <w:pPr>
        <w:pStyle w:val="Compact"/>
        <w:numPr>
          <w:ilvl w:val="1"/>
          <w:numId w:val="1005"/>
        </w:numPr>
      </w:pPr>
      <w:r>
        <w:t xml:space="preserve">Водительское удостоверение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Документ, подтверждающий адрес</w:t>
      </w:r>
      <w:r>
        <w:t xml:space="preserve"> </w:t>
      </w:r>
      <w:r>
        <w:rPr>
          <w:i/>
          <w:iCs/>
        </w:rPr>
        <w:t xml:space="preserve">(любой из следующих):</w:t>
      </w:r>
    </w:p>
    <w:p>
      <w:pPr>
        <w:pStyle w:val="Compact"/>
        <w:numPr>
          <w:ilvl w:val="1"/>
          <w:numId w:val="1006"/>
        </w:numPr>
      </w:pPr>
      <w:r>
        <w:t xml:space="preserve">Карта Aadhaar</w:t>
      </w:r>
    </w:p>
    <w:p>
      <w:pPr>
        <w:pStyle w:val="Compact"/>
        <w:numPr>
          <w:ilvl w:val="1"/>
          <w:numId w:val="1006"/>
        </w:numPr>
      </w:pPr>
      <w:r>
        <w:t xml:space="preserve">Квитанция за коммунальные услуги (не старше 3 месяцев)</w:t>
      </w:r>
    </w:p>
    <w:p>
      <w:pPr>
        <w:pStyle w:val="Compact"/>
        <w:numPr>
          <w:ilvl w:val="1"/>
          <w:numId w:val="1006"/>
        </w:numPr>
      </w:pPr>
      <w:r>
        <w:t xml:space="preserve">Паспорт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Недавняя фотография паспортного формата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Золото/украшения для залога</w:t>
      </w:r>
      <w:r>
        <w:t xml:space="preserve"> </w:t>
      </w:r>
      <w:r>
        <w:t xml:space="preserve">(только изделия с пробирным клеймом/ювелирные украшения)</w:t>
      </w:r>
    </w:p>
    <w:p>
      <w:r>
        <w:pict>
          <v:rect style="width:0;height:1.5pt" o:hralign="center" o:hrstd="t" o:hr="t"/>
        </w:pict>
      </w:r>
    </w:p>
    <w:bookmarkEnd w:id="12"/>
    <w:bookmarkStart w:id="13" w:name="как-оформить"/>
    <w:p>
      <w:pPr>
        <w:pStyle w:val="Heading2"/>
      </w:pPr>
      <w:r>
        <w:rPr>
          <w:b/>
          <w:bCs/>
        </w:rPr>
        <w:t xml:space="preserve">Как оформить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Лично</w:t>
      </w:r>
      <w:r>
        <w:t xml:space="preserve">: в любом отделении ZX Bank — возьмите с собой золотые украшения и необходимые документы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Онлайн-заявка</w:t>
      </w:r>
      <w:r>
        <w:t xml:space="preserve">: подайте заявку в мобильном приложении ZX Bank Asia, чтобы получить предварительное одобрение онлайн и записаться на визит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Быстрая выдача кредита</w:t>
      </w:r>
      <w:r>
        <w:t xml:space="preserve">: сумма кредита зачисляется на ваш счёт в течение нескольких минут после оценки золота и оформления документов</w:t>
      </w:r>
    </w:p>
    <w:p>
      <w:r>
        <w:pict>
          <v:rect style="width:0;height:1.5pt" o:hralign="center" o:hrstd="t" o:hr="t"/>
        </w:pict>
      </w:r>
    </w:p>
    <w:bookmarkEnd w:id="13"/>
    <w:bookmarkStart w:id="15" w:name="свяжитесь-с-нами"/>
    <w:p>
      <w:pPr>
        <w:pStyle w:val="Heading2"/>
      </w:pPr>
      <w:r>
        <w:rPr>
          <w:b/>
          <w:bCs/>
        </w:rPr>
        <w:t xml:space="preserve">Свяжитесь с нами</w:t>
      </w:r>
    </w:p>
    <w:p>
      <w:pPr>
        <w:pStyle w:val="FirstParagraph"/>
      </w:pPr>
      <w:r>
        <w:t xml:space="preserve">Подробная информация — на сайте</w:t>
      </w:r>
      <w:r>
        <w:t xml:space="preserve"> </w:t>
      </w:r>
      <w:hyperlink r:id="rId14">
        <w:r>
          <w:rPr>
            <w:rStyle w:val="Hyperlink"/>
          </w:rPr>
          <w:t xml:space="preserve">www.zxbank.asia</w:t>
        </w:r>
      </w:hyperlink>
      <w:r>
        <w:t xml:space="preserve">; также вы можете написать нашему ИИ-ассистенту</w:t>
      </w:r>
      <w:r>
        <w:t xml:space="preserve"> </w:t>
      </w:r>
      <w:r>
        <w:rPr>
          <w:b/>
          <w:bCs/>
        </w:rPr>
        <w:t xml:space="preserve">«Zia»</w:t>
      </w:r>
      <w:r>
        <w:t xml:space="preserve"> </w:t>
      </w:r>
      <w:r>
        <w:t xml:space="preserve">в мобильном приложении ZX Bank Asia.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Действуют условия и положения. Решение о выдаче кредита принимается исключительно по усмотрению ZX Bank Ltd. Выдача зависит от результатов пробирного анализа золота, проверки его пробы и документов.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://www.zxbank.asi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www.zxbank.as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2026-09-27T11:01:25Z</dcterms:created>
  <dcterms:modified xsi:type="dcterms:W3CDTF">2026-09-27T11:01:25Z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