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Teacher Key Performance Indicators 2026-27</w:t>
      </w:r>
    </w:p>
    <w:p>
      <w:r>
        <w:t xml:space="preserve">1. Lesson planning: lessons follow the approved planner and state clear learning objectives at the start.</w:t>
      </w:r>
    </w:p>
    <w:p>
      <w:r>
        <w:t xml:space="preserve">2. Questioning: teacher uses open-ended questions and checks understanding of at least 5 students per lesson.</w:t>
      </w:r>
    </w:p>
    <w:p>
      <w:r>
        <w:t xml:space="preserve">3. Classroom management: routines are clear; disruptions are handled calmly without losing instructional time.</w:t>
      </w:r>
    </w:p>
    <w:p>
      <w:r>
        <w:t xml:space="preserve">4. Language: English is the medium of instruction; Urdu may be used to clarify difficult concepts.</w:t>
      </w:r>
    </w:p>
    <w:p>
      <w:r>
        <w:t xml:space="preserve">5. Student engagement: all students participate; teacher circulates and supports weaker learners.</w:t>
      </w:r>
    </w:p>
  </w:body>
</w:document>
</file>