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AcmeCRM User Manual</w:t>
      </w:r>
    </w:p>
    <w:p>
      <w:pPr>
        <w:spacing w:after="200"/>
      </w:pPr>
      <w:r>
        <w:t xml:space="preserve">This manual covers day-to-day usage of AcmeCRM for sales reps and workspace admins.</w:t>
      </w:r>
    </w:p>
    <w:p>
      <w:pPr>
        <w:pStyle w:val="Heading1"/>
      </w:pPr>
      <w:r>
        <w:t xml:space="preserve">1. Managing Contacts</w:t>
      </w:r>
    </w:p>
    <w:p>
      <w:pPr>
        <w:spacing w:after="200"/>
      </w:pPr>
      <w:r>
        <w:t xml:space="preserve">Contacts are managed under the Contacts tab. Each contact record includes name, email, company, custom fields, and a full activity timeline showing emails, notes, and deal history.</w:t>
      </w:r>
    </w:p>
    <w:p>
      <w:pPr>
        <w:spacing w:after="200"/>
      </w:pPr>
      <w:r>
        <w:t xml:space="preserve">To add a contact manually, click New Contact. To add many at once, use Contacts &gt; Import, which accepts CSV or XLSX files. See the Onboarding Guide for column-mapping details.</w:t>
      </w:r>
    </w:p>
    <w:p>
      <w:pPr>
        <w:pStyle w:val="Heading1"/>
      </w:pPr>
      <w:r>
        <w:t xml:space="preserve">2. Working with Deals</w:t>
      </w:r>
    </w:p>
    <w:p>
      <w:pPr>
        <w:spacing w:after="200"/>
      </w:pPr>
      <w:r>
        <w:t xml:space="preserve">Deals represent sales opportunities and move through a pipeline of stages. The default pipeline is New, Qualified, Proposal, Negotiation, Closed Won, and Closed Lost. Admins can customize these stages under Deals &gt; Pipeline Settings.</w:t>
      </w:r>
    </w:p>
    <w:p>
      <w:pPr>
        <w:spacing w:after="200"/>
      </w:pPr>
      <w:r>
        <w:t xml:space="preserve">Drag a deal card between columns to update its stage. Each stage change is logged and can trigger an Automation, such as a Slack notification.</w:t>
      </w:r>
    </w:p>
    <w:p>
      <w:pPr>
        <w:pStyle w:val="Heading1"/>
      </w:pPr>
      <w:r>
        <w:t xml:space="preserve">3. Plan Limits Reference</w:t>
      </w:r>
    </w:p>
    <w:p>
      <w:pPr>
        <w:spacing w:after="200"/>
      </w:pPr>
      <w:r>
        <w:t xml:space="preserve">The table below summarizes the limits that affect day-to-day usage. Full pricing is covered separately in the Billing Policy.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222222" w:val="clear"/>
          </w:tcPr>
          <w:p>
            <w:r>
              <w:rPr>
                <w:b/>
                <w:bCs/>
                <w:color w:val="FFFFFF"/>
              </w:rPr>
              <w:t xml:space="preserve">Plan</w:t>
            </w:r>
          </w:p>
        </w:tc>
        <w:tc>
          <w:tcPr>
            <w:tcW w:type="dxa" w:w="2500"/>
            <w:shd w:fill="222222" w:val="clear"/>
          </w:tcPr>
          <w:p>
            <w:r>
              <w:rPr>
                <w:b/>
                <w:bCs/>
                <w:color w:val="FFFFFF"/>
              </w:rPr>
              <w:t xml:space="preserve">Contacts</w:t>
            </w:r>
          </w:p>
        </w:tc>
        <w:tc>
          <w:tcPr>
            <w:tcW w:type="dxa" w:w="2500"/>
            <w:shd w:fill="222222" w:val="clear"/>
          </w:tcPr>
          <w:p>
            <w:r>
              <w:rPr>
                <w:b/>
                <w:bCs/>
                <w:color w:val="FFFFFF"/>
              </w:rPr>
              <w:t xml:space="preserve">Users</w:t>
            </w:r>
          </w:p>
        </w:tc>
        <w:tc>
          <w:tcPr>
            <w:tcW w:type="dxa" w:w="2500"/>
            <w:shd w:fill="222222" w:val="clear"/>
          </w:tcPr>
          <w:p>
            <w:r>
              <w:rPr>
                <w:b/>
                <w:bCs/>
                <w:color w:val="FFFFFF"/>
              </w:rPr>
              <w:t xml:space="preserve">API Access</w:t>
            </w:r>
          </w:p>
        </w:tc>
      </w:tr>
      <w:tr>
        <w:tc>
          <w:tcPr>
            <w:tcW w:type="dxa" w:w="2500"/>
          </w:tcPr>
          <w:p>
            <w:r>
              <w:rPr>
                <w:b w:val="false"/>
                <w:bCs w:val="false"/>
                <w:color w:val="000000"/>
              </w:rPr>
              <w:t xml:space="preserve">Starter</w:t>
            </w:r>
          </w:p>
        </w:tc>
        <w:tc>
          <w:tcPr>
            <w:tcW w:type="dxa" w:w="2500"/>
          </w:tcPr>
          <w:p>
            <w:r>
              <w:rPr>
                <w:b w:val="false"/>
                <w:bCs w:val="false"/>
                <w:color w:val="000000"/>
              </w:rPr>
              <w:t xml:space="preserve">1,000</w:t>
            </w:r>
          </w:p>
        </w:tc>
        <w:tc>
          <w:tcPr>
            <w:tcW w:type="dxa" w:w="2500"/>
          </w:tcPr>
          <w:p>
            <w:r>
              <w:rPr>
                <w:b w:val="false"/>
                <w:bCs w:val="false"/>
                <w:color w:val="000000"/>
              </w:rPr>
              <w:t xml:space="preserve">3</w:t>
            </w:r>
          </w:p>
        </w:tc>
        <w:tc>
          <w:tcPr>
            <w:tcW w:type="dxa" w:w="2500"/>
          </w:tcPr>
          <w:p>
            <w:r>
              <w:rPr>
                <w:b w:val="false"/>
                <w:bCs w:val="false"/>
                <w:color w:val="000000"/>
              </w:rPr>
              <w:t xml:space="preserve">No</w:t>
            </w:r>
          </w:p>
        </w:tc>
      </w:tr>
      <w:tr>
        <w:tc>
          <w:tcPr>
            <w:tcW w:type="dxa" w:w="2500"/>
          </w:tcPr>
          <w:p>
            <w:r>
              <w:rPr>
                <w:b w:val="false"/>
                <w:bCs w:val="false"/>
                <w:color w:val="000000"/>
              </w:rPr>
              <w:t xml:space="preserve">Professional</w:t>
            </w:r>
          </w:p>
        </w:tc>
        <w:tc>
          <w:tcPr>
            <w:tcW w:type="dxa" w:w="2500"/>
          </w:tcPr>
          <w:p>
            <w:r>
              <w:rPr>
                <w:b w:val="false"/>
                <w:bCs w:val="false"/>
                <w:color w:val="000000"/>
              </w:rPr>
              <w:t xml:space="preserve">25,000</w:t>
            </w:r>
          </w:p>
        </w:tc>
        <w:tc>
          <w:tcPr>
            <w:tcW w:type="dxa" w:w="2500"/>
          </w:tcPr>
          <w:p>
            <w:r>
              <w:rPr>
                <w:b w:val="false"/>
                <w:bCs w:val="false"/>
                <w:color w:val="000000"/>
              </w:rPr>
              <w:t xml:space="preserve">10</w:t>
            </w:r>
          </w:p>
        </w:tc>
        <w:tc>
          <w:tcPr>
            <w:tcW w:type="dxa" w:w="2500"/>
          </w:tcPr>
          <w:p>
            <w:r>
              <w:rPr>
                <w:b w:val="false"/>
                <w:bCs w:val="false"/>
                <w:color w:val="000000"/>
              </w:rPr>
              <w:t xml:space="preserve">Yes</w:t>
            </w:r>
          </w:p>
        </w:tc>
      </w:tr>
      <w:tr>
        <w:tc>
          <w:tcPr>
            <w:tcW w:type="dxa" w:w="2500"/>
          </w:tcPr>
          <w:p>
            <w:r>
              <w:rPr>
                <w:b w:val="false"/>
                <w:bCs w:val="false"/>
                <w:color w:val="000000"/>
              </w:rPr>
              <w:t xml:space="preserve">Enterprise</w:t>
            </w:r>
          </w:p>
        </w:tc>
        <w:tc>
          <w:tcPr>
            <w:tcW w:type="dxa" w:w="2500"/>
          </w:tcPr>
          <w:p>
            <w:r>
              <w:rPr>
                <w:b w:val="false"/>
                <w:bCs w:val="false"/>
                <w:color w:val="000000"/>
              </w:rPr>
              <w:t xml:space="preserve">Unlimited</w:t>
            </w:r>
          </w:p>
        </w:tc>
        <w:tc>
          <w:tcPr>
            <w:tcW w:type="dxa" w:w="2500"/>
          </w:tcPr>
          <w:p>
            <w:r>
              <w:rPr>
                <w:b w:val="false"/>
                <w:bCs w:val="false"/>
                <w:color w:val="000000"/>
              </w:rPr>
              <w:t xml:space="preserve">Unlimited</w:t>
            </w:r>
          </w:p>
        </w:tc>
        <w:tc>
          <w:tcPr>
            <w:tcW w:type="dxa" w:w="2500"/>
          </w:tcPr>
          <w:p>
            <w:r>
              <w:rPr>
                <w:b w:val="false"/>
                <w:bCs w:val="false"/>
                <w:color w:val="000000"/>
              </w:rPr>
              <w:t xml:space="preserve">Yes</w:t>
            </w:r>
          </w:p>
        </w:tc>
      </w:tr>
    </w:tbl>
    <w:p>
      <w:pPr>
        <w:spacing w:after="200"/>
      </w:pPr>
    </w:p>
    <w:p>
      <w:pPr>
        <w:pStyle w:val="Heading1"/>
      </w:pPr>
      <w:r>
        <w:t xml:space="preserve">4. Automations</w:t>
      </w:r>
    </w:p>
    <w:p>
      <w:pPr>
        <w:spacing w:after="200"/>
      </w:pPr>
      <w:r>
        <w:t xml:space="preserve">Automations are rule-based workflows: a trigger (e.g. deal stage changed) paired with an action (e.g. send Slack message, send email, update a field). Automations are configured under Settings &gt; Automations and are available on all plans.</w:t>
      </w:r>
    </w:p>
    <w:p>
      <w:pPr>
        <w:pStyle w:val="Heading1"/>
      </w:pPr>
      <w:r>
        <w:t xml:space="preserve">5. Reporting</w:t>
      </w:r>
    </w:p>
    <w:p>
      <w:pPr>
        <w:spacing w:after="200"/>
      </w:pPr>
      <w:r>
        <w:t xml:space="preserve">The Reports tab includes prebuilt dashboards for pipeline value by stage, win rate over time, and rep activity (calls logged, emails sent, deals created). Reports can be filtered by date range and by owner.</w:t>
      </w:r>
    </w:p>
    <w:p>
      <w:pPr>
        <w:pStyle w:val="Heading1"/>
      </w:pPr>
      <w:r>
        <w:t xml:space="preserve">6. Getting Support</w:t>
      </w:r>
    </w:p>
    <w:p>
      <w:pPr>
        <w:spacing w:after="200"/>
      </w:pPr>
      <w:r>
        <w:t xml:space="preserve">Starter plan customers should email support@acmecrm.com and can expect a response within 48 hours. Professional plan customers receive priority support with a 24-hour response target. Enterprise customers have a dedicated support contact with a 4-hour SLA.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2026-07-10T19:52:52.868Z</dcterms:created>
  <dcterms:modified xsi:type="dcterms:W3CDTF">2026-07-10T19:52:52.883Z</dcterms:modified>
</cp:coreProperties>
</file>

<file path=docProps/custom.xml><?xml version="1.0" encoding="utf-8"?>
<Properties xmlns="http://schemas.openxmlformats.org/officeDocument/2006/custom-properties" xmlns:vt="http://schemas.openxmlformats.org/officeDocument/2006/docPropsVTypes"/>
</file>