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703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Target: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CPU utilization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preprocessing: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samples with missing values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  )The data was reduced from 26,305 to 16,421 samples after removing entries with missing values.(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4"/>
          <w:shd w:fill="auto" w:val="clear"/>
        </w:rPr>
        <w:t xml:space="preserve">Feature selection: Recursive Feature Elimination (RFE), increasing style. Give R2 and RMSE values for each step. )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Feature selection was not performed for this task due to the limited number of features[4].(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randomization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Normalization2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5-fold cross-validation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Models: Stochastic Gradient Boosting (SGB) and Light Gradient Boosting Regression (LGBR).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Optimizers: Botox Optimization Algorithm (BOA), Addax Optimization Algorithm (AOA), and Football Optimization Algorithm (FOA).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Run time for all models.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Metrics: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U95, RMSE, Average Absolute Relative Deviation (AARD), and SMAPE.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Sensitivity Analysis: Copula.</w: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