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cs="Times New Roman" w:eastAsia="Times New Roman" w:hAnsi="Times New Roman"/>
          <w:b/>
          <w:bCs/>
          <w:sz w:val="32"/>
          <w:szCs w:val="32"/>
        </w:rPr>
        <w:t xml:space="preserve">FloodLite: Knowledge-Distilled Lightweight Segmentation for On-Device Flood Mapping in Resource-Constrained Disaster Zones</w:t>
      </w:r>
    </w:p>
    <w:p>
      <w:pPr>
        <w:spacing w:after="60"/>
        <w:jc w:val="center"/>
      </w:pPr>
      <w:r>
        <w:rPr>
          <w:rFonts w:ascii="Times New Roman" w:cs="Times New Roman" w:eastAsia="Times New Roman" w:hAnsi="Times New Roman"/>
          <w:b w:val="false"/>
          <w:bCs w:val="false"/>
          <w:i w:val="false"/>
          <w:iCs w:val="false"/>
          <w:color w:val="000000"/>
          <w:sz w:val="24"/>
          <w:szCs w:val="24"/>
        </w:rPr>
        <w:t xml:space="preserve">Ibrahim Khalil¹, [Co-author Name]², [Co-author Name]³</w:t>
      </w:r>
    </w:p>
    <w:p>
      <w:pPr>
        <w:spacing w:after="60"/>
        <w:jc w:val="center"/>
      </w:pPr>
      <w:r>
        <w:rPr>
          <w:rFonts w:ascii="Times New Roman" w:cs="Times New Roman" w:eastAsia="Times New Roman" w:hAnsi="Times New Roman"/>
          <w:b w:val="false"/>
          <w:bCs w:val="false"/>
          <w:i w:val="false"/>
          <w:iCs w:val="false"/>
          <w:color w:val="000000"/>
          <w:sz w:val="22"/>
          <w:szCs w:val="22"/>
        </w:rPr>
        <w:t xml:space="preserve">¹ Sensa AS, Norway · ² [Affiliation] · ³ [Affiliation]</w:t>
      </w:r>
    </w:p>
    <w:p>
      <w:pPr>
        <w:spacing w:after="60"/>
        <w:jc w:val="center"/>
      </w:pPr>
      <w:r>
        <w:rPr>
          <w:rFonts w:ascii="Times New Roman" w:cs="Times New Roman" w:eastAsia="Times New Roman" w:hAnsi="Times New Roman"/>
          <w:b w:val="false"/>
          <w:bCs w:val="false"/>
          <w:i w:val="false"/>
          <w:iCs w:val="false"/>
          <w:color w:val="000000"/>
          <w:sz w:val="22"/>
          <w:szCs w:val="22"/>
        </w:rPr>
        <w:t xml:space="preserve">Correspondence: ibrahim@sensa.no</w:t>
      </w:r>
    </w:p>
    <w:p>
      <w:pPr>
        <w:spacing w:after="240"/>
      </w:pPr>
      <w:r>
        <w:rPr>
          <w:rFonts w:ascii="Times New Roman" w:cs="Times New Roman" w:eastAsia="Times New Roman" w:hAnsi="Times New Roman"/>
        </w:rPr>
        <w:t xml:space="preserve"> </w:t>
      </w:r>
    </w:p>
    <w:p>
      <w:pPr>
        <w:spacing w:after="120" w:before="200"/>
        <w:jc w:val="center"/>
      </w:pPr>
      <w:r>
        <w:rPr>
          <w:rFonts w:ascii="Times New Roman" w:cs="Times New Roman" w:eastAsia="Times New Roman" w:hAnsi="Times New Roman"/>
          <w:b/>
          <w:bCs/>
          <w:sz w:val="26"/>
          <w:szCs w:val="26"/>
        </w:rPr>
        <w:t xml:space="preserve">Abstract</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Rapid and precise flood-extent mapping is critical for disaster response, yet the deep-learning segmentation models that achieve state-of-the-art accuracy on this task—typically combinations of UNet, SegNet, or DeepLabV3+ with EfficientNet or ResNet backbones—are too heavy for the edge platforms (drones, embedded sensors, low-bandwidth field tablets) that humanitarian organisations actually deploy in flood zones. We address this gap with FloodLite, a lightweight, on-device-deployable flood segmentation system built around a two-stage knowledge-distillation pipeline. We train a strong UNet + EfficientNet-B0 teacher on the public Flood Semantic Segmentation Dataset (FSSD) and distil its behavior into three lightweight student backbones—MobileNetV3-Small-UNet, EfficientNet-Lite0-UNet, and MobileViT-XXS-UNet—using a combined response-based and feature-based distillation loss. Post-training INT8 quantization is then applied with a small calibration set, and the resulting models are benchmarked across three deployment platforms: Apple M2 Pro (CoreML), Raspberry Pi 4 (TFLite), and an in-browser WebAssembly target (ONNX Runtime Web). Our best student, the INT8-quantized MobileViT-XXS-UNet, recovers {{IOU_RECOVERY_PCT}}% of the teacher's IoU at {{PARAM_PCT}}% of its parameters and {{FLOPS_PCT}}% of its FLOPs, achieving {{FPS_M2}} FPS on M2 Pro, {{FPS_PI}} FPS on Raspberry Pi 4, and {{FPS_WASM}} FPS in a browser. To the best of our knowledge, this is the first systematic on-device benchmark for deep flood segmentation. We release the trained models, the distillation pipeline, and reproducible Kaggle/Colab notebooks under permissive licenses.</w:t>
      </w:r>
    </w:p>
    <w:p>
      <w:pPr>
        <w:spacing w:after="120" w:line="360"/>
        <w:ind w:firstLine="360"/>
        <w:jc w:val="both"/>
      </w:pPr>
      <w:r>
        <w:rPr>
          <w:rFonts w:ascii="Times New Roman" w:cs="Times New Roman" w:eastAsia="Times New Roman" w:hAnsi="Times New Roman"/>
          <w:b/>
          <w:bCs/>
          <w:i w:val="false"/>
          <w:iCs w:val="false"/>
          <w:color w:val="000000"/>
          <w:sz w:val="22"/>
          <w:szCs w:val="22"/>
        </w:rPr>
        <w:t xml:space="preserve">Keywords: </w:t>
      </w:r>
      <w:r>
        <w:rPr>
          <w:rFonts w:ascii="Times New Roman" w:cs="Times New Roman" w:eastAsia="Times New Roman" w:hAnsi="Times New Roman"/>
          <w:b w:val="false"/>
          <w:bCs w:val="false"/>
          <w:i w:val="false"/>
          <w:iCs w:val="false"/>
          <w:color w:val="000000"/>
          <w:sz w:val="22"/>
          <w:szCs w:val="22"/>
        </w:rPr>
        <w:t xml:space="preserve">flood segmentation; knowledge distillation; quantization; edge deployment; disaster response; remote sensing; lightweight neural networks.</w:t>
      </w:r>
    </w:p>
    <w:p>
      <w:r>
        <w:br w:type="page"/>
      </w:r>
    </w:p>
    <w:p>
      <w:pPr>
        <w:pStyle w:val="Heading1"/>
        <w:spacing w:after="160" w:before="320"/>
      </w:pPr>
      <w:r>
        <w:rPr>
          <w:rFonts w:ascii="Times New Roman" w:cs="Times New Roman" w:eastAsia="Times New Roman" w:hAnsi="Times New Roman"/>
          <w:b/>
          <w:bCs/>
          <w:color w:val="000000"/>
          <w:sz w:val="28"/>
          <w:szCs w:val="28"/>
        </w:rPr>
        <w:t xml:space="preserve">1. Introduction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Floods are among the most frequent and costly natural disasters globally, accounting for 38.7% of natural disasters and affecting 43% of all disaster-affected populations between 2000 and 2009 [1]. Rapid urbanisation continues to intensify exposure: increased population density and infrastructure in flood-prone areas have been shown to amplify both the human and economic toll of flood events [2]. As traditional hydrological and hydraulic models suffer from high computational demand, coarse spatial resolution, and limited real-time adaptability [3], deep learning-based segmentation has emerged as a leading approach for automated flood-extent delineation from satellite, drone, and ground imagery [4].</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Recent benchmark studies in this space have converged on encoder-decoder architectures—UNet [5], SegNet [6], and DeepLabV3+ [7]—paired with strong feature-extraction backbones, most commonly EfficientNet [8] and ResNet [9]. Karcı et al. [10] provide the most comprehensive systematic comparison of these combinations on the public Flood Semantic Segmentation Dataset (FSSD), reporting that UNet + EfficientNet achieves the highest segmentation performance (IoU 0.927, F1 0.957, accuracy 0.971). Their conclusion is that this combination "is ideal for near real-time operational deployment."</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However, a careful reading of the broader flood-segmentation literature reveals that this operational-deployment claim has not actually been evaluated. Across the 26 related works surveyed by Karcı et al. [10] and adjacent studies on UAV [11], SAR [12], and multi-modal flood mapping [13], every paper reports segmentation accuracy on academic benchmarks; none reports the model size, FLOPs, or per-platform latency that determines whether a model can run on the edge. This is consequential. UNet + EfficientNet-B7—the configuration favoured in [10]—has approximately 63 million parameters and 50 GFLOPs at 256×256 input resolution. Such a model cannot realistically run on the drones, embedded sensors, Raspberry Pi-class community stations, or offline tablet apps that humanitarian organisations such as UN-SPIDER and the ICRC actually deploy in flood zones, where reliable internet connectivity is the exception rather than the rule [14].</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We argue that closing this gap is a precondition for translating deep flood-segmentation research into operational disaster-response systems. To that end, this paper makes the following contributions:</w:t>
      </w:r>
    </w:p>
    <w:p>
      <w:pPr>
        <w:pStyle w:val="ListParagraph"/>
        <w:numPr>
          <w:ilvl w:val="0"/>
          <w:numId w:val="2"/>
        </w:numPr>
        <w:spacing w:after="60" w:line="320"/>
      </w:pPr>
      <w:r>
        <w:rPr>
          <w:rFonts w:ascii="Times New Roman" w:cs="Times New Roman" w:eastAsia="Times New Roman" w:hAnsi="Times New Roman"/>
          <w:sz w:val="22"/>
          <w:szCs w:val="22"/>
        </w:rPr>
        <w:t xml:space="preserve">We design FloodLite, a knowledge-distillation pipeline that compresses a strong UNet + EfficientNet-B0 teacher into three lightweight student architectures—MobileNetV3-Small-UNet, EfficientNet-Lite0-UNet, and MobileViT-XXS-UNet—using a combined response-based and feature-based distillation loss.</w:t>
      </w:r>
    </w:p>
    <w:p>
      <w:pPr>
        <w:pStyle w:val="ListParagraph"/>
        <w:numPr>
          <w:ilvl w:val="0"/>
          <w:numId w:val="2"/>
        </w:numPr>
        <w:spacing w:after="60" w:line="320"/>
      </w:pPr>
      <w:r>
        <w:rPr>
          <w:rFonts w:ascii="Times New Roman" w:cs="Times New Roman" w:eastAsia="Times New Roman" w:hAnsi="Times New Roman"/>
          <w:sz w:val="22"/>
          <w:szCs w:val="22"/>
        </w:rPr>
        <w:t xml:space="preserve">We apply post-training INT8 quantization with a 200-image calibration set and report the trade-off between accuracy and quantization.</w:t>
      </w:r>
    </w:p>
    <w:p>
      <w:pPr>
        <w:pStyle w:val="ListParagraph"/>
        <w:numPr>
          <w:ilvl w:val="0"/>
          <w:numId w:val="2"/>
        </w:numPr>
        <w:spacing w:after="60" w:line="320"/>
      </w:pPr>
      <w:r>
        <w:rPr>
          <w:rFonts w:ascii="Times New Roman" w:cs="Times New Roman" w:eastAsia="Times New Roman" w:hAnsi="Times New Roman"/>
          <w:sz w:val="22"/>
          <w:szCs w:val="22"/>
        </w:rPr>
        <w:t xml:space="preserve">We benchmark the resulting models on three deployment platforms representative of real disaster-response scenarios: Apple M2 Pro (CoreML), Raspberry Pi 4 (TFLite + XNNPACK), and an in-browser WebAssembly target (ONNX Runtime Web).</w:t>
      </w:r>
    </w:p>
    <w:p>
      <w:pPr>
        <w:pStyle w:val="ListParagraph"/>
        <w:numPr>
          <w:ilvl w:val="0"/>
          <w:numId w:val="2"/>
        </w:numPr>
        <w:spacing w:after="60" w:line="320"/>
      </w:pPr>
      <w:r>
        <w:rPr>
          <w:rFonts w:ascii="Times New Roman" w:cs="Times New Roman" w:eastAsia="Times New Roman" w:hAnsi="Times New Roman"/>
          <w:sz w:val="22"/>
          <w:szCs w:val="22"/>
        </w:rPr>
        <w:t xml:space="preserve">We provide a four-axis Pareto analysis (IoU vs. parameters, FLOPs, M2 latency, and Pi 4 latency) and identify the operating point most appropriate for each deployment scenario.</w:t>
      </w:r>
    </w:p>
    <w:p>
      <w:pPr>
        <w:pStyle w:val="ListParagraph"/>
        <w:numPr>
          <w:ilvl w:val="0"/>
          <w:numId w:val="2"/>
        </w:numPr>
        <w:spacing w:after="60" w:line="320"/>
      </w:pPr>
      <w:r>
        <w:rPr>
          <w:rFonts w:ascii="Times New Roman" w:cs="Times New Roman" w:eastAsia="Times New Roman" w:hAnsi="Times New Roman"/>
          <w:sz w:val="22"/>
          <w:szCs w:val="22"/>
        </w:rPr>
        <w:t xml:space="preserve">We release the trained checkpoints on the Hugging Face Hub and provide reproducible Kaggle and Colab notebooks under MIT license.</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The remainder of the paper is organised as follows. Section 2 reviews relevant prior work on flood segmentation, knowledge distillation, lightweight backbones, and on-device inference. Section 3 details the FloodLite methodology, including teacher and student architectures, distillation losses, and quantization. Section 4 describes the experimental setup. Section 5 reports results across the IoU/efficiency/latency axes and ablations. Section 6 discusses the operational implications and limitations. Section 7 concludes.</w:t>
      </w:r>
    </w:p>
    <w:p>
      <w:pPr>
        <w:pStyle w:val="Heading1"/>
        <w:spacing w:after="160" w:before="320"/>
      </w:pPr>
      <w:r>
        <w:rPr>
          <w:rFonts w:ascii="Times New Roman" w:cs="Times New Roman" w:eastAsia="Times New Roman" w:hAnsi="Times New Roman"/>
          <w:b/>
          <w:bCs/>
          <w:color w:val="000000"/>
          <w:sz w:val="28"/>
          <w:szCs w:val="28"/>
        </w:rPr>
        <w:t xml:space="preserve">2. Related Work</w:t>
      </w:r>
    </w:p>
    <w:p>
      <w:pPr>
        <w:pStyle w:val="Heading2"/>
        <w:spacing w:after="120" w:before="240"/>
      </w:pPr>
      <w:r>
        <w:rPr>
          <w:rFonts w:ascii="Times New Roman" w:cs="Times New Roman" w:eastAsia="Times New Roman" w:hAnsi="Times New Roman"/>
          <w:b/>
          <w:bCs/>
          <w:color w:val="000000"/>
          <w:sz w:val="24"/>
          <w:szCs w:val="24"/>
        </w:rPr>
        <w:t xml:space="preserve">2.1. Deep Learning for Flood Segmentation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Convolutional encoder-decoder architectures dominate the deep-learning flood-segmentation literature. Pech-May et al. [15] applied U-Net to Sentinel-1 SAR imagery for flooded-area detection. Bahrami and Arbabkhah [16] compared SegNet, UNet, and FCN32 for floodplain segmentation, reporting SegNet's max-pooling indices as advantageous on smooth water-surface transitions. Patil et al. [17] used an ensemble of ResNet34, InceptionV3, and VGG16 on Sentinel-1 SAR for flood-damage assessment, reaching an IoU of 0.758. Ghosh et al. [18] used a Nested U-Net with FPN and EfficientNet-B7 backbone on the NASA IEEE GRSS benchmark, reporting that models trained on specific events generalise to new geographies. Chamatidis et al. [19] introduced Vision Transformers (ViT) to the task and reported a 9–15% improvement over comparable CNN baselines on Sentinel-1 and Sentinel-2 imagery. Most recently, Karcı et al. [10] performed the most comprehensive systematic comparison to date, evaluating UNet, SegNet, and DeepLabV3+ each with EfficientNet and ResNet backbones, and concluded that UNet + EfficientNet is the strongest configuration on FSSD.</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Across this entire body of work, model efficiency is essentially absent from the evaluation. Hernández et al. [11] gesture toward edge deployment of UAV-based flood detection, but they retain heavy backbones and report no parameter, FLOP, or per-platform latency numbers. To the best of our knowledge, no prior flood-segmentation paper has measured on-device inference latency on Apple Silicon, Raspberry Pi, or browser WebAssembly targets.</w:t>
      </w:r>
    </w:p>
    <w:p>
      <w:pPr>
        <w:pStyle w:val="Heading2"/>
        <w:spacing w:after="120" w:before="240"/>
      </w:pPr>
      <w:r>
        <w:rPr>
          <w:rFonts w:ascii="Times New Roman" w:cs="Times New Roman" w:eastAsia="Times New Roman" w:hAnsi="Times New Roman"/>
          <w:b/>
          <w:bCs/>
          <w:color w:val="000000"/>
          <w:sz w:val="24"/>
          <w:szCs w:val="24"/>
        </w:rPr>
        <w:t xml:space="preserve">2.2. Knowledge Distillation for Semantic Segmentation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Knowledge distillation (KD), introduced by Hinton et al. [20], trains a small student network to match the soft outputs of a larger teacher. Romero et al. [21] extended this to feature-space alignment with FitNets, training the student to match intermediate feature representations through a learned adapter. For dense-prediction tasks, Liu et al. [22] proposed structured-knowledge distillation (SKD) that aligns pairwise pixel similarities, and Wang et al. [23] proposed inter- and intra-class distance distillation specifically for segmentation. He et al. [24] introduced channel-wise KD for compact segmentation models. These methods routinely achieve compression ratios of 5–20× with sub-1% mIoU degradation on Cityscapes and ADE20K. To our knowledge, no prior work has applied KD to flood segmentation.</w:t>
      </w:r>
    </w:p>
    <w:p>
      <w:pPr>
        <w:pStyle w:val="Heading2"/>
        <w:spacing w:after="120" w:before="240"/>
      </w:pPr>
      <w:r>
        <w:rPr>
          <w:rFonts w:ascii="Times New Roman" w:cs="Times New Roman" w:eastAsia="Times New Roman" w:hAnsi="Times New Roman"/>
          <w:b/>
          <w:bCs/>
          <w:color w:val="000000"/>
          <w:sz w:val="24"/>
          <w:szCs w:val="24"/>
        </w:rPr>
        <w:t xml:space="preserve">2.3. Lightweight Backbones for Mobile Vision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MobileNetV3 [25] uses neural architecture search and the H-swish activation to produce CPU-friendly classification networks; the Small variant has approximately 2.5 M parameters. EfficientNet-Lite [8] is a quantization-friendly redesign of EfficientNet that removes squeeze-and-excitation and Swish activations to ease INT8 conversion, with the Lite0 variant containing approximately 4.7 M parameters. MobileViT [26] introduces hybrid CNN–Transformer blocks; the XXS variant has only 1.3 M parameters yet is competitive with much larger models on ImageNet. We adapt all three as encoders in a U-Net-style decoder.</w:t>
      </w:r>
    </w:p>
    <w:p>
      <w:pPr>
        <w:pStyle w:val="Heading2"/>
        <w:spacing w:after="120" w:before="240"/>
      </w:pPr>
      <w:r>
        <w:rPr>
          <w:rFonts w:ascii="Times New Roman" w:cs="Times New Roman" w:eastAsia="Times New Roman" w:hAnsi="Times New Roman"/>
          <w:b/>
          <w:bCs/>
          <w:color w:val="000000"/>
          <w:sz w:val="24"/>
          <w:szCs w:val="24"/>
        </w:rPr>
        <w:t xml:space="preserve">2.4. Post-Training Quantization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Post-training INT8 quantization [27] reduces model size by 4× and yields 2–4× CPU speedup on instruction sets with INT8 SIMD support. For convolutional networks, per-channel weight quantization combined with per-tensor activation quantization typically maintains accuracy within 1% of the FP32 baseline [28]. We apply this standard recipe and study the resulting accuracy–efficiency trade-off.</w:t>
      </w:r>
    </w:p>
    <w:p>
      <w:pPr>
        <w:pStyle w:val="Heading2"/>
        <w:spacing w:after="120" w:before="240"/>
      </w:pPr>
      <w:r>
        <w:rPr>
          <w:rFonts w:ascii="Times New Roman" w:cs="Times New Roman" w:eastAsia="Times New Roman" w:hAnsi="Times New Roman"/>
          <w:b/>
          <w:bCs/>
          <w:color w:val="000000"/>
          <w:sz w:val="24"/>
          <w:szCs w:val="24"/>
        </w:rPr>
        <w:t xml:space="preserve">2.5. On-Device Disaster Response</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Operational disaster-response platforms must function under intermittent connectivity, limited power, and heterogeneous hardware. Edge AI in humanitarian contexts has been explored in [14, 29]. The deployment platforms we benchmark—Apple Silicon, Raspberry Pi-class single-board computers, and browser WebAssembly—correspond to three real operational profiles: field-laptop and UAV inference, low-cost community sensor stations, and citizen-science web portals.</w:t>
      </w:r>
    </w:p>
    <w:p>
      <w:pPr>
        <w:pStyle w:val="Heading1"/>
        <w:spacing w:after="160" w:before="320"/>
      </w:pPr>
      <w:r>
        <w:rPr>
          <w:rFonts w:ascii="Times New Roman" w:cs="Times New Roman" w:eastAsia="Times New Roman" w:hAnsi="Times New Roman"/>
          <w:b/>
          <w:bCs/>
          <w:color w:val="000000"/>
          <w:sz w:val="28"/>
          <w:szCs w:val="28"/>
        </w:rPr>
        <w:t xml:space="preserve">3. Materials and Methods</w:t>
      </w:r>
    </w:p>
    <w:p>
      <w:pPr>
        <w:pStyle w:val="Heading2"/>
        <w:spacing w:after="120" w:before="240"/>
      </w:pPr>
      <w:r>
        <w:rPr>
          <w:rFonts w:ascii="Times New Roman" w:cs="Times New Roman" w:eastAsia="Times New Roman" w:hAnsi="Times New Roman"/>
          <w:b/>
          <w:bCs/>
          <w:color w:val="000000"/>
          <w:sz w:val="24"/>
          <w:szCs w:val="24"/>
        </w:rPr>
        <w:t xml:space="preserve">3.1. Dataset</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We use the public Flood Semantic Segmentation Dataset (FSSD) [30], which is also the evaluation dataset of Karcı et al. [10] and therefore enables direct head-to-head comparison. FSSD comprises 663 RGB images of flood-affected areas, each at 512×512 px, paired with binary segmentation masks (flood = 1, non-flood = 0). Images capture flooded regions from various viewpoints (aerial, ground, oblique). We resize all images and masks to 256×256 px and normalise pixel values to [0, 1]. We adopt 5-fold cross-validation: in each fold, 80% of images are used for training and 20% for validation; a fixed held-out set of 50 images, never used during training, serves as the deployment benchmark for latency and quantization studies.</w:t>
      </w:r>
    </w:p>
    <w:p>
      <w:pPr>
        <w:pStyle w:val="Heading2"/>
        <w:spacing w:after="120" w:before="240"/>
      </w:pPr>
      <w:r>
        <w:rPr>
          <w:rFonts w:ascii="Times New Roman" w:cs="Times New Roman" w:eastAsia="Times New Roman" w:hAnsi="Times New Roman"/>
          <w:b/>
          <w:bCs/>
          <w:color w:val="000000"/>
          <w:sz w:val="24"/>
          <w:szCs w:val="24"/>
        </w:rPr>
        <w:t xml:space="preserve">3.2. Teacher Model</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Our teacher is a UNet decoder with EfficientNet-B0 encoder, initialised with ImageNet-pretrained weights. While Karcí et al. [10] use EfficientNet-B7 in their best-performing configuration, we deliberately choose B0 as our teacher for two reasons: first, B0 is significantly cheaper to train, fitting within free-tier GPU budgets (Kaggle T4 and Google Colab); second, B0 is itself representative of the strongest configurations realistically used in practice, and a successful distillation from B0 implies a successful distillation from any larger backbone in the same family. The teacher has approximately 6.3 M parameters and 1.4 GFLOPs at 256×256 resolution—still an order of magnitude too large for many edge targets.</w:t>
      </w:r>
    </w:p>
    <w:p>
      <w:pPr>
        <w:pStyle w:val="Heading2"/>
        <w:spacing w:after="120" w:before="240"/>
      </w:pPr>
      <w:r>
        <w:rPr>
          <w:rFonts w:ascii="Times New Roman" w:cs="Times New Roman" w:eastAsia="Times New Roman" w:hAnsi="Times New Roman"/>
          <w:b/>
          <w:bCs/>
          <w:color w:val="000000"/>
          <w:sz w:val="24"/>
          <w:szCs w:val="24"/>
        </w:rPr>
        <w:t xml:space="preserve">3.3. Student Architectures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We evaluate three student backbones, each wrapped in a UNet decoder identical in topology to the teacher's: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700"/>
        <w:gridCol w:w="2200"/>
        <w:gridCol w:w="236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left"/>
            </w:pPr>
            <w:r>
              <w:rPr>
                <w:rFonts w:ascii="Times New Roman" w:cs="Times New Roman" w:eastAsia="Times New Roman" w:hAnsi="Times New Roman"/>
                <w:b/>
                <w:bCs/>
                <w:i w:val="false"/>
                <w:iCs w:val="false"/>
                <w:color w:val="000000"/>
                <w:sz w:val="20"/>
                <w:szCs w:val="20"/>
              </w:rPr>
              <w:t xml:space="preserve">Student</w:t>
            </w:r>
          </w:p>
        </w:tc>
        <w:tc>
          <w:tcPr>
            <w:tcW w:type="dxa" w:w="2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Encoder</w:t>
            </w:r>
          </w:p>
        </w:tc>
        <w:tc>
          <w:tcPr>
            <w:tcW w:type="dxa" w:w="1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Approx. Params</w:t>
            </w:r>
          </w:p>
        </w:tc>
        <w:tc>
          <w:tcPr>
            <w:tcW w:type="dxa" w:w="22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Approx. FLOPs @ 256²</w:t>
            </w:r>
          </w:p>
        </w:tc>
        <w:tc>
          <w:tcPr>
            <w:tcW w:type="dxa" w:w="23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Notes</w:t>
            </w:r>
          </w:p>
        </w:tc>
      </w:tr>
      <w:tr>
        <w:trPr>
          <w:tblHeader w:val="false"/>
        </w:trP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S1</w:t>
            </w:r>
          </w:p>
        </w:tc>
        <w:tc>
          <w:tcPr>
            <w:tcW w:type="dxa" w:w="2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MobileNetV3-Small</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~1.5 M</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~0.42 GFLOPs</w:t>
            </w:r>
          </w:p>
        </w:tc>
        <w:tc>
          <w:tcPr>
            <w:tcW w:type="dxa" w:w="2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CPU-optimised; H-swish</w:t>
            </w:r>
          </w:p>
        </w:tc>
      </w:tr>
      <w:tr>
        <w:trPr>
          <w:tblHeader w:val="false"/>
        </w:trPr>
        <w:tc>
          <w:tcPr>
            <w:tcW w:type="dxa" w:w="8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S2</w:t>
            </w:r>
          </w:p>
        </w:tc>
        <w:tc>
          <w:tcPr>
            <w:tcW w:type="dxa" w:w="2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EfficientNet-Lite0</w:t>
            </w:r>
          </w:p>
        </w:tc>
        <w:tc>
          <w:tcPr>
            <w:tcW w:type="dxa" w:w="1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~3.5 M</w:t>
            </w:r>
          </w:p>
        </w:tc>
        <w:tc>
          <w:tcPr>
            <w:tcW w:type="dxa" w:w="2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~0.94 GFLOPs</w:t>
            </w:r>
          </w:p>
        </w:tc>
        <w:tc>
          <w:tcPr>
            <w:tcW w:type="dxa" w:w="23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Quantization-friendly</w:t>
            </w:r>
          </w:p>
        </w:tc>
      </w:tr>
      <w:tr>
        <w:trPr>
          <w:tblHeader w:val="false"/>
        </w:trP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S3</w:t>
            </w:r>
          </w:p>
        </w:tc>
        <w:tc>
          <w:tcPr>
            <w:tcW w:type="dxa" w:w="2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MobileViT-XXS</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~1.3 M</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~0.62 GFLOPs</w:t>
            </w:r>
          </w:p>
        </w:tc>
        <w:tc>
          <w:tcPr>
            <w:tcW w:type="dxa" w:w="2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Hybrid CNN + Transformer</w:t>
            </w:r>
          </w:p>
        </w:tc>
      </w:tr>
    </w:tbl>
    <w:p>
      <w:pPr>
        <w:spacing w:after="200" w:before="80"/>
        <w:jc w:val="both"/>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Student architectures evaluated. All students use a UNet-style decoder identical in topology to the teacher's.</w:t>
      </w:r>
    </w:p>
    <w:p>
      <w:pPr>
        <w:pStyle w:val="Heading2"/>
        <w:spacing w:after="120" w:before="240"/>
      </w:pPr>
      <w:r>
        <w:rPr>
          <w:rFonts w:ascii="Times New Roman" w:cs="Times New Roman" w:eastAsia="Times New Roman" w:hAnsi="Times New Roman"/>
          <w:b/>
          <w:bCs/>
          <w:color w:val="000000"/>
          <w:sz w:val="24"/>
          <w:szCs w:val="24"/>
        </w:rPr>
        <w:t xml:space="preserve">3.4. Knowledge Distillation Framework</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We employ a two-component distillation loss: a response-based term that aligns the student's output logits with the teacher's, and a feature-based term that aligns the student's mid-decoder features with the teacher's. Let x ∈ ℝ^(H×W×3) denote an input image, y ∈ {0, 1}^(H×W) the ground-truth flood mask, ẑ_T ∈ ℝ^(H×W) and ẑ_S ∈ ℝ^(H×W) the pre-sigmoid logits produced by teacher and student respectively, and f_T^(ℓ), f_S^(ℓ) the activations at decoder stage ℓ.</w:t>
      </w:r>
    </w:p>
    <w:p>
      <w:pPr>
        <w:pStyle w:val="Heading3"/>
        <w:spacing w:after="100" w:before="200"/>
      </w:pPr>
      <w:r>
        <w:rPr>
          <w:rFonts w:ascii="Times New Roman" w:cs="Times New Roman" w:eastAsia="Times New Roman" w:hAnsi="Times New Roman"/>
          <w:b/>
          <w:bCs/>
          <w:i/>
          <w:iCs/>
          <w:color w:val="000000"/>
          <w:sz w:val="22"/>
          <w:szCs w:val="22"/>
        </w:rPr>
        <w:t xml:space="preserve">3.4.1. Task Loss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Following standard practice for binary segmentation, the per-pixel task loss combines binary cross-entropy and Dice:</w:t>
      </w:r>
    </w:p>
    <w:p>
      <w:pPr>
        <w:spacing w:after="120" w:before="120"/>
        <w:jc w:val="center"/>
      </w:pPr>
      <w:r>
        <w:rPr>
          <w:rFonts w:ascii="Cambria Math" w:cs="Cambria Math" w:eastAsia="Cambria Math" w:hAnsi="Cambria Math"/>
          <w:i w:val="false"/>
          <w:iCs w:val="false"/>
          <w:sz w:val="24"/>
          <w:szCs w:val="24"/>
        </w:rPr>
        <w:t xml:space="preserve">L_task = 0.5 · BCE(σ(ẑ_S), y) + 0.5 · (1 − Dice(σ(ẑ_S), y))</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where σ denotes the sigmoid function and Dice is the soft Dice coefficient.</w:t>
      </w:r>
    </w:p>
    <w:p>
      <w:pPr>
        <w:pStyle w:val="Heading3"/>
        <w:spacing w:after="100" w:before="200"/>
      </w:pPr>
      <w:r>
        <w:rPr>
          <w:rFonts w:ascii="Times New Roman" w:cs="Times New Roman" w:eastAsia="Times New Roman" w:hAnsi="Times New Roman"/>
          <w:b/>
          <w:bCs/>
          <w:i/>
          <w:iCs/>
          <w:color w:val="000000"/>
          <w:sz w:val="22"/>
          <w:szCs w:val="22"/>
        </w:rPr>
        <w:t xml:space="preserve">3.4.2. Response-Based Distillation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We use a temperature-scaled binary KL divergence between teacher and student probability outputs:</w:t>
      </w:r>
    </w:p>
    <w:p>
      <w:pPr>
        <w:spacing w:after="120" w:before="120"/>
        <w:jc w:val="center"/>
      </w:pPr>
      <w:r>
        <w:rPr>
          <w:rFonts w:ascii="Cambria Math" w:cs="Cambria Math" w:eastAsia="Cambria Math" w:hAnsi="Cambria Math"/>
          <w:i w:val="false"/>
          <w:iCs w:val="false"/>
          <w:sz w:val="24"/>
          <w:szCs w:val="24"/>
        </w:rPr>
        <w:t xml:space="preserve">L_resp = T² · KL( σ(ẑ_T / T) ‖ σ(ẑ_S / T) )</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with temperature T = 4. The T² factor preserves gradient magnitudes when temperature is increased [20].</w:t>
      </w:r>
    </w:p>
    <w:p>
      <w:pPr>
        <w:pStyle w:val="Heading3"/>
        <w:spacing w:after="100" w:before="200"/>
      </w:pPr>
      <w:r>
        <w:rPr>
          <w:rFonts w:ascii="Times New Roman" w:cs="Times New Roman" w:eastAsia="Times New Roman" w:hAnsi="Times New Roman"/>
          <w:b/>
          <w:bCs/>
          <w:i/>
          <w:iCs/>
          <w:color w:val="000000"/>
          <w:sz w:val="22"/>
          <w:szCs w:val="22"/>
        </w:rPr>
        <w:t xml:space="preserve">3.4.3. Feature-Based Distillation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We align student and teacher features at one matched decoder stage (resolution 64×64), introducing a 1×1 convolutional adapter g_θ to project student features into the teacher's channel space:</w:t>
      </w:r>
    </w:p>
    <w:p>
      <w:pPr>
        <w:spacing w:after="120" w:before="120"/>
        <w:jc w:val="center"/>
      </w:pPr>
      <w:r>
        <w:rPr>
          <w:rFonts w:ascii="Cambria Math" w:cs="Cambria Math" w:eastAsia="Cambria Math" w:hAnsi="Cambria Math"/>
          <w:i w:val="false"/>
          <w:iCs w:val="false"/>
          <w:sz w:val="24"/>
          <w:szCs w:val="24"/>
        </w:rPr>
        <w:t xml:space="preserve">L_feat = ‖ g_θ( f_S^(ℓ) ) − f_T^(ℓ) ‖²₂ / (H · W · C_T)</w:t>
      </w:r>
    </w:p>
    <w:p>
      <w:pPr>
        <w:pStyle w:val="Heading3"/>
        <w:spacing w:after="100" w:before="200"/>
      </w:pPr>
      <w:r>
        <w:rPr>
          <w:rFonts w:ascii="Times New Roman" w:cs="Times New Roman" w:eastAsia="Times New Roman" w:hAnsi="Times New Roman"/>
          <w:b/>
          <w:bCs/>
          <w:i/>
          <w:iCs/>
          <w:color w:val="000000"/>
          <w:sz w:val="22"/>
          <w:szCs w:val="22"/>
        </w:rPr>
        <w:t xml:space="preserve">3.4.4. Combined Loss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The full FloodLite training objective is:</w:t>
      </w:r>
    </w:p>
    <w:p>
      <w:pPr>
        <w:spacing w:after="120" w:before="120"/>
        <w:jc w:val="center"/>
      </w:pPr>
      <w:r>
        <w:rPr>
          <w:rFonts w:ascii="Cambria Math" w:cs="Cambria Math" w:eastAsia="Cambria Math" w:hAnsi="Cambria Math"/>
          <w:i w:val="false"/>
          <w:iCs w:val="false"/>
          <w:sz w:val="24"/>
          <w:szCs w:val="24"/>
        </w:rPr>
        <w:t xml:space="preserve">L_FloodLite = (1 − α) · L_task + α · L_resp + β · L_feat</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with α = 0.5 and β = 0.1. The teacher is frozen during student training.</w:t>
      </w:r>
    </w:p>
    <w:p>
      <w:pPr>
        <w:pStyle w:val="Heading2"/>
        <w:spacing w:after="120" w:before="240"/>
      </w:pPr>
      <w:r>
        <w:rPr>
          <w:rFonts w:ascii="Times New Roman" w:cs="Times New Roman" w:eastAsia="Times New Roman" w:hAnsi="Times New Roman"/>
          <w:b/>
          <w:bCs/>
          <w:color w:val="000000"/>
          <w:sz w:val="24"/>
          <w:szCs w:val="24"/>
        </w:rPr>
        <w:t xml:space="preserve">3.5. Post-Training INT8 Quantization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After distillation, we apply standard post-training static quantization. Weights are quantized per-channel and activations per-tensor; the quantization scales are calibrated by running 200 randomly-selected training images through the network and tracking activation ranges. We use the symmetric INT8 scheme. Layers showing &gt; 1.0 IoU drop in the layer-wise sensitivity analysis are reverted to FP32.</w:t>
      </w:r>
    </w:p>
    <w:p>
      <w:pPr>
        <w:pStyle w:val="Heading2"/>
        <w:spacing w:after="120" w:before="240"/>
      </w:pPr>
      <w:r>
        <w:rPr>
          <w:rFonts w:ascii="Times New Roman" w:cs="Times New Roman" w:eastAsia="Times New Roman" w:hAnsi="Times New Roman"/>
          <w:b/>
          <w:bCs/>
          <w:color w:val="000000"/>
          <w:sz w:val="24"/>
          <w:szCs w:val="24"/>
        </w:rPr>
        <w:t xml:space="preserve">3.6. Deployment Pipeline</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Models are exported via ONNX (opset 13) and converted to platform-specific formats: CoreML for Apple M2 Pro, TensorFlow Lite (with the XNNPACK delegate) for Raspberry Pi 4, and ONNX Runtime Web (WebAssembly + SIMD) for browser targets. The deployment pipeline is fully automated with a single command-line script that produces all three artifacts from one trained PyTorch checkpoint.</w:t>
      </w:r>
    </w:p>
    <w:p>
      <w:pPr>
        <w:pStyle w:val="Heading1"/>
        <w:spacing w:after="160" w:before="320"/>
      </w:pPr>
      <w:r>
        <w:rPr>
          <w:rFonts w:ascii="Times New Roman" w:cs="Times New Roman" w:eastAsia="Times New Roman" w:hAnsi="Times New Roman"/>
          <w:b/>
          <w:bCs/>
          <w:color w:val="000000"/>
          <w:sz w:val="28"/>
          <w:szCs w:val="28"/>
        </w:rPr>
        <w:t xml:space="preserve">4. Experimental Setup</w:t>
      </w:r>
    </w:p>
    <w:p>
      <w:pPr>
        <w:pStyle w:val="Heading2"/>
        <w:spacing w:after="120" w:before="240"/>
      </w:pPr>
      <w:r>
        <w:rPr>
          <w:rFonts w:ascii="Times New Roman" w:cs="Times New Roman" w:eastAsia="Times New Roman" w:hAnsi="Times New Roman"/>
          <w:b/>
          <w:bCs/>
          <w:color w:val="000000"/>
          <w:sz w:val="24"/>
          <w:szCs w:val="24"/>
        </w:rPr>
        <w:t xml:space="preserve">4.1. Implementation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All training is implemented in PyTorch 2.2 using segmentation-models-pytorch [31] for UNet decoder construction and timm [32] for backbone implementations. We use mixed-precision (AMP fp16) training on a Kaggle Tesla T4 GPU (16 GB) with batch size 8 (teacher) or 16 (students). Optimisation uses AdamW with learning rate 1e-4 (teacher) and 5e-4 (students), weight decay 1e-4, and cosine annealing over 50 epochs. Data augmentation, applied with the Albumentations library [33], includes horizontal flip, rotation (±15°), brightness/contrast jitter (±0.2), and random scaling (0.9–1.1×). Three random seeds are used for the final reported configuration.</w:t>
      </w:r>
    </w:p>
    <w:p>
      <w:pPr>
        <w:pStyle w:val="Heading2"/>
        <w:spacing w:after="120" w:before="240"/>
      </w:pPr>
      <w:r>
        <w:rPr>
          <w:rFonts w:ascii="Times New Roman" w:cs="Times New Roman" w:eastAsia="Times New Roman" w:hAnsi="Times New Roman"/>
          <w:b/>
          <w:bCs/>
          <w:color w:val="000000"/>
          <w:sz w:val="24"/>
          <w:szCs w:val="24"/>
        </w:rPr>
        <w:t xml:space="preserve">4.2. Metrics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We report standard segmentation metrics: pixel accuracy, precision, recall, F1-score, and mean intersection-over-union (IoU). Efficiency metrics include parameter count (millions, M), floating-point operations (GFLOPs at 256×256), and peak memory (MB). Latency is reported as median (p50) and 95th-percentile (p95) over 200 inferences after a 20-inference warm-up, on three platforms: an Apple MacBook Pro M2 Pro (12-core CPU, 16-core GPU, 16 GB unified memory) running CoreML, a Raspberry Pi 4 Model B (4 GB) running TFLite with XNNPACK, and Google Chrome 124 on M2 Pro running ONNX Runtime Web 1.17 with WASM-SIMD.</w:t>
      </w:r>
    </w:p>
    <w:p>
      <w:pPr>
        <w:pStyle w:val="Heading2"/>
        <w:spacing w:after="120" w:before="240"/>
      </w:pPr>
      <w:r>
        <w:rPr>
          <w:rFonts w:ascii="Times New Roman" w:cs="Times New Roman" w:eastAsia="Times New Roman" w:hAnsi="Times New Roman"/>
          <w:b/>
          <w:bCs/>
          <w:color w:val="000000"/>
          <w:sz w:val="24"/>
          <w:szCs w:val="24"/>
        </w:rPr>
        <w:t xml:space="preserve">4.3. Statistical Validation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All results are reported as mean ± standard deviation across the 5 cross-validation folds. We use paired bootstrap resampling (10,000 resamples) to compute 95% confidence intervals on per-image IoU differences between models, and the Wilcoxon signed-rank test for pairwise model comparisons, applying the Holm–Bonferroni correction for multiple comparisons.</w:t>
      </w:r>
    </w:p>
    <w:p>
      <w:pPr>
        <w:pStyle w:val="Heading1"/>
        <w:spacing w:after="160" w:before="320"/>
      </w:pPr>
      <w:r>
        <w:rPr>
          <w:rFonts w:ascii="Times New Roman" w:cs="Times New Roman" w:eastAsia="Times New Roman" w:hAnsi="Times New Roman"/>
          <w:b/>
          <w:bCs/>
          <w:color w:val="000000"/>
          <w:sz w:val="28"/>
          <w:szCs w:val="28"/>
        </w:rPr>
        <w:t xml:space="preserve">5. Results</w:t>
      </w:r>
    </w:p>
    <w:p>
      <w:pPr>
        <w:spacing w:after="120" w:line="360"/>
        <w:ind w:firstLine="360"/>
        <w:jc w:val="both"/>
      </w:pPr>
      <w:r>
        <w:rPr>
          <w:rFonts w:ascii="Times New Roman" w:cs="Times New Roman" w:eastAsia="Times New Roman" w:hAnsi="Times New Roman"/>
          <w:b/>
          <w:bCs/>
          <w:i/>
          <w:iCs/>
          <w:color w:val="000000"/>
          <w:sz w:val="22"/>
          <w:szCs w:val="22"/>
        </w:rPr>
        <w:t xml:space="preserve">Note on results presented below: </w:t>
      </w:r>
      <w:r>
        <w:rPr>
          <w:rFonts w:ascii="Times New Roman" w:cs="Times New Roman" w:eastAsia="Times New Roman" w:hAnsi="Times New Roman"/>
          <w:b w:val="false"/>
          <w:bCs w:val="false"/>
          <w:i/>
          <w:iCs/>
          <w:color w:val="000000"/>
          <w:sz w:val="22"/>
          <w:szCs w:val="22"/>
        </w:rPr>
        <w:t xml:space="preserve">All numerical values reported in Tables 2–6 and Figures 2–5 are produced by the accompanying open-source code. Placeholders in the form ##.## indicate values to be filled in from your own experiment runs. The code in the supplementary material reproduces all reported numbers end-to-end on free-tier compute.</w:t>
      </w:r>
    </w:p>
    <w:p>
      <w:pPr>
        <w:pStyle w:val="Heading2"/>
        <w:spacing w:after="120" w:before="240"/>
      </w:pPr>
      <w:r>
        <w:rPr>
          <w:rFonts w:ascii="Times New Roman" w:cs="Times New Roman" w:eastAsia="Times New Roman" w:hAnsi="Times New Roman"/>
          <w:b/>
          <w:bCs/>
          <w:color w:val="000000"/>
          <w:sz w:val="24"/>
          <w:szCs w:val="24"/>
        </w:rPr>
        <w:t xml:space="preserve">5.1. Teacher Performance and Karcı et al. (2026) Reproduction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Table 2 reports the teacher's segmentation performance on FSSD and contrasts it with the previously published numbers from Karcı et al. [10]. Our UNet + EfficientNet-B0 teacher achieves IoU = ##.## ± ##.##, which is within ##.## points of the published UNet + EfficientNet-B7 result (IoU 0.927) while having an order of magnitude fewer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60"/>
        <w:gridCol w:w="1060"/>
        <w:gridCol w:w="1060"/>
        <w:gridCol w:w="1060"/>
        <w:gridCol w:w="1060"/>
        <w:gridCol w:w="106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left"/>
            </w:pPr>
            <w:r>
              <w:rPr>
                <w:rFonts w:ascii="Times New Roman" w:cs="Times New Roman" w:eastAsia="Times New Roman" w:hAnsi="Times New Roman"/>
                <w:b/>
                <w:bCs/>
                <w:i w:val="false"/>
                <w:iCs w:val="false"/>
                <w:color w:val="000000"/>
                <w:sz w:val="20"/>
                <w:szCs w:val="20"/>
              </w:rPr>
              <w:t xml:space="preserve">Model</w:t>
            </w:r>
          </w:p>
        </w:tc>
        <w:tc>
          <w:tcPr>
            <w:tcW w:type="dxa" w:w="10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Accuracy</w:t>
            </w:r>
          </w:p>
        </w:tc>
        <w:tc>
          <w:tcPr>
            <w:tcW w:type="dxa" w:w="10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Precision</w:t>
            </w:r>
          </w:p>
        </w:tc>
        <w:tc>
          <w:tcPr>
            <w:tcW w:type="dxa" w:w="10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Recall</w:t>
            </w:r>
          </w:p>
        </w:tc>
        <w:tc>
          <w:tcPr>
            <w:tcW w:type="dxa" w:w="10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F1</w:t>
            </w:r>
          </w:p>
        </w:tc>
        <w:tc>
          <w:tcPr>
            <w:tcW w:type="dxa" w:w="10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IoU</w:t>
            </w:r>
          </w:p>
        </w:tc>
        <w:tc>
          <w:tcPr>
            <w:tcW w:type="dxa" w:w="10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Params</w:t>
            </w:r>
          </w:p>
        </w:tc>
      </w:tr>
      <w:tr>
        <w:trPr>
          <w:tblHeader w:val="false"/>
        </w:trPr>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UNet + EffNet-B7 [10] (reference)</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0.971</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0.961</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0.955</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0.957</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0.927</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~63 M</w:t>
            </w:r>
          </w:p>
        </w:tc>
      </w:tr>
      <w:tr>
        <w:trPr>
          <w:tblHeader w:val="false"/>
        </w:trPr>
        <w:tc>
          <w:tcPr>
            <w:tcW w:type="dxa" w:w="3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UNet + EffNet-B0 (our teacher)</w:t>
            </w:r>
          </w:p>
        </w:tc>
        <w:tc>
          <w:tcPr>
            <w:tcW w:type="dxa" w:w="10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~6.3 M</w:t>
            </w:r>
          </w:p>
        </w:tc>
      </w:tr>
    </w:tbl>
    <w:p>
      <w:pPr>
        <w:spacing w:after="200" w:before="80"/>
        <w:jc w:val="both"/>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Teacher performance on FSSD (5-fold CV) compared with the published reference [10].</w:t>
      </w:r>
    </w:p>
    <w:p>
      <w:pPr>
        <w:pStyle w:val="Heading2"/>
        <w:spacing w:after="120" w:before="240"/>
      </w:pPr>
      <w:r>
        <w:rPr>
          <w:rFonts w:ascii="Times New Roman" w:cs="Times New Roman" w:eastAsia="Times New Roman" w:hAnsi="Times New Roman"/>
          <w:b/>
          <w:bCs/>
          <w:color w:val="000000"/>
          <w:sz w:val="24"/>
          <w:szCs w:val="24"/>
        </w:rPr>
        <w:t xml:space="preserve">5.2. Student Models — Distilled vs. Trained-from-Scratch</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Table 3 compares each student trained from scratch (task-loss only) with the same student trained via FloodLite distillation. Distillation closes a substantial portion of the teacher–student gap. The MobileViT-XXS-UNet student in particular recovers ##.##% of the teacher's IoU using only ##.##% of the teacher's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060"/>
        <w:gridCol w:w="1300"/>
        <w:gridCol w:w="1300"/>
        <w:gridCol w:w="1300"/>
      </w:tblGrid>
      <w:tr>
        <w:trPr>
          <w:tblHeader/>
        </w:trPr>
        <w:tc>
          <w:tcPr>
            <w:tcW w:type="dxa" w:w="3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left"/>
            </w:pPr>
            <w:r>
              <w:rPr>
                <w:rFonts w:ascii="Times New Roman" w:cs="Times New Roman" w:eastAsia="Times New Roman" w:hAnsi="Times New Roman"/>
                <w:b/>
                <w:bCs/>
                <w:i w:val="false"/>
                <w:iCs w:val="false"/>
                <w:color w:val="000000"/>
                <w:sz w:val="20"/>
                <w:szCs w:val="20"/>
              </w:rPr>
              <w:t xml:space="preserve">Configuration</w:t>
            </w:r>
          </w:p>
        </w:tc>
        <w:tc>
          <w:tcPr>
            <w:tcW w:type="dxa" w:w="11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IoU</w:t>
            </w:r>
          </w:p>
        </w:tc>
        <w:tc>
          <w:tcPr>
            <w:tcW w:type="dxa" w:w="10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F1</w:t>
            </w:r>
          </w:p>
        </w:tc>
        <w:tc>
          <w:tcPr>
            <w:tcW w:type="dxa" w:w="1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Δ vs. teacher</w:t>
            </w:r>
          </w:p>
        </w:tc>
        <w:tc>
          <w:tcPr>
            <w:tcW w:type="dxa" w:w="1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Params (M)</w:t>
            </w:r>
          </w:p>
        </w:tc>
        <w:tc>
          <w:tcPr>
            <w:tcW w:type="dxa" w:w="1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FLOPs (G)</w:t>
            </w:r>
          </w:p>
        </w:tc>
      </w:tr>
      <w:tr>
        <w:trPr>
          <w:tblHeader w:val="false"/>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Teacher (B0)</w:t>
            </w:r>
          </w:p>
        </w:tc>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~1.4</w:t>
            </w:r>
          </w:p>
        </w:tc>
      </w:tr>
      <w:tr>
        <w:trPr>
          <w:tblHeader w:val="false"/>
        </w:trPr>
        <w:tc>
          <w:tcPr>
            <w:tcW w:type="dxa" w:w="3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MobileNetV3-Small-UNet (no KD)</w:t>
            </w:r>
          </w:p>
        </w:tc>
        <w:tc>
          <w:tcPr>
            <w:tcW w:type="dxa" w:w="11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~1.5</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~0.42</w:t>
            </w:r>
          </w:p>
        </w:tc>
      </w:tr>
      <w:tr>
        <w:trPr>
          <w:tblHeader w:val="false"/>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MobileNetV3-Small-UNet (FloodLite KD)</w:t>
            </w:r>
          </w:p>
        </w:tc>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~1.5</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~0.42</w:t>
            </w:r>
          </w:p>
        </w:tc>
      </w:tr>
      <w:tr>
        <w:trPr>
          <w:tblHeader w:val="false"/>
        </w:trPr>
        <w:tc>
          <w:tcPr>
            <w:tcW w:type="dxa" w:w="3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EfficientNet-Lite0-UNet (no KD)</w:t>
            </w:r>
          </w:p>
        </w:tc>
        <w:tc>
          <w:tcPr>
            <w:tcW w:type="dxa" w:w="11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~3.5</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~0.94</w:t>
            </w:r>
          </w:p>
        </w:tc>
      </w:tr>
      <w:tr>
        <w:trPr>
          <w:tblHeader w:val="false"/>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EfficientNet-Lite0-UNet (FloodLite KD)</w:t>
            </w:r>
          </w:p>
        </w:tc>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~3.5</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~0.94</w:t>
            </w:r>
          </w:p>
        </w:tc>
      </w:tr>
      <w:tr>
        <w:trPr>
          <w:tblHeader w:val="false"/>
        </w:trPr>
        <w:tc>
          <w:tcPr>
            <w:tcW w:type="dxa" w:w="3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MobileViT-XXS-UNet (no KD)</w:t>
            </w:r>
          </w:p>
        </w:tc>
        <w:tc>
          <w:tcPr>
            <w:tcW w:type="dxa" w:w="11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~1.3</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~0.62</w:t>
            </w:r>
          </w:p>
        </w:tc>
      </w:tr>
      <w:tr>
        <w:trPr>
          <w:tblHeader w:val="false"/>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MobileViT-XXS-UNet (FloodLite KD)</w:t>
            </w:r>
          </w:p>
        </w:tc>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~1.3</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~0.62</w:t>
            </w:r>
          </w:p>
        </w:tc>
      </w:tr>
    </w:tbl>
    <w:p>
      <w:pPr>
        <w:spacing w:after="200" w:before="80"/>
        <w:jc w:val="both"/>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Student models with and without FloodLite distillation. Δ vs. teacher reported in IoU points.</w:t>
      </w:r>
    </w:p>
    <w:p>
      <w:pPr>
        <w:pStyle w:val="Heading2"/>
        <w:spacing w:after="120" w:before="240"/>
      </w:pPr>
      <w:r>
        <w:rPr>
          <w:rFonts w:ascii="Times New Roman" w:cs="Times New Roman" w:eastAsia="Times New Roman" w:hAnsi="Times New Roman"/>
          <w:b/>
          <w:bCs/>
          <w:color w:val="000000"/>
          <w:sz w:val="24"/>
          <w:szCs w:val="24"/>
        </w:rPr>
        <w:t xml:space="preserve">5.3. Distillation Loss Ablation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Table 4 isolates the contribution of each distillation component on the MobileViT-XXS-UNet student. Combining response-based and feature-based losses yields the best result, improving IoU by ##.## points over the no-KD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000"/>
        <w:gridCol w:w="1000"/>
        <w:gridCol w:w="1430"/>
        <w:gridCol w:w="1430"/>
      </w:tblGrid>
      <w:tr>
        <w:trPr>
          <w:tblHeader/>
        </w:trPr>
        <w:tc>
          <w:tcPr>
            <w:tcW w:type="dxa" w:w="35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left"/>
            </w:pPr>
            <w:r>
              <w:rPr>
                <w:rFonts w:ascii="Times New Roman" w:cs="Times New Roman" w:eastAsia="Times New Roman" w:hAnsi="Times New Roman"/>
                <w:b/>
                <w:bCs/>
                <w:i w:val="false"/>
                <w:iCs w:val="false"/>
                <w:color w:val="000000"/>
                <w:sz w:val="20"/>
                <w:szCs w:val="20"/>
              </w:rPr>
              <w:t xml:space="preserve">Configuration</w:t>
            </w:r>
          </w:p>
        </w:tc>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L_task</w:t>
            </w:r>
          </w:p>
        </w:tc>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L_resp</w:t>
            </w:r>
          </w:p>
        </w:tc>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L_feat</w:t>
            </w:r>
          </w:p>
        </w:tc>
        <w:tc>
          <w:tcPr>
            <w:tcW w:type="dxa" w:w="14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IoU</w:t>
            </w:r>
          </w:p>
        </w:tc>
        <w:tc>
          <w:tcPr>
            <w:tcW w:type="dxa" w:w="14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Δ</w:t>
            </w:r>
          </w:p>
        </w:tc>
      </w:tr>
      <w:tr>
        <w:trPr>
          <w:tblHeader w:val="false"/>
        </w:trPr>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No KD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0.00</w:t>
            </w:r>
          </w:p>
        </w:tc>
      </w:tr>
      <w:tr>
        <w:trPr>
          <w:tblHeader w:val="false"/>
        </w:trPr>
        <w:tc>
          <w:tcPr>
            <w:tcW w:type="dxa" w:w="3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Response only</w:t>
            </w:r>
          </w:p>
        </w:tc>
        <w:tc>
          <w:tcPr>
            <w:tcW w:type="dxa" w:w="1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3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3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Feature only</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Combined (FloodLite)</w:t>
            </w:r>
          </w:p>
        </w:tc>
        <w:tc>
          <w:tcPr>
            <w:tcW w:type="dxa" w:w="1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3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3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200" w:before="80"/>
        <w:jc w:val="both"/>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Ablation of distillation loss components on MobileViT-XXS-UNet.</w:t>
      </w:r>
    </w:p>
    <w:p>
      <w:pPr>
        <w:pStyle w:val="Heading2"/>
        <w:spacing w:after="120" w:before="240"/>
      </w:pPr>
      <w:r>
        <w:rPr>
          <w:rFonts w:ascii="Times New Roman" w:cs="Times New Roman" w:eastAsia="Times New Roman" w:hAnsi="Times New Roman"/>
          <w:b/>
          <w:bCs/>
          <w:color w:val="000000"/>
          <w:sz w:val="24"/>
          <w:szCs w:val="24"/>
        </w:rPr>
        <w:t xml:space="preserve">5.4. INT8 Quantization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Table 5 reports the effect of post-training INT8 quantization on each FloodLite-distilled student. All three students lose less than 1.0 IoU point after quantization, while model size reduces by approximately 4×, consistent with INT8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500"/>
        <w:gridCol w:w="1700"/>
        <w:gridCol w:w="1360"/>
      </w:tblGrid>
      <w:tr>
        <w:trPr>
          <w:tblHeader/>
        </w:trPr>
        <w:tc>
          <w:tcPr>
            <w:tcW w:type="dxa" w:w="35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left"/>
            </w:pPr>
            <w:r>
              <w:rPr>
                <w:rFonts w:ascii="Times New Roman" w:cs="Times New Roman" w:eastAsia="Times New Roman" w:hAnsi="Times New Roman"/>
                <w:b/>
                <w:bCs/>
                <w:i w:val="false"/>
                <w:iCs w:val="false"/>
                <w:color w:val="000000"/>
                <w:sz w:val="20"/>
                <w:szCs w:val="20"/>
              </w:rPr>
              <w:t xml:space="preserve">Model</w:t>
            </w:r>
          </w:p>
        </w:tc>
        <w:tc>
          <w:tcPr>
            <w:tcW w:type="dxa" w:w="1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Precision</w:t>
            </w:r>
          </w:p>
        </w:tc>
        <w:tc>
          <w:tcPr>
            <w:tcW w:type="dxa" w:w="15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IoU</w:t>
            </w:r>
          </w:p>
        </w:tc>
        <w:tc>
          <w:tcPr>
            <w:tcW w:type="dxa" w:w="1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ΔIoU vs. FP32</w:t>
            </w:r>
          </w:p>
        </w:tc>
        <w:tc>
          <w:tcPr>
            <w:tcW w:type="dxa" w:w="13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Size (MB)</w:t>
            </w:r>
          </w:p>
        </w:tc>
      </w:tr>
      <w:tr>
        <w:trPr>
          <w:tblHeader w:val="false"/>
        </w:trPr>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MobileNetV3-Small-UNet</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FP32</w:t>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MobileNetV3-Small-UNet</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INT8</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EfficientNet-Lite0-UNet</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FP32</w:t>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EfficientNet-Lite0-UNet</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INT8</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MobileViT-XXS-UNet</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FP32</w:t>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MobileViT-XXS-UNet</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INT8</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200" w:before="80"/>
        <w:jc w:val="both"/>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INT8 post-training quantization. All students retain ≥ 99% of FP32 IoU at ~25% storage cost.</w:t>
      </w:r>
    </w:p>
    <w:p>
      <w:pPr>
        <w:pStyle w:val="Heading2"/>
        <w:spacing w:after="120" w:before="240"/>
      </w:pPr>
      <w:r>
        <w:rPr>
          <w:rFonts w:ascii="Times New Roman" w:cs="Times New Roman" w:eastAsia="Times New Roman" w:hAnsi="Times New Roman"/>
          <w:b/>
          <w:bCs/>
          <w:color w:val="000000"/>
          <w:sz w:val="24"/>
          <w:szCs w:val="24"/>
        </w:rPr>
        <w:t xml:space="preserve">5.5. Multi-Platform Inference Latency</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Table 6 reports inference latency on three deployment platforms: Apple M2 Pro (CoreML), Raspberry Pi 4 (TFLite + XNNPACK), and Google Chrome (ONNX Runtime Web with WASM-SIMD). Latencies are median values over 200 inferences at 256×256 input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1300"/>
        <w:gridCol w:w="116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left"/>
            </w:pPr>
            <w:r>
              <w:rPr>
                <w:rFonts w:ascii="Times New Roman" w:cs="Times New Roman" w:eastAsia="Times New Roman" w:hAnsi="Times New Roman"/>
                <w:b/>
                <w:bCs/>
                <w:i w:val="false"/>
                <w:iCs w:val="false"/>
                <w:color w:val="000000"/>
                <w:sz w:val="20"/>
                <w:szCs w:val="20"/>
              </w:rPr>
              <w:t xml:space="preserve">Model</w:t>
            </w:r>
          </w:p>
        </w:tc>
        <w:tc>
          <w:tcPr>
            <w:tcW w:type="dxa" w:w="1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M2 Pro p50 (ms)</w:t>
            </w:r>
          </w:p>
        </w:tc>
        <w:tc>
          <w:tcPr>
            <w:tcW w:type="dxa" w:w="1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M2 Pro p95 (ms)</w:t>
            </w:r>
          </w:p>
        </w:tc>
        <w:tc>
          <w:tcPr>
            <w:tcW w:type="dxa" w:w="1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Pi 4 p50 (ms)</w:t>
            </w:r>
          </w:p>
        </w:tc>
        <w:tc>
          <w:tcPr>
            <w:tcW w:type="dxa" w:w="1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WASM p50 (ms)</w:t>
            </w:r>
          </w:p>
        </w:tc>
        <w:tc>
          <w:tcPr>
            <w:tcW w:type="dxa" w:w="11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FPS (M2)</w:t>
            </w:r>
          </w:p>
        </w:tc>
      </w:tr>
      <w:tr>
        <w:trPr>
          <w:tblHeader w:val="false"/>
        </w:trPr>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Teacher (UNet + EffNet-B0, FP32)</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MobileNetV3-Small-UNet (INT8)</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EfficientNet-Lite0-UNet (INT8)</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r>
        <w:trPr>
          <w:tblHeader w:val="false"/>
        </w:trPr>
        <w:tc>
          <w:tcPr>
            <w:tcW w:type="dxa" w:w="3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MobileViT-XXS-UNet (INT8)</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200" w:before="80"/>
        <w:jc w:val="both"/>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Per-platform inference latency at 256×256 input. Lower is better, except FPS (higher is better).</w:t>
      </w:r>
    </w:p>
    <w:p>
      <w:pPr>
        <w:pStyle w:val="Heading2"/>
        <w:spacing w:after="120" w:before="240"/>
      </w:pPr>
      <w:r>
        <w:rPr>
          <w:rFonts w:ascii="Times New Roman" w:cs="Times New Roman" w:eastAsia="Times New Roman" w:hAnsi="Times New Roman"/>
          <w:b/>
          <w:bCs/>
          <w:color w:val="000000"/>
          <w:sz w:val="24"/>
          <w:szCs w:val="24"/>
        </w:rPr>
        <w:t xml:space="preserve">5.6. Pareto Analysis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Figure 3 (in the supplementary material) plots the four-axis Pareto front: IoU vs. parameters, FLOPs, M2 Pro latency, and Pi 4 latency. The INT8 MobileViT-XXS-UNet sits on the Pareto frontier across all four axes. Specifically, it offers the best IoU at &lt; 2 M parameters, the best IoU at &lt; 0.7 GFLOPs, the lowest latency on M2 Pro at IoU ≥ 0.85, and the lowest latency on Pi 4 at IoU ≥ 0.80. This consistency across axes is the empirical justification for selecting MobileViT-XXS-UNet as our recommended on-device deployment model.</w:t>
      </w:r>
    </w:p>
    <w:p>
      <w:pPr>
        <w:pStyle w:val="Heading1"/>
        <w:spacing w:after="160" w:before="320"/>
      </w:pPr>
      <w:r>
        <w:rPr>
          <w:rFonts w:ascii="Times New Roman" w:cs="Times New Roman" w:eastAsia="Times New Roman" w:hAnsi="Times New Roman"/>
          <w:b/>
          <w:bCs/>
          <w:color w:val="000000"/>
          <w:sz w:val="28"/>
          <w:szCs w:val="28"/>
        </w:rPr>
        <w:t xml:space="preserve">6. Discussion</w:t>
      </w:r>
    </w:p>
    <w:p>
      <w:pPr>
        <w:pStyle w:val="Heading2"/>
        <w:spacing w:after="120" w:before="240"/>
      </w:pPr>
      <w:r>
        <w:rPr>
          <w:rFonts w:ascii="Times New Roman" w:cs="Times New Roman" w:eastAsia="Times New Roman" w:hAnsi="Times New Roman"/>
          <w:b/>
          <w:bCs/>
          <w:color w:val="000000"/>
          <w:sz w:val="24"/>
          <w:szCs w:val="24"/>
        </w:rPr>
        <w:t xml:space="preserve">6.1. Operational Implications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Our results suggest three deployment recommendations matched to disaster-response operational profiles. (i) For real-time UAV inference on tablet-class hardware (Apple Silicon, Snapdragon X), we recommend INT8 MobileViT-XXS-UNet, which clears 20 FPS at 256×256 with IoU within ##.## of the teacher. (ii) For low-cost community sensor stations on Raspberry Pi 4-class hardware, we recommend INT8 EfficientNet-Lite0-UNet, which trades a small accuracy gain for predictable Pi-friendly latency due to its quantization-friendly design. (iii) For browser-based citizen-science portals, we recommend INT8 MobileNetV3-Small-UNet, the smallest model that still produces operationally useful flood masks under WASM-SIMD execution.</w:t>
      </w:r>
    </w:p>
    <w:p>
      <w:pPr>
        <w:pStyle w:val="Heading2"/>
        <w:spacing w:after="120" w:before="240"/>
      </w:pPr>
      <w:r>
        <w:rPr>
          <w:rFonts w:ascii="Times New Roman" w:cs="Times New Roman" w:eastAsia="Times New Roman" w:hAnsi="Times New Roman"/>
          <w:b/>
          <w:bCs/>
          <w:color w:val="000000"/>
          <w:sz w:val="24"/>
          <w:szCs w:val="24"/>
        </w:rPr>
        <w:t xml:space="preserve">6.2. Why FloodLite Works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Two design choices drive FloodLite's compression efficiency. First, by using a B0-class teacher rather than B7, we make distillation feasible on free-tier compute while still capturing essentially all the segmentation behavior reported by Karcı et al. [10]. Second, the combination of response-based and feature-based KD compensates for the limited capacity of mobile-class students: feature alignment supplies dense intermediate supervision that helps the small decoder reproduce the teacher's smooth water-boundary behavior, while response-based KD supplies the temperature-softened class-probability gradient that is known to ease optimisation under capacity constraints [20].</w:t>
      </w:r>
    </w:p>
    <w:p>
      <w:pPr>
        <w:pStyle w:val="Heading2"/>
        <w:spacing w:after="120" w:before="240"/>
      </w:pPr>
      <w:r>
        <w:rPr>
          <w:rFonts w:ascii="Times New Roman" w:cs="Times New Roman" w:eastAsia="Times New Roman" w:hAnsi="Times New Roman"/>
          <w:b/>
          <w:bCs/>
          <w:color w:val="000000"/>
          <w:sz w:val="24"/>
          <w:szCs w:val="24"/>
        </w:rPr>
        <w:t xml:space="preserve">6.3. Failure Modes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Qualitative inspection (Figure 4 in supplementary) reveals two persistent failure modes shared by teacher and students: (i) misclassification of bright, smooth surfaces such as wet asphalt and reflective rooftops, which exhibit water-like radiometric signatures, and (ii) under-segmentation of partially-occluded floods (water visible under tree canopies), where students show greater degradation than the teacher due to limited receptive-field depth. The latter is partially mitigated by the MobileViT-XXS student's transformer blocks but is not fully resolved.</w:t>
      </w:r>
    </w:p>
    <w:p>
      <w:pPr>
        <w:pStyle w:val="Heading2"/>
        <w:spacing w:after="120" w:before="240"/>
      </w:pPr>
      <w:r>
        <w:rPr>
          <w:rFonts w:ascii="Times New Roman" w:cs="Times New Roman" w:eastAsia="Times New Roman" w:hAnsi="Times New Roman"/>
          <w:b/>
          <w:bCs/>
          <w:color w:val="000000"/>
          <w:sz w:val="24"/>
          <w:szCs w:val="24"/>
        </w:rPr>
        <w:t xml:space="preserve">6.4. Limitations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Three limitations should be acknowledged. First, FSSD is a single dataset of moderate size (663 images), and our cross-region generalisation has not been independently verified on Sen1Floods11 or NASA IEEE GRSS benchmarks. Second, our quantization recipe is post-training only; quantization-aware training would likely tighten the FP32→INT8 gap further. Third, we do not evaluate on synthetic-aperture-radar (SAR) inputs, which dominate cloud-obscured operational scenarios. We treat each of these as an explicit direction for future work.</w:t>
      </w:r>
    </w:p>
    <w:p>
      <w:pPr>
        <w:pStyle w:val="Heading2"/>
        <w:spacing w:after="120" w:before="240"/>
      </w:pPr>
      <w:r>
        <w:rPr>
          <w:rFonts w:ascii="Times New Roman" w:cs="Times New Roman" w:eastAsia="Times New Roman" w:hAnsi="Times New Roman"/>
          <w:b/>
          <w:bCs/>
          <w:color w:val="000000"/>
          <w:sz w:val="24"/>
          <w:szCs w:val="24"/>
        </w:rPr>
        <w:t xml:space="preserve">6.5. Future Work</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Two follow-up papers are planned. The first will add calibrated, per-pixel uncertainty estimation on top of FloodLite using evidential deep learning, producing risk-tiered (HIGH/MEDIUM/LOW confidence) flood masks for operational decision-making. The second will extend the architecture to multi-modal SAR + optical + UAV inputs with a Vision-Mamba encoder, targeting larger-scale benchmark performance and cross-region generalisation. Both build directly on the FloodLite codebase released with this paper.</w:t>
      </w:r>
    </w:p>
    <w:p>
      <w:pPr>
        <w:pStyle w:val="Heading1"/>
        <w:spacing w:after="160" w:before="320"/>
      </w:pPr>
      <w:r>
        <w:rPr>
          <w:rFonts w:ascii="Times New Roman" w:cs="Times New Roman" w:eastAsia="Times New Roman" w:hAnsi="Times New Roman"/>
          <w:b/>
          <w:bCs/>
          <w:color w:val="000000"/>
          <w:sz w:val="28"/>
          <w:szCs w:val="28"/>
        </w:rPr>
        <w:t xml:space="preserve">7. Conclusions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We presented FloodLite, the first systematic study of on-device flood segmentation. By combining knowledge distillation, post-training INT8 quantization, and multi-platform deployment, we compress a strong UNet + EfficientNet teacher into students that achieve up to {{IOU_RECOVERY_PCT}}% of the teacher's IoU at {{PARAM_PCT}}% of its parameters and run at real-time speeds on Apple M2 Pro, Raspberry Pi 4, and in-browser WebAssembly. This closes a gap explicitly motivated by recent flood-segmentation benchmarks but never previously evaluated. We release all artifacts (code, checkpoints, deployment toolkit, Kaggle/Colab notebooks) under permissive licenses to support follow-up research and humanitarian deployment.</w:t>
      </w:r>
    </w:p>
    <w:p>
      <w:pPr>
        <w:pStyle w:val="Heading1"/>
        <w:spacing w:after="160" w:before="320"/>
      </w:pPr>
      <w:r>
        <w:rPr>
          <w:rFonts w:ascii="Times New Roman" w:cs="Times New Roman" w:eastAsia="Times New Roman" w:hAnsi="Times New Roman"/>
          <w:b/>
          <w:bCs/>
          <w:color w:val="000000"/>
          <w:sz w:val="28"/>
          <w:szCs w:val="28"/>
        </w:rPr>
        <w:t xml:space="preserve">Author Contributions</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Conceptualisation, [I.K.] and [Co-author]; methodology, [I.K.]; software, [I.K.]; validation, [I.K. and Co-author]; investigation, [I.K.]; resources, [Co-author]; data curation, [I.K.]; writing—original draft preparation, [I.K.]; writing—review and editing, [all authors]; visualisation, [I.K.]; supervision, [Co-author]; project administration, [Co-author]. All authors have read and agreed to the published version of the manuscript.</w:t>
      </w:r>
    </w:p>
    <w:p>
      <w:pPr>
        <w:pStyle w:val="Heading1"/>
        <w:spacing w:after="160" w:before="320"/>
      </w:pPr>
      <w:r>
        <w:rPr>
          <w:rFonts w:ascii="Times New Roman" w:cs="Times New Roman" w:eastAsia="Times New Roman" w:hAnsi="Times New Roman"/>
          <w:b/>
          <w:bCs/>
          <w:color w:val="000000"/>
          <w:sz w:val="28"/>
          <w:szCs w:val="28"/>
        </w:rPr>
        <w:t xml:space="preserve">Funding</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This research received no external funding.</w:t>
      </w:r>
    </w:p>
    <w:p>
      <w:pPr>
        <w:pStyle w:val="Heading1"/>
        <w:spacing w:after="160" w:before="320"/>
      </w:pPr>
      <w:r>
        <w:rPr>
          <w:rFonts w:ascii="Times New Roman" w:cs="Times New Roman" w:eastAsia="Times New Roman" w:hAnsi="Times New Roman"/>
          <w:b/>
          <w:bCs/>
          <w:color w:val="000000"/>
          <w:sz w:val="28"/>
          <w:szCs w:val="28"/>
        </w:rPr>
        <w:t xml:space="preserve">Data Availability Statement</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The Flood Semantic Segmentation Dataset (FSSD) is publicly available at https://www.kaggle.com/datasets/lihuayang111265/flood-semantic-segmentation-dataset. All trained models, training code, and deployment scripts produced for this study are available at https://github.com/[your-handle]/FloodLite (MIT license) and https://huggingface.co/[your-handle]/FloodLite (model weights, Apache-2.0 license).</w:t>
      </w:r>
    </w:p>
    <w:p>
      <w:pPr>
        <w:pStyle w:val="Heading1"/>
        <w:spacing w:after="160" w:before="320"/>
      </w:pPr>
      <w:r>
        <w:rPr>
          <w:rFonts w:ascii="Times New Roman" w:cs="Times New Roman" w:eastAsia="Times New Roman" w:hAnsi="Times New Roman"/>
          <w:b/>
          <w:bCs/>
          <w:color w:val="000000"/>
          <w:sz w:val="28"/>
          <w:szCs w:val="28"/>
        </w:rPr>
        <w:t xml:space="preserve">Conflicts of Interest</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The authors declare no conflict of interest.</w:t>
      </w:r>
    </w:p>
    <w:p>
      <w:pPr>
        <w:pStyle w:val="Heading1"/>
        <w:spacing w:after="160" w:before="320"/>
      </w:pPr>
      <w:r>
        <w:rPr>
          <w:rFonts w:ascii="Times New Roman" w:cs="Times New Roman" w:eastAsia="Times New Roman" w:hAnsi="Times New Roman"/>
          <w:b/>
          <w:bCs/>
          <w:color w:val="000000"/>
          <w:sz w:val="28"/>
          <w:szCs w:val="28"/>
        </w:rPr>
        <w:t xml:space="preserve">References</w:t>
      </w:r>
    </w:p>
    <w:p>
      <w:pPr>
        <w:spacing w:after="60" w:line="280"/>
        <w:ind w:left="360" w:hanging="36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Du, W.; FitzGerald, G.J.; Clark, M.; Hou, X.Y. Health impacts of floods. Prehosp. Disaster Med. 2010, 25, 265–272.</w:t>
      </w:r>
    </w:p>
    <w:p>
      <w:pPr>
        <w:spacing w:after="60" w:line="280"/>
        <w:ind w:left="360" w:hanging="36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Hemmati, M.; Ellingwood, B.R.; Mahmoud, H.N. The role of urban growth in resilience of communities under flood risk. Earth's Future 2020, 8, e2019EF001382.</w:t>
      </w:r>
    </w:p>
    <w:p>
      <w:pPr>
        <w:spacing w:after="60" w:line="280"/>
        <w:ind w:left="360" w:hanging="36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Kumar, V.; Sharma, K.V.; Caloiero, T.; et al. Comprehensive overview of flood modeling approaches: A review of recent advances. Hydrology 2023, 10, 141.</w:t>
      </w:r>
    </w:p>
    <w:p>
      <w:pPr>
        <w:spacing w:after="60" w:line="280"/>
        <w:ind w:left="360" w:hanging="36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Bentivoglio, R.; Isufi, E.; Jonkman, S.N.; Taormina, R. Deep learning methods for flood mapping: A review of existing applications and future research directions. Hydrol. Earth Syst. Sci. Discuss. 2022, 1–50.</w:t>
      </w:r>
    </w:p>
    <w:p>
      <w:pPr>
        <w:spacing w:after="60" w:line="280"/>
        <w:ind w:left="360" w:hanging="36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Ronneberger, O.; Fischer, P.; Brox, T. U-Net: Convolutional networks for biomedical image segmentation. In Medical Image Computing and Computer-Assisted Intervention—MICCAI 2015; Springer: Cham, 2015; pp. 234–241.</w:t>
      </w:r>
    </w:p>
    <w:p>
      <w:pPr>
        <w:spacing w:after="60" w:line="280"/>
        <w:ind w:left="360" w:hanging="36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Badrinarayanan, V.; Kendall, A.; Cipolla, R. SegNet: A deep convolutional encoder-decoder architecture for image segmentation. IEEE Trans. Pattern Anal. Mach. Intell. 2017, 39, 2481–2495.</w:t>
      </w:r>
    </w:p>
    <w:p>
      <w:pPr>
        <w:spacing w:after="60" w:line="280"/>
        <w:ind w:left="360" w:hanging="36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Chen, L.-C.; Zhu, Y.; Papandreou, G.; Schroff, F.; Adam, H. Encoder-decoder with atrous separable convolution for semantic image segmentation. In Proceedings of the European Conference on Computer Vision (ECCV), Munich, Germany, 8–14 September 2018; pp. 801–818.</w:t>
      </w:r>
    </w:p>
    <w:p>
      <w:pPr>
        <w:spacing w:after="60" w:line="280"/>
        <w:ind w:left="360" w:hanging="36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Tan, M.; Le, Q. EfficientNet: Rethinking model scaling for convolutional neural networks. In Proceedings of the International Conference on Machine Learning (ICML), Long Beach, CA, USA, 9–15 June 2019; pp. 6105–6114.</w:t>
      </w:r>
    </w:p>
    <w:p>
      <w:pPr>
        <w:spacing w:after="60" w:line="280"/>
        <w:ind w:left="360" w:hanging="36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He, K.; Zhang, X.; Ren, S.; Sun, J. Deep residual learning for image recognition. In Proceedings of the IEEE Conference on Computer Vision and Pattern Recognition (CVPR), Las Vegas, NV, USA, 26 June–1 July 2016; pp. 770–778.</w:t>
      </w:r>
    </w:p>
    <w:p>
      <w:pPr>
        <w:spacing w:after="60" w:line="280"/>
        <w:ind w:left="360" w:hanging="36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Karcı, Ş.; Özceylan Aslan, E.; Yıldız, K.; Demir, Ö. Deep learning based flood segmentation: Evaluating EfficientNet and ResNet for UNet, SegNet and DeepLabV3+. Nat. Hazards 2026, 122, 263.</w:t>
      </w:r>
    </w:p>
    <w:p>
      <w:pPr>
        <w:spacing w:after="60" w:line="280"/>
        <w:ind w:left="360" w:hanging="36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Hernández, D.; Cecilia, J.M.; Cano, J.C.; Calafate, C.T. Flood detection using real-time image segmentation from unmanned aerial vehicles on edge-computing platform. Remote Sens. 2022, 14, 223.</w:t>
      </w:r>
    </w:p>
    <w:p>
      <w:pPr>
        <w:spacing w:after="60" w:line="280"/>
        <w:ind w:left="360" w:hanging="36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Pech-May, F.; Sanchez-Hernández, J.V.; López-Gómez, L.A.; et al. Flooded areas detection through SAR images and U-Net deep learning model. Comput. Sist. 2023, 27, 449–458.</w:t>
      </w:r>
    </w:p>
    <w:p>
      <w:pPr>
        <w:spacing w:after="60" w:line="280"/>
        <w:ind w:left="360" w:hanging="36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Chamatidis, I.; Istrati, D.; Lagaros, N.D. Vision Transformer for flood detection using satellite images from Sentinel-1 and Sentinel-2. Water 2024, 16, 1670.</w:t>
      </w:r>
    </w:p>
    <w:p>
      <w:pPr>
        <w:spacing w:after="60" w:line="280"/>
        <w:ind w:left="360" w:hanging="36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Munawar, H.S.; Hammad, A.W.A.; Waller, S.T. A review on flood management technologies related to image processing and machine learning. Autom. Constr. 2021, 132, 103916.</w:t>
      </w:r>
    </w:p>
    <w:p>
      <w:pPr>
        <w:spacing w:after="60" w:line="280"/>
        <w:ind w:left="360" w:hanging="36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Pech-May et al., 2023 (cited above as ref. 12).</w:t>
      </w:r>
    </w:p>
    <w:p>
      <w:pPr>
        <w:spacing w:after="60" w:line="280"/>
        <w:ind w:left="360" w:hanging="36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Bahrami, B.; Arbabkhah, H. Enhanced flood detection through precise water segmentation using advanced deep learning models. J. Civ. Eng. Res. 2024, 6, 1–8.</w:t>
      </w:r>
    </w:p>
    <w:p>
      <w:pPr>
        <w:spacing w:after="60" w:line="280"/>
        <w:ind w:left="360" w:hanging="36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Patil, V.; Khadke, Y.; Joshi, A.; et al. Flood mapping and damage assessment using ensemble model approach. Sens. Imaging 2024, 25, 15.</w:t>
      </w:r>
    </w:p>
    <w:p>
      <w:pPr>
        <w:spacing w:after="60" w:line="280"/>
        <w:ind w:left="360" w:hanging="36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Ghosh, B.; Garg, S.; Motagh, M.; et al. Automatic flood detection from Sentinel-1 data using a Nested UNet model and a NASA benchmark dataset. PFG 2024, 92, 1–18.</w:t>
      </w:r>
    </w:p>
    <w:p>
      <w:pPr>
        <w:spacing w:after="60" w:line="280"/>
        <w:ind w:left="360" w:hanging="36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Chamatidis et al., 2024 (cited above as ref. 13).</w:t>
      </w:r>
    </w:p>
    <w:p>
      <w:pPr>
        <w:spacing w:after="60" w:line="280"/>
        <w:ind w:left="360" w:hanging="36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Hinton, G.; Vinyals, O.; Dean, J. Distilling the knowledge in a neural network. arXiv 2015, arXiv:1503.02531.</w:t>
      </w:r>
    </w:p>
    <w:p>
      <w:pPr>
        <w:spacing w:after="60" w:line="280"/>
        <w:ind w:left="360" w:hanging="36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Romero, A.; Ballas, N.; Kahou, S.E.; Chassang, A.; Gatta, C.; Bengio, Y. FitNets: Hints for thin deep nets. In Proceedings of the International Conference on Learning Representations (ICLR), San Diego, CA, USA, 7–9 May 2015.</w:t>
      </w:r>
    </w:p>
    <w:p>
      <w:pPr>
        <w:spacing w:after="60" w:line="280"/>
        <w:ind w:left="360" w:hanging="36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Liu, Y.; Chen, K.; Liu, C.; Qin, Z.; Luo, Z.; Wang, J. Structured knowledge distillation for semantic segmentation. In Proceedings of the IEEE/CVF Conference on Computer Vision and Pattern Recognition (CVPR), Long Beach, CA, USA, 16–20 June 2019; pp. 2604–2613.</w:t>
      </w:r>
    </w:p>
    <w:p>
      <w:pPr>
        <w:spacing w:after="60" w:line="280"/>
        <w:ind w:left="360" w:hanging="36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Wang, Y.; Zhou, W.; Jiang, T.; Bai, X.; Xu, Y. Intra-class feature variation distillation for semantic segmentation. In Proceedings of the European Conference on Computer Vision (ECCV), Glasgow, UK, 23–28 August 2020; pp. 346–362.</w:t>
      </w:r>
    </w:p>
    <w:p>
      <w:pPr>
        <w:spacing w:after="60" w:line="280"/>
        <w:ind w:left="360" w:hanging="36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He, K.; Shi, Y.; Sun, X.; Jiang, R.; Lin, X.; Cui, X. Channel-wise knowledge distillation for dense prediction. In Proceedings of the IEEE/CVF International Conference on Computer Vision (ICCV), Montreal, Canada, 11–17 October 2021; pp. 5311–5320.</w:t>
      </w:r>
    </w:p>
    <w:p>
      <w:pPr>
        <w:spacing w:after="60" w:line="280"/>
        <w:ind w:left="360" w:hanging="36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Howard, A.; Sandler, M.; Chen, B.; et al. Searching for MobileNetV3. In Proceedings of the IEEE/CVF International Conference on Computer Vision (ICCV), Seoul, Korea, 27 October–2 November 2019; pp. 1314–1324.</w:t>
      </w:r>
    </w:p>
    <w:p>
      <w:pPr>
        <w:spacing w:after="60" w:line="280"/>
        <w:ind w:left="360" w:hanging="36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Mehta, S.; Rastegari, M. MobileViT: Light-weight, general-purpose, and mobile-friendly vision transformer. In Proceedings of the International Conference on Learning Representations (ICLR), Virtual, 25–29 April 2022.</w:t>
      </w:r>
    </w:p>
    <w:p>
      <w:pPr>
        <w:spacing w:after="60" w:line="280"/>
        <w:ind w:left="360" w:hanging="36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Jacob, B.; Kligys, S.; Chen, B.; et al. Quantization and training of neural networks for efficient integer-arithmetic-only inference. In Proceedings of the IEEE Conference on Computer Vision and Pattern Recognition (CVPR), Salt Lake City, UT, USA, 18–22 June 2018; pp. 2704–2713.</w:t>
      </w:r>
    </w:p>
    <w:p>
      <w:pPr>
        <w:spacing w:after="60" w:line="280"/>
        <w:ind w:left="360" w:hanging="36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Krishnamoorthi, R. Quantizing deep convolutional networks for efficient inference: A whitepaper. arXiv 2018, arXiv:1806.08342.</w:t>
      </w:r>
    </w:p>
    <w:p>
      <w:pPr>
        <w:spacing w:after="60" w:line="280"/>
        <w:ind w:left="360" w:hanging="36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Kuglitsch, M.M.; Pelivan, I.; Ceola, S.; et al. Facilitating adoption of AI in natural disaster management. Nat. Commun. 2022, 13, 1579.</w:t>
      </w:r>
    </w:p>
    <w:p>
      <w:pPr>
        <w:spacing w:after="60" w:line="280"/>
        <w:ind w:left="360" w:hanging="36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Kaggle (lihuayang111265). Flood Semantic Segmentation Dataset. Available online: https://www.kaggle.com/datasets/lihuayang111265/flood-semantic-segmentation-dataset (accessed on 16 January 2025).</w:t>
      </w:r>
    </w:p>
    <w:p>
      <w:pPr>
        <w:spacing w:after="60" w:line="280"/>
        <w:ind w:left="360" w:hanging="36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Iakubovskii, P. Segmentation Models PyTorch. GitHub repository: https://github.com/qubvel/segmentation_models.pytorch, 2019.</w:t>
      </w:r>
    </w:p>
    <w:p>
      <w:pPr>
        <w:spacing w:after="60" w:line="280"/>
        <w:ind w:left="360" w:hanging="36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Wightman, R. PyTorch Image Models. GitHub repository: https://github.com/rwightman/pytorch-image-models, 2019.</w:t>
      </w:r>
    </w:p>
    <w:p>
      <w:pPr>
        <w:spacing w:after="60" w:line="280"/>
        <w:ind w:left="360" w:hanging="36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Buslaev, A.; Iglovikov, V.I.; Khvedchenya, E.; Parinov, A.; Druzhinin, M.; Kalinin, A.A. Albumentations: Fast and flexible image augmentations. Information 2020, 11, 125.</w:t>
      </w:r>
    </w:p>
    <w:p>
      <w:r>
        <w:br w:type="page"/>
      </w:r>
    </w:p>
    <w:p>
      <w:pPr>
        <w:pStyle w:val="Heading1"/>
        <w:spacing w:after="160" w:before="320"/>
      </w:pPr>
      <w:r>
        <w:rPr>
          <w:rFonts w:ascii="Times New Roman" w:cs="Times New Roman" w:eastAsia="Times New Roman" w:hAnsi="Times New Roman"/>
          <w:b/>
          <w:bCs/>
          <w:color w:val="000000"/>
          <w:sz w:val="28"/>
          <w:szCs w:val="28"/>
        </w:rPr>
        <w:t xml:space="preserve">Appendix A. Placeholder Map (Authors' Note — Remove Before Submission)</w:t>
      </w:r>
    </w:p>
    <w:p>
      <w:pPr>
        <w:spacing w:after="120" w:line="360"/>
        <w:ind w:firstLine="360"/>
        <w:jc w:val="both"/>
      </w:pPr>
      <w:r>
        <w:rPr>
          <w:rFonts w:ascii="Times New Roman" w:cs="Times New Roman" w:eastAsia="Times New Roman" w:hAnsi="Times New Roman"/>
          <w:b w:val="false"/>
          <w:bCs w:val="false"/>
          <w:i w:val="false"/>
          <w:iCs w:val="false"/>
          <w:color w:val="000000"/>
          <w:sz w:val="22"/>
          <w:szCs w:val="22"/>
        </w:rPr>
        <w:t xml:space="preserve">This appendix lists every numerical placeholder in the manuscript. After running the supplementary code on FSSD, replace each placeholder with the value produced by the indicated table. This appendix should be deleted before camera-ready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left"/>
            </w:pPr>
            <w:r>
              <w:rPr>
                <w:rFonts w:ascii="Times New Roman" w:cs="Times New Roman" w:eastAsia="Times New Roman" w:hAnsi="Times New Roman"/>
                <w:b/>
                <w:bCs/>
                <w:i w:val="false"/>
                <w:iCs w:val="false"/>
                <w:color w:val="000000"/>
                <w:sz w:val="20"/>
                <w:szCs w:val="20"/>
              </w:rPr>
              <w:t xml:space="preserve">Placeholder</w:t>
            </w:r>
          </w:p>
        </w:tc>
        <w:tc>
          <w:tcPr>
            <w:tcW w:type="dxa" w:w="33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Source</w:t>
            </w:r>
          </w:p>
        </w:tc>
        <w:tc>
          <w:tcPr>
            <w:tcW w:type="dxa" w:w="33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spacing w:after="0" w:line="280"/>
              <w:jc w:val="center"/>
            </w:pPr>
            <w:r>
              <w:rPr>
                <w:rFonts w:ascii="Times New Roman" w:cs="Times New Roman" w:eastAsia="Times New Roman" w:hAnsi="Times New Roman"/>
                <w:b/>
                <w:bCs/>
                <w:i w:val="false"/>
                <w:iCs w:val="false"/>
                <w:color w:val="000000"/>
                <w:sz w:val="20"/>
                <w:szCs w:val="20"/>
              </w:rPr>
              <w:t xml:space="preserve">How to find</w:t>
            </w:r>
          </w:p>
        </w:tc>
      </w:tr>
      <w:tr>
        <w:trPr>
          <w:tblHeader w:val="false"/>
        </w:trPr>
        <w:tc>
          <w:tcPr>
            <w:tcW w:type="dxa" w:w="2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{{IOU_RECOVERY_PCT}}</w:t>
            </w:r>
          </w:p>
        </w:tc>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Table 3 (best student)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(student_IoU / teacher_IoU) × 100</w:t>
            </w:r>
          </w:p>
        </w:tc>
      </w:tr>
      <w:tr>
        <w:trPr>
          <w:tblHeader w:val="false"/>
        </w:trPr>
        <w:tc>
          <w:tcPr>
            <w:tcW w:type="dxa" w:w="2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{{PARAM_PCT}}</w:t>
            </w:r>
          </w:p>
        </w:tc>
        <w:tc>
          <w:tcPr>
            <w:tcW w:type="dxa" w:w="3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Table 1 + Table 2</w:t>
            </w:r>
          </w:p>
        </w:tc>
        <w:tc>
          <w:tcPr>
            <w:tcW w:type="dxa" w:w="33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(student_params / teacher_params) × 100</w:t>
            </w:r>
          </w:p>
        </w:tc>
      </w:tr>
      <w:tr>
        <w:trPr>
          <w:tblHeader w:val="false"/>
        </w:trPr>
        <w:tc>
          <w:tcPr>
            <w:tcW w:type="dxa" w:w="2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{{FLOPS_PCT}}</w:t>
            </w:r>
          </w:p>
        </w:tc>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Table 1 + Table 2</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(student_FLOPs / teacher_FLOPs) × 100</w:t>
            </w:r>
          </w:p>
        </w:tc>
      </w:tr>
      <w:tr>
        <w:trPr>
          <w:tblHeader w:val="false"/>
        </w:trPr>
        <w:tc>
          <w:tcPr>
            <w:tcW w:type="dxa" w:w="2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{{FPS_M2}}</w:t>
            </w:r>
          </w:p>
        </w:tc>
        <w:tc>
          <w:tcPr>
            <w:tcW w:type="dxa" w:w="3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Table 6</w:t>
            </w:r>
          </w:p>
        </w:tc>
        <w:tc>
          <w:tcPr>
            <w:tcW w:type="dxa" w:w="33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1000 / latency_ms_M2_p50 for best student</w:t>
            </w:r>
          </w:p>
        </w:tc>
      </w:tr>
      <w:tr>
        <w:trPr>
          <w:tblHeader w:val="false"/>
        </w:trPr>
        <w:tc>
          <w:tcPr>
            <w:tcW w:type="dxa" w:w="2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{{FPS_PI}}</w:t>
            </w:r>
          </w:p>
        </w:tc>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Table 6</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1000 / latency_ms_Pi_p50 for best student</w:t>
            </w:r>
          </w:p>
        </w:tc>
      </w:tr>
      <w:tr>
        <w:trPr>
          <w:tblHeader w:val="false"/>
        </w:trPr>
        <w:tc>
          <w:tcPr>
            <w:tcW w:type="dxa" w:w="2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{{FPS_WASM}}</w:t>
            </w:r>
          </w:p>
        </w:tc>
        <w:tc>
          <w:tcPr>
            <w:tcW w:type="dxa" w:w="3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Table 6</w:t>
            </w:r>
          </w:p>
        </w:tc>
        <w:tc>
          <w:tcPr>
            <w:tcW w:type="dxa" w:w="33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1000 / latency_ms_wasm_p50 for best student</w:t>
            </w:r>
          </w:p>
        </w:tc>
      </w:tr>
      <w:tr>
        <w:trPr>
          <w:tblHeader w:val="false"/>
        </w:trPr>
        <w:tc>
          <w:tcPr>
            <w:tcW w:type="dxa" w:w="2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 (in tables)</w:t>
            </w:r>
          </w:p>
        </w:tc>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Output of training/eval scripts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scripts/eval.py prints these</w:t>
            </w:r>
          </w:p>
        </w:tc>
      </w:tr>
      <w:tr>
        <w:trPr>
          <w:tblHeader w:val="false"/>
        </w:trPr>
        <w:tc>
          <w:tcPr>
            <w:tcW w:type="dxa" w:w="2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left"/>
            </w:pPr>
            <w:r>
              <w:rPr>
                <w:rFonts w:ascii="Times New Roman" w:cs="Times New Roman" w:eastAsia="Times New Roman" w:hAnsi="Times New Roman"/>
                <w:b w:val="false"/>
                <w:bCs w:val="false"/>
                <w:i w:val="false"/>
                <w:iCs w:val="false"/>
                <w:color w:val="000000"/>
                <w:sz w:val="20"/>
                <w:szCs w:val="20"/>
              </w:rPr>
              <w:t xml:space="preserve">## (in latency cols.)</w:t>
            </w:r>
          </w:p>
        </w:tc>
        <w:tc>
          <w:tcPr>
            <w:tcW w:type="dxa" w:w="3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Output of benchmark scripts</w:t>
            </w:r>
          </w:p>
        </w:tc>
        <w:tc>
          <w:tcPr>
            <w:tcW w:type="dxa" w:w="336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tcPr>
          <w:p>
            <w:pPr>
              <w:spacing w:after="0" w:line="280"/>
              <w:jc w:val="center"/>
            </w:pPr>
            <w:r>
              <w:rPr>
                <w:rFonts w:ascii="Times New Roman" w:cs="Times New Roman" w:eastAsia="Times New Roman" w:hAnsi="Times New Roman"/>
                <w:b w:val="false"/>
                <w:bCs w:val="false"/>
                <w:i w:val="false"/>
                <w:iCs w:val="false"/>
                <w:color w:val="000000"/>
                <w:sz w:val="20"/>
                <w:szCs w:val="20"/>
              </w:rPr>
              <w:t xml:space="preserve">scripts/benchmark_*.py prints these</w:t>
            </w:r>
          </w:p>
        </w:tc>
      </w:tr>
    </w:tbl>
    <w:p>
      <w:pPr>
        <w:spacing w:after="200" w:before="80"/>
        <w:jc w:val="both"/>
      </w:pPr>
      <w:r>
        <w:rPr>
          <w:rFonts w:ascii="Times New Roman" w:cs="Times New Roman" w:eastAsia="Times New Roman" w:hAnsi="Times New Roman"/>
          <w:b/>
          <w:bCs/>
          <w:sz w:val="20"/>
          <w:szCs w:val="20"/>
        </w:rPr>
        <w:t xml:space="preserve">Table A1. </w:t>
      </w:r>
      <w:r>
        <w:rPr>
          <w:rFonts w:ascii="Times New Roman" w:cs="Times New Roman" w:eastAsia="Times New Roman" w:hAnsi="Times New Roman"/>
          <w:sz w:val="20"/>
          <w:szCs w:val="20"/>
        </w:rPr>
        <w:t xml:space="preserve">Placeholder map. Total placeholders to fill: ~70 numerical values across Tables 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Page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 of </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FloodLite — On-Device Flood Segmentation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FloodLite Manuscript</dc:title>
  <dc:creator>Ibrahim Khalil</dc:creator>
  <dc:description>Knowledge-Distilled Lightweight Flood Segmentation</dc:description>
  <cp:lastModifiedBy>Un-named</cp:lastModifiedBy>
  <cp:revision>1</cp:revision>
  <dcterms:created xsi:type="dcterms:W3CDTF">2026-05-01T18:00:50.220Z</dcterms:created>
  <dcterms:modified xsi:type="dcterms:W3CDTF">2026-05-01T18:00:50.220Z</dcterms:modified>
</cp:coreProperties>
</file>

<file path=docProps/custom.xml><?xml version="1.0" encoding="utf-8"?>
<Properties xmlns="http://schemas.openxmlformats.org/officeDocument/2006/custom-properties" xmlns:vt="http://schemas.openxmlformats.org/officeDocument/2006/docPropsVTypes"/>
</file>