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8"/>
          <w:sz w:val="30"/>
          <w:szCs w:val="30"/>
        </w:rPr>
        <w:t xml:space="preserve">Multi-Paper Roadmap &amp; Paper-1 Plan</w:t>
      </w:r>
    </w:p>
    <w:p>
      <w:pPr>
        <w:spacing w:after="60"/>
        <w:jc w:val="center"/>
      </w:pPr>
      <w:r>
        <w:rPr>
          <w:rFonts w:ascii="Arial" w:cs="Arial" w:eastAsia="Arial" w:hAnsi="Arial"/>
          <w:b/>
          <w:bCs/>
          <w:color w:val="C00000"/>
          <w:sz w:val="44"/>
          <w:szCs w:val="44"/>
        </w:rPr>
        <w:t xml:space="preserve">FloodLite</w:t>
      </w:r>
    </w:p>
    <w:p>
      <w:pPr>
        <w:spacing w:after="240"/>
        <w:jc w:val="center"/>
      </w:pPr>
      <w:r>
        <w:rPr>
          <w:rFonts w:ascii="Arial" w:cs="Arial" w:eastAsia="Arial" w:hAnsi="Arial"/>
          <w:i/>
          <w:iCs/>
          <w:color w:val="404040"/>
          <w:sz w:val="22"/>
          <w:szCs w:val="22"/>
        </w:rPr>
        <w:t xml:space="preserve">Knowledge-Distilled Lightweight Segmentation for On-Device Flood Mapping in Resource-Constrained Disaster Zones</w:t>
      </w:r>
    </w:p>
    <w:p>
      <w:pPr>
        <w:spacing w:after="60"/>
        <w:jc w:val="center"/>
      </w:pPr>
      <w:r>
        <w:rPr>
          <w:rFonts w:ascii="Arial" w:cs="Arial" w:eastAsia="Arial" w:hAnsi="Arial"/>
          <w:i/>
          <w:iCs/>
          <w:color w:val="595959"/>
          <w:sz w:val="20"/>
          <w:szCs w:val="20"/>
        </w:rPr>
        <w:t xml:space="preserve">Designed for: MacBook M2 Pro · Kaggle (free) · Google Colab (free / Pro)</w:t>
      </w:r>
    </w:p>
    <w:p>
      <w:pPr>
        <w:spacing w:after="60"/>
        <w:jc w:val="center"/>
      </w:pPr>
      <w:r>
        <w:rPr>
          <w:rFonts w:ascii="Arial" w:cs="Arial" w:eastAsia="Arial" w:hAnsi="Arial"/>
          <w:color w:val="595959"/>
          <w:sz w:val="20"/>
          <w:szCs w:val="20"/>
        </w:rPr>
        <w:t xml:space="preserve">Author: Ibrahim Khalil · Date: May 1, 2026</w:t>
      </w:r>
    </w:p>
    <w:p>
      <w:r>
        <w:br w:type="page"/>
      </w:r>
    </w:p>
    <w:p>
      <w:pPr>
        <w:pStyle w:val="Heading1"/>
        <w:spacing w:after="180" w:before="360"/>
      </w:pPr>
      <w:r>
        <w:rPr>
          <w:rFonts w:ascii="Arial" w:cs="Arial" w:eastAsia="Arial" w:hAnsi="Arial"/>
          <w:b/>
          <w:bCs/>
          <w:color w:val="1F4E78"/>
          <w:sz w:val="32"/>
          <w:szCs w:val="32"/>
        </w:rPr>
        <w:t xml:space="preserve">1. Three-Paper Roadmap (Tiered by Complexity)</w:t>
      </w:r>
    </w:p>
    <w:p>
      <w:pPr>
        <w:spacing w:after="120" w:line="280"/>
        <w:jc w:val="both"/>
      </w:pPr>
      <w:r>
        <w:rPr>
          <w:rFonts w:ascii="Arial" w:cs="Arial" w:eastAsia="Arial" w:hAnsi="Arial"/>
          <w:b w:val="false"/>
          <w:bCs w:val="false"/>
          <w:i w:val="false"/>
          <w:iCs w:val="false"/>
          <w:color w:val="000000"/>
          <w:sz w:val="22"/>
          <w:szCs w:val="22"/>
        </w:rPr>
        <w:t xml:space="preserve">Rather than attempting a single ambitious paper, this roadmap splits the work into three publishable papers in increasing order of complexity. Each paper is independently citable, builds on the previous, and addresses a different reviewer audience. Papers 1 and 2 are designed to run entirely on a MacBook M2 Pro, free Kaggle GPU sessions, and Google Colab. Paper 3 is the moonshot — it requires institutional or rented compute, but you can pursue it later, using Papers 1 and 2 as foundations and citations.</w:t>
      </w:r>
    </w:p>
    <w:p>
      <w:pPr>
        <w:pStyle w:val="Heading2"/>
        <w:spacing w:after="120" w:before="240"/>
      </w:pPr>
      <w:r>
        <w:rPr>
          <w:rFonts w:ascii="Arial" w:cs="Arial" w:eastAsia="Arial" w:hAnsi="Arial"/>
          <w:b/>
          <w:bCs/>
          <w:color w:val="2E75B6"/>
          <w:sz w:val="26"/>
          <w:szCs w:val="26"/>
        </w:rPr>
        <w:t xml:space="preserve">1.1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300"/>
        <w:gridCol w:w="1700"/>
        <w:gridCol w:w="1300"/>
        <w:gridCol w:w="1660"/>
        <w:gridCol w:w="600"/>
      </w:tblGrid>
      <w:tr>
        <w:trPr>
          <w:tblHeader/>
        </w:trPr>
        <w:tc>
          <w:tcPr>
            <w:tcW w:type="dxa" w:w="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1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Paper</w:t>
            </w:r>
          </w:p>
        </w:tc>
        <w:tc>
          <w:tcPr>
            <w:tcW w:type="dxa" w:w="2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Core Contribution</w:t>
            </w:r>
          </w:p>
        </w:tc>
        <w:tc>
          <w:tcPr>
            <w:tcW w:type="dxa" w:w="1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Compute Needs</w:t>
            </w:r>
          </w:p>
        </w:tc>
        <w:tc>
          <w:tcPr>
            <w:tcW w:type="dxa" w:w="1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Timeline</w:t>
            </w:r>
          </w:p>
        </w:tc>
        <w:tc>
          <w:tcPr>
            <w:tcW w:type="dxa" w:w="16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Target Venue</w:t>
            </w:r>
          </w:p>
        </w:tc>
        <w:tc>
          <w:tcPr>
            <w:tcW w:type="dxa" w:w="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Cost</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P1</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FloodLite</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Lightweight, distilled, edge-deployable flood segmentation</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M2 Pro + Kaggle T4 free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3-4 months part-time</w:t>
            </w:r>
          </w:p>
        </w:tc>
        <w:tc>
          <w:tcPr>
            <w:tcW w:type="dxa" w:w="1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Remote Sensing / Sensors / IEEE Access</w:t>
            </w:r>
          </w:p>
        </w:tc>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~$30 (APC waiver possible)</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P2</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FloodCalibrate</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Calibrated uncertainty + risk-tiered output for the FloodLite model</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Colab Pro (occasional A100)</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4-5 months</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IEEE JSTARS / MDPI Remote Sensing</w:t>
            </w:r>
          </w:p>
        </w:tc>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~$10/mo Colab Pro × 5 + APC</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P3</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FloodEDL-Mamba</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Multimodal SAR+optical+UAV + Mamba backbone + EDL</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Institutional A100 cluster</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9-12 months</w:t>
            </w:r>
          </w:p>
        </w:tc>
        <w:tc>
          <w:tcPr>
            <w:tcW w:type="dxa" w:w="1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ISPRS J. P&amp;RS / IEEE TGRS / CVPR</w:t>
            </w:r>
          </w:p>
        </w:tc>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Cloud or institutional compute</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1.2 Why this Sequencing Works</w:t>
      </w:r>
    </w:p>
    <w:p>
      <w:pPr>
        <w:pStyle w:val="ListParagraph"/>
        <w:numPr>
          <w:ilvl w:val="0"/>
          <w:numId w:val="2"/>
        </w:numPr>
        <w:spacing w:after="80" w:line="280"/>
      </w:pPr>
      <w:r>
        <w:rPr>
          <w:rFonts w:ascii="Arial" w:cs="Arial" w:eastAsia="Arial" w:hAnsi="Arial"/>
          <w:sz w:val="22"/>
          <w:szCs w:val="22"/>
        </w:rPr>
        <w:t xml:space="preserve">Each paper opens the next: FloodLite's lightweight model is the platform for FloodCalibrate's uncertainty layer, which becomes the building block of FloodEDL-Mamba's full multimodal system.</w:t>
      </w:r>
    </w:p>
    <w:p>
      <w:pPr>
        <w:pStyle w:val="ListParagraph"/>
        <w:numPr>
          <w:ilvl w:val="0"/>
          <w:numId w:val="2"/>
        </w:numPr>
        <w:spacing w:after="80" w:line="280"/>
      </w:pPr>
      <w:r>
        <w:rPr>
          <w:rFonts w:ascii="Arial" w:cs="Arial" w:eastAsia="Arial" w:hAnsi="Arial"/>
          <w:sz w:val="22"/>
          <w:szCs w:val="22"/>
        </w:rPr>
        <w:t xml:space="preserve">Risk diversification: even if Paper 3 stalls due to compute or scoop, you still have two published papers.</w:t>
      </w:r>
    </w:p>
    <w:p>
      <w:pPr>
        <w:pStyle w:val="ListParagraph"/>
        <w:numPr>
          <w:ilvl w:val="0"/>
          <w:numId w:val="2"/>
        </w:numPr>
        <w:spacing w:after="80" w:line="280"/>
      </w:pPr>
      <w:r>
        <w:rPr>
          <w:rFonts w:ascii="Arial" w:cs="Arial" w:eastAsia="Arial" w:hAnsi="Arial"/>
          <w:sz w:val="22"/>
          <w:szCs w:val="22"/>
        </w:rPr>
        <w:t xml:space="preserve">Citation graph: Papers 2 and 3 cite Paper 1, so your H-index ramps up cleanly.</w:t>
      </w:r>
    </w:p>
    <w:p>
      <w:pPr>
        <w:pStyle w:val="ListParagraph"/>
        <w:numPr>
          <w:ilvl w:val="0"/>
          <w:numId w:val="2"/>
        </w:numPr>
        <w:spacing w:after="80" w:line="280"/>
      </w:pPr>
      <w:r>
        <w:rPr>
          <w:rFonts w:ascii="Arial" w:cs="Arial" w:eastAsia="Arial" w:hAnsi="Arial"/>
          <w:sz w:val="22"/>
          <w:szCs w:val="22"/>
        </w:rPr>
        <w:t xml:space="preserve">Reviewer audiences differ: edge-deployment / efficiency reviewers (P1) ≠ Bayesian-DL / calibration reviewers (P2) ≠ remote-sensing / multimodal reviewers (P3).</w:t>
      </w:r>
    </w:p>
    <w:p>
      <w:pPr>
        <w:pStyle w:val="Heading1"/>
        <w:spacing w:after="180" w:before="360"/>
      </w:pPr>
      <w:r>
        <w:rPr>
          <w:rFonts w:ascii="Arial" w:cs="Arial" w:eastAsia="Arial" w:hAnsi="Arial"/>
          <w:b/>
          <w:bCs/>
          <w:color w:val="1F4E78"/>
          <w:sz w:val="32"/>
          <w:szCs w:val="32"/>
        </w:rPr>
        <w:t xml:space="preserve">2. Paper 1 Niche Gap — Edge-Deployable Flood Segmentation</w:t>
      </w:r>
    </w:p>
    <w:p>
      <w:pPr>
        <w:spacing w:after="120" w:line="280"/>
        <w:jc w:val="both"/>
      </w:pPr>
      <w:r>
        <w:rPr>
          <w:rFonts w:ascii="Arial" w:cs="Arial" w:eastAsia="Arial" w:hAnsi="Arial"/>
          <w:b w:val="false"/>
          <w:bCs w:val="false"/>
          <w:i w:val="false"/>
          <w:iCs w:val="false"/>
          <w:color w:val="000000"/>
          <w:sz w:val="22"/>
          <w:szCs w:val="22"/>
        </w:rPr>
        <w:t xml:space="preserve">Reviewing the 26 related works tracked from Karcı et al. (2026), every one reports segmentation accuracy but none of them benchmarks model efficiency for on-device or edge deployment. This is striking because Karcı et al. themselves explicitly motivate "near real-time operational deployment." UNet + EfficientNet-B7 has ~63 M parameters and ~50 GFLOPs at 256×256 — far too heavy for the drones, embedded sensors, or low-bandwidth field tablets actually used by disaster responders in flood zones. Hernández et al. (2022) is the only paper that gestures toward edge deployment, but they use the same heavy backbone families and report no parameter, FLOP, or per-platform latency numbers.</w:t>
      </w:r>
    </w:p>
    <w:p>
      <w:pPr>
        <w:spacing w:after="120" w:line="280"/>
        <w:jc w:val="both"/>
      </w:pPr>
      <w:r>
        <w:rPr>
          <w:rFonts w:ascii="Arial" w:cs="Arial" w:eastAsia="Arial" w:hAnsi="Arial"/>
          <w:b w:val="false"/>
          <w:bCs w:val="false"/>
          <w:i w:val="false"/>
          <w:iCs w:val="false"/>
          <w:color w:val="000000"/>
          <w:sz w:val="22"/>
          <w:szCs w:val="22"/>
        </w:rPr>
        <w:t xml:space="preserve">FloodLite addresses this with the simplest credible recipe: train a strong teacher on the public Kaggle FSSD (the same dataset as Karcı et al. 2026), distill it into three classes of small student backbone, quantize to INT8, and deploy across multiple platforms with measured latency, energy, and accuracy.</w:t>
      </w:r>
    </w:p>
    <w:p>
      <w:pPr>
        <w:pStyle w:val="Heading1"/>
        <w:spacing w:after="180" w:before="360"/>
      </w:pPr>
      <w:r>
        <w:rPr>
          <w:rFonts w:ascii="Arial" w:cs="Arial" w:eastAsia="Arial" w:hAnsi="Arial"/>
          <w:b/>
          <w:bCs/>
          <w:color w:val="1F4E78"/>
          <w:sz w:val="32"/>
          <w:szCs w:val="32"/>
        </w:rPr>
        <w:t xml:space="preserve">3. Paper 1 — Working Idea</w:t>
      </w:r>
    </w:p>
    <w:p>
      <w:pPr>
        <w:pStyle w:val="Heading2"/>
        <w:spacing w:after="120" w:before="240"/>
      </w:pPr>
      <w:r>
        <w:rPr>
          <w:rFonts w:ascii="Arial" w:cs="Arial" w:eastAsia="Arial" w:hAnsi="Arial"/>
          <w:b/>
          <w:bCs/>
          <w:color w:val="2E75B6"/>
          <w:sz w:val="26"/>
          <w:szCs w:val="26"/>
        </w:rPr>
        <w:t xml:space="preserve">3.1 Title</w:t>
      </w:r>
    </w:p>
    <w:p>
      <w:pPr>
        <w:spacing w:after="120" w:line="280"/>
        <w:jc w:val="both"/>
      </w:pPr>
      <w:r>
        <w:rPr>
          <w:rFonts w:ascii="Arial" w:cs="Arial" w:eastAsia="Arial" w:hAnsi="Arial"/>
          <w:b/>
          <w:bCs/>
          <w:i w:val="false"/>
          <w:iCs w:val="false"/>
          <w:color w:val="000000"/>
          <w:sz w:val="22"/>
          <w:szCs w:val="22"/>
        </w:rPr>
        <w:t xml:space="preserve">FloodLite: </w:t>
      </w:r>
      <w:r>
        <w:rPr>
          <w:rFonts w:ascii="Arial" w:cs="Arial" w:eastAsia="Arial" w:hAnsi="Arial"/>
          <w:b w:val="false"/>
          <w:bCs w:val="false"/>
          <w:i w:val="false"/>
          <w:iCs w:val="false"/>
          <w:color w:val="000000"/>
          <w:sz w:val="22"/>
          <w:szCs w:val="22"/>
        </w:rPr>
        <w:t xml:space="preserve">Knowledge-Distilled Lightweight Segmentation for On-Device Flood Mapping in Resource-Constrained Disaster Zones.</w:t>
      </w:r>
    </w:p>
    <w:p>
      <w:pPr>
        <w:pStyle w:val="Heading2"/>
        <w:spacing w:after="120" w:before="240"/>
      </w:pPr>
      <w:r>
        <w:rPr>
          <w:rFonts w:ascii="Arial" w:cs="Arial" w:eastAsia="Arial" w:hAnsi="Arial"/>
          <w:b/>
          <w:bCs/>
          <w:color w:val="2E75B6"/>
          <w:sz w:val="26"/>
          <w:szCs w:val="26"/>
        </w:rPr>
        <w:t xml:space="preserve">3.2 One-Paragraph Pitch</w:t>
      </w:r>
    </w:p>
    <w:p>
      <w:pPr>
        <w:spacing w:after="120" w:line="280"/>
        <w:jc w:val="both"/>
      </w:pPr>
      <w:r>
        <w:rPr>
          <w:rFonts w:ascii="Arial" w:cs="Arial" w:eastAsia="Arial" w:hAnsi="Arial"/>
          <w:b w:val="false"/>
          <w:bCs w:val="false"/>
          <w:i w:val="false"/>
          <w:iCs w:val="false"/>
          <w:color w:val="000000"/>
          <w:sz w:val="22"/>
          <w:szCs w:val="22"/>
        </w:rPr>
        <w:t xml:space="preserve">We compress the strongest UNet + EfficientNet flood-segmentation baseline (Karcı et al. 2026) into a family of lightweight, edge-deployable models. A two-stage knowledge-distillation pipeline transfers the teacher's segmentation behavior to three student backbones (MobileNetV3-Small, MobileViT-XXS, EfficientNet-Lite0) wrapped in a U-shape decoder. Post-training INT8 quantization is applied with calibration on a held-out subset. The resulting models are benchmarked on Apple M2 Pro (CoreML), Raspberry Pi 4 (TFLite), and a browser WASM target (ONNX Runtime Web), and we report a four-axis Pareto: IoU, parameters, FLOPs, and per-platform inference latency. We show that an INT8-quantized MobileViT-XXS-UNet recovers ≥95% of the teacher's IoU at &lt;8% of its size and &lt;15% of its FLOPs, running at &gt;20 FPS on M2 Pro and &gt;5 FPS on Raspberry Pi 4 — the first such benchmark for flood segmentation.</w:t>
      </w:r>
    </w:p>
    <w:p>
      <w:pPr>
        <w:pStyle w:val="Heading2"/>
        <w:spacing w:after="120" w:before="240"/>
      </w:pPr>
      <w:r>
        <w:rPr>
          <w:rFonts w:ascii="Arial" w:cs="Arial" w:eastAsia="Arial" w:hAnsi="Arial"/>
          <w:b/>
          <w:bCs/>
          <w:color w:val="2E75B6"/>
          <w:sz w:val="26"/>
          <w:szCs w:val="26"/>
        </w:rPr>
        <w:t xml:space="preserve">3.3 Research Questions</w:t>
      </w:r>
    </w:p>
    <w:p>
      <w:pPr>
        <w:pStyle w:val="ListParagraph"/>
        <w:numPr>
          <w:ilvl w:val="0"/>
          <w:numId w:val="2"/>
        </w:numPr>
        <w:spacing w:after="80" w:line="280"/>
      </w:pPr>
      <w:r>
        <w:rPr>
          <w:rFonts w:ascii="Arial" w:cs="Arial" w:eastAsia="Arial" w:hAnsi="Arial"/>
          <w:sz w:val="22"/>
          <w:szCs w:val="22"/>
        </w:rPr>
        <w:t xml:space="preserve">RQ1: How small can a student model become before flood-segmentation IoU drops below 95% of the teacher's IoU on the FSSD benchmark?</w:t>
      </w:r>
    </w:p>
    <w:p>
      <w:pPr>
        <w:pStyle w:val="ListParagraph"/>
        <w:numPr>
          <w:ilvl w:val="0"/>
          <w:numId w:val="2"/>
        </w:numPr>
        <w:spacing w:after="80" w:line="280"/>
      </w:pPr>
      <w:r>
        <w:rPr>
          <w:rFonts w:ascii="Arial" w:cs="Arial" w:eastAsia="Arial" w:hAnsi="Arial"/>
          <w:sz w:val="22"/>
          <w:szCs w:val="22"/>
        </w:rPr>
        <w:t xml:space="preserve">RQ2: Among MobileNetV3-Small, MobileViT-XXS, and EfficientNet-Lite0 students, which gives the best IoU / FLOPs / latency Pareto?</w:t>
      </w:r>
    </w:p>
    <w:p>
      <w:pPr>
        <w:pStyle w:val="ListParagraph"/>
        <w:numPr>
          <w:ilvl w:val="0"/>
          <w:numId w:val="2"/>
        </w:numPr>
        <w:spacing w:after="80" w:line="280"/>
      </w:pPr>
      <w:r>
        <w:rPr>
          <w:rFonts w:ascii="Arial" w:cs="Arial" w:eastAsia="Arial" w:hAnsi="Arial"/>
          <w:sz w:val="22"/>
          <w:szCs w:val="22"/>
        </w:rPr>
        <w:t xml:space="preserve">RQ3: Does combining response-based KD (KL on logits) with feature-based KD (mid-decoder feature alignment) outperform either alone?</w:t>
      </w:r>
    </w:p>
    <w:p>
      <w:pPr>
        <w:pStyle w:val="ListParagraph"/>
        <w:numPr>
          <w:ilvl w:val="0"/>
          <w:numId w:val="2"/>
        </w:numPr>
        <w:spacing w:after="80" w:line="280"/>
      </w:pPr>
      <w:r>
        <w:rPr>
          <w:rFonts w:ascii="Arial" w:cs="Arial" w:eastAsia="Arial" w:hAnsi="Arial"/>
          <w:sz w:val="22"/>
          <w:szCs w:val="22"/>
        </w:rPr>
        <w:t xml:space="preserve">RQ4: Does post-training INT8 quantization preserve flood-segmentation IoU within 1 point on each student?</w:t>
      </w:r>
    </w:p>
    <w:p>
      <w:pPr>
        <w:pStyle w:val="ListParagraph"/>
        <w:numPr>
          <w:ilvl w:val="0"/>
          <w:numId w:val="2"/>
        </w:numPr>
        <w:spacing w:after="80" w:line="280"/>
      </w:pPr>
      <w:r>
        <w:rPr>
          <w:rFonts w:ascii="Arial" w:cs="Arial" w:eastAsia="Arial" w:hAnsi="Arial"/>
          <w:sz w:val="22"/>
          <w:szCs w:val="22"/>
        </w:rPr>
        <w:t xml:space="preserve">RQ5: What is the actual per-platform latency on M2 Pro CoreML, Raspberry Pi 4 TFLite, and browser WASM, and which platform is most appropriate for each operational use case?</w:t>
      </w:r>
    </w:p>
    <w:p>
      <w:pPr>
        <w:pStyle w:val="Heading2"/>
        <w:spacing w:after="120" w:before="240"/>
      </w:pPr>
      <w:r>
        <w:rPr>
          <w:rFonts w:ascii="Arial" w:cs="Arial" w:eastAsia="Arial" w:hAnsi="Arial"/>
          <w:b/>
          <w:bCs/>
          <w:color w:val="2E75B6"/>
          <w:sz w:val="26"/>
          <w:szCs w:val="26"/>
        </w:rPr>
        <w:t xml:space="preserve">3.4 Hypotheses</w:t>
      </w:r>
    </w:p>
    <w:p>
      <w:pPr>
        <w:pStyle w:val="ListParagraph"/>
        <w:numPr>
          <w:ilvl w:val="0"/>
          <w:numId w:val="2"/>
        </w:numPr>
        <w:spacing w:after="80" w:line="280"/>
      </w:pPr>
      <w:r>
        <w:rPr>
          <w:rFonts w:ascii="Arial" w:cs="Arial" w:eastAsia="Arial" w:hAnsi="Arial"/>
          <w:sz w:val="22"/>
          <w:szCs w:val="22"/>
        </w:rPr>
        <w:t xml:space="preserve">H1: Distilled MobileViT-XXS-UNet recovers ≥95% of the teacher's IoU at ≤8% of parameters and ≤15% of FLOPs.</w:t>
      </w:r>
    </w:p>
    <w:p>
      <w:pPr>
        <w:pStyle w:val="ListParagraph"/>
        <w:numPr>
          <w:ilvl w:val="0"/>
          <w:numId w:val="2"/>
        </w:numPr>
        <w:spacing w:after="80" w:line="280"/>
      </w:pPr>
      <w:r>
        <w:rPr>
          <w:rFonts w:ascii="Arial" w:cs="Arial" w:eastAsia="Arial" w:hAnsi="Arial"/>
          <w:sz w:val="22"/>
          <w:szCs w:val="22"/>
        </w:rPr>
        <w:t xml:space="preserve">H2: Combined response + feature KD outperforms response-only KD by ≥1 IoU point.</w:t>
      </w:r>
    </w:p>
    <w:p>
      <w:pPr>
        <w:pStyle w:val="ListParagraph"/>
        <w:numPr>
          <w:ilvl w:val="0"/>
          <w:numId w:val="2"/>
        </w:numPr>
        <w:spacing w:after="80" w:line="280"/>
      </w:pPr>
      <w:r>
        <w:rPr>
          <w:rFonts w:ascii="Arial" w:cs="Arial" w:eastAsia="Arial" w:hAnsi="Arial"/>
          <w:sz w:val="22"/>
          <w:szCs w:val="22"/>
        </w:rPr>
        <w:t xml:space="preserve">H3: INT8 quantization preserves IoU within 1.0 point and yields ≥2× latency speedup on CPU targets.</w:t>
      </w:r>
    </w:p>
    <w:p>
      <w:pPr>
        <w:pStyle w:val="ListParagraph"/>
        <w:numPr>
          <w:ilvl w:val="0"/>
          <w:numId w:val="2"/>
        </w:numPr>
        <w:spacing w:after="80" w:line="280"/>
      </w:pPr>
      <w:r>
        <w:rPr>
          <w:rFonts w:ascii="Arial" w:cs="Arial" w:eastAsia="Arial" w:hAnsi="Arial"/>
          <w:sz w:val="22"/>
          <w:szCs w:val="22"/>
        </w:rPr>
        <w:t xml:space="preserve">H4: M2 Pro achieves ≥20 FPS at 256×256, enough for real-time UAV inference.</w:t>
      </w:r>
    </w:p>
    <w:p>
      <w:pPr>
        <w:pStyle w:val="Heading1"/>
        <w:spacing w:after="180" w:before="360"/>
      </w:pPr>
      <w:r>
        <w:rPr>
          <w:rFonts w:ascii="Arial" w:cs="Arial" w:eastAsia="Arial" w:hAnsi="Arial"/>
          <w:b/>
          <w:bCs/>
          <w:color w:val="1F4E78"/>
          <w:sz w:val="32"/>
          <w:szCs w:val="32"/>
        </w:rPr>
        <w:t xml:space="preserve">4. Phase 1 — Data (Kaggle FSSD only, free)</w:t>
      </w:r>
    </w:p>
    <w:p>
      <w:pPr>
        <w:pStyle w:val="Heading2"/>
        <w:spacing w:after="120" w:before="240"/>
      </w:pPr>
      <w:r>
        <w:rPr>
          <w:rFonts w:ascii="Arial" w:cs="Arial" w:eastAsia="Arial" w:hAnsi="Arial"/>
          <w:b/>
          <w:bCs/>
          <w:color w:val="2E75B6"/>
          <w:sz w:val="26"/>
          <w:szCs w:val="26"/>
        </w:rPr>
        <w:t xml:space="preserve">4.1 Dataset</w:t>
      </w:r>
    </w:p>
    <w:p>
      <w:pPr>
        <w:pStyle w:val="ListParagraph"/>
        <w:numPr>
          <w:ilvl w:val="0"/>
          <w:numId w:val="2"/>
        </w:numPr>
        <w:spacing w:after="80" w:line="280"/>
      </w:pPr>
      <w:r>
        <w:rPr>
          <w:rFonts w:ascii="Arial" w:cs="Arial" w:eastAsia="Arial" w:hAnsi="Arial"/>
          <w:sz w:val="22"/>
          <w:szCs w:val="22"/>
        </w:rPr>
        <w:t xml:space="preserve">Kaggle Flood Semantic Segmentation Dataset (FSSD): 663 images of flooded areas with binary masks, 512×512 px, ~250 MB. Same dataset as Karcı et al. 2026, ensuring direct comparability.</w:t>
      </w:r>
    </w:p>
    <w:p>
      <w:pPr>
        <w:pStyle w:val="ListParagraph"/>
        <w:numPr>
          <w:ilvl w:val="0"/>
          <w:numId w:val="2"/>
        </w:numPr>
        <w:spacing w:after="80" w:line="280"/>
      </w:pPr>
      <w:r>
        <w:rPr>
          <w:rFonts w:ascii="Arial" w:cs="Arial" w:eastAsia="Arial" w:hAnsi="Arial"/>
          <w:sz w:val="22"/>
          <w:szCs w:val="22"/>
        </w:rPr>
        <w:t xml:space="preserve">Optional small extension: 200-300 chips from Sen1Floods11 RGB visualization (Sentinel-2 RGB composites) to add diversity. Download via Hugging Face datasets in one notebook cell.</w:t>
      </w:r>
    </w:p>
    <w:p>
      <w:pPr>
        <w:pStyle w:val="Heading2"/>
        <w:spacing w:after="120" w:before="240"/>
      </w:pPr>
      <w:r>
        <w:rPr>
          <w:rFonts w:ascii="Arial" w:cs="Arial" w:eastAsia="Arial" w:hAnsi="Arial"/>
          <w:b/>
          <w:bCs/>
          <w:color w:val="2E75B6"/>
          <w:sz w:val="26"/>
          <w:szCs w:val="26"/>
        </w:rPr>
        <w:t xml:space="preserve">4.2 Why this is enough</w:t>
      </w:r>
    </w:p>
    <w:p>
      <w:pPr>
        <w:pStyle w:val="ListParagraph"/>
        <w:numPr>
          <w:ilvl w:val="0"/>
          <w:numId w:val="2"/>
        </w:numPr>
        <w:spacing w:after="80" w:line="280"/>
      </w:pPr>
      <w:r>
        <w:rPr>
          <w:rFonts w:ascii="Arial" w:cs="Arial" w:eastAsia="Arial" w:hAnsi="Arial"/>
          <w:sz w:val="22"/>
          <w:szCs w:val="22"/>
        </w:rPr>
        <w:t xml:space="preserve">Fits entirely in M2 Pro RAM and Kaggle / Colab disk.</w:t>
      </w:r>
    </w:p>
    <w:p>
      <w:pPr>
        <w:pStyle w:val="ListParagraph"/>
        <w:numPr>
          <w:ilvl w:val="0"/>
          <w:numId w:val="2"/>
        </w:numPr>
        <w:spacing w:after="80" w:line="280"/>
      </w:pPr>
      <w:r>
        <w:rPr>
          <w:rFonts w:ascii="Arial" w:cs="Arial" w:eastAsia="Arial" w:hAnsi="Arial"/>
          <w:sz w:val="22"/>
          <w:szCs w:val="22"/>
        </w:rPr>
        <w:t xml:space="preserve">Direct apples-to-apples comparison with the source paper.</w:t>
      </w:r>
    </w:p>
    <w:p>
      <w:pPr>
        <w:pStyle w:val="ListParagraph"/>
        <w:numPr>
          <w:ilvl w:val="0"/>
          <w:numId w:val="2"/>
        </w:numPr>
        <w:spacing w:after="80" w:line="280"/>
      </w:pPr>
      <w:r>
        <w:rPr>
          <w:rFonts w:ascii="Arial" w:cs="Arial" w:eastAsia="Arial" w:hAnsi="Arial"/>
          <w:sz w:val="22"/>
          <w:szCs w:val="22"/>
        </w:rPr>
        <w:t xml:space="preserve">Small enough that a 5-fold cross-validation completes in &lt;2 hours per architecture on a Kaggle T4 GPU.</w:t>
      </w:r>
    </w:p>
    <w:p>
      <w:pPr>
        <w:pStyle w:val="Heading2"/>
        <w:spacing w:after="120" w:before="240"/>
      </w:pPr>
      <w:r>
        <w:rPr>
          <w:rFonts w:ascii="Arial" w:cs="Arial" w:eastAsia="Arial" w:hAnsi="Arial"/>
          <w:b/>
          <w:bCs/>
          <w:color w:val="2E75B6"/>
          <w:sz w:val="26"/>
          <w:szCs w:val="26"/>
        </w:rPr>
        <w:t xml:space="preserve">4.3 Splits</w:t>
      </w:r>
    </w:p>
    <w:p>
      <w:pPr>
        <w:pStyle w:val="ListParagraph"/>
        <w:numPr>
          <w:ilvl w:val="0"/>
          <w:numId w:val="2"/>
        </w:numPr>
        <w:spacing w:after="80" w:line="280"/>
      </w:pPr>
      <w:r>
        <w:rPr>
          <w:rFonts w:ascii="Arial" w:cs="Arial" w:eastAsia="Arial" w:hAnsi="Arial"/>
          <w:sz w:val="22"/>
          <w:szCs w:val="22"/>
        </w:rPr>
        <w:t xml:space="preserve">5-fold cross-validation (event-stratified if metadata permits, otherwise random).</w:t>
      </w:r>
    </w:p>
    <w:p>
      <w:pPr>
        <w:pStyle w:val="ListParagraph"/>
        <w:numPr>
          <w:ilvl w:val="0"/>
          <w:numId w:val="2"/>
        </w:numPr>
        <w:spacing w:after="80" w:line="280"/>
      </w:pPr>
      <w:r>
        <w:rPr>
          <w:rFonts w:ascii="Arial" w:cs="Arial" w:eastAsia="Arial" w:hAnsi="Arial"/>
          <w:sz w:val="22"/>
          <w:szCs w:val="22"/>
        </w:rPr>
        <w:t xml:space="preserve">80/20 train-val within each fold, 20% held-out for final test.</w:t>
      </w:r>
    </w:p>
    <w:p>
      <w:pPr>
        <w:pStyle w:val="ListParagraph"/>
        <w:numPr>
          <w:ilvl w:val="0"/>
          <w:numId w:val="2"/>
        </w:numPr>
        <w:spacing w:after="80" w:line="280"/>
      </w:pPr>
      <w:r>
        <w:rPr>
          <w:rFonts w:ascii="Arial" w:cs="Arial" w:eastAsia="Arial" w:hAnsi="Arial"/>
          <w:sz w:val="22"/>
          <w:szCs w:val="22"/>
        </w:rPr>
        <w:t xml:space="preserve">Hold out a separate 50-image "deployment test" subset never seen during training, used for the latency / quantization study.</w:t>
      </w:r>
    </w:p>
    <w:p>
      <w:pPr>
        <w:pStyle w:val="Heading1"/>
        <w:spacing w:after="180" w:before="360"/>
      </w:pPr>
      <w:r>
        <w:rPr>
          <w:rFonts w:ascii="Arial" w:cs="Arial" w:eastAsia="Arial" w:hAnsi="Arial"/>
          <w:b/>
          <w:bCs/>
          <w:color w:val="1F4E78"/>
          <w:sz w:val="32"/>
          <w:szCs w:val="32"/>
        </w:rPr>
        <w:t xml:space="preserve">5. Phase 2 — Lightweight EDA</w:t>
      </w:r>
    </w:p>
    <w:p>
      <w:pPr>
        <w:pStyle w:val="Heading2"/>
        <w:spacing w:after="120" w:before="240"/>
      </w:pPr>
      <w:r>
        <w:rPr>
          <w:rFonts w:ascii="Arial" w:cs="Arial" w:eastAsia="Arial" w:hAnsi="Arial"/>
          <w:b/>
          <w:bCs/>
          <w:color w:val="2E75B6"/>
          <w:sz w:val="26"/>
          <w:szCs w:val="26"/>
        </w:rPr>
        <w:t xml:space="preserve">5.1 EDA Notebook (1 notebook, ~1 day on M2 Pro)</w:t>
      </w:r>
    </w:p>
    <w:p>
      <w:pPr>
        <w:pStyle w:val="ListParagraph"/>
        <w:numPr>
          <w:ilvl w:val="0"/>
          <w:numId w:val="2"/>
        </w:numPr>
        <w:spacing w:after="80" w:line="280"/>
      </w:pPr>
      <w:r>
        <w:rPr>
          <w:rFonts w:ascii="Arial" w:cs="Arial" w:eastAsia="Arial" w:hAnsi="Arial"/>
          <w:sz w:val="22"/>
          <w:szCs w:val="22"/>
        </w:rPr>
        <w:t xml:space="preserve">Per-image flood-pixel ratio histogram — quantify class imbalance.</w:t>
      </w:r>
    </w:p>
    <w:p>
      <w:pPr>
        <w:pStyle w:val="ListParagraph"/>
        <w:numPr>
          <w:ilvl w:val="0"/>
          <w:numId w:val="2"/>
        </w:numPr>
        <w:spacing w:after="80" w:line="280"/>
      </w:pPr>
      <w:r>
        <w:rPr>
          <w:rFonts w:ascii="Arial" w:cs="Arial" w:eastAsia="Arial" w:hAnsi="Arial"/>
          <w:sz w:val="22"/>
          <w:szCs w:val="22"/>
        </w:rPr>
        <w:t xml:space="preserve">Image-resolution / aspect-ratio sanity check (already 512×512).</w:t>
      </w:r>
    </w:p>
    <w:p>
      <w:pPr>
        <w:pStyle w:val="ListParagraph"/>
        <w:numPr>
          <w:ilvl w:val="0"/>
          <w:numId w:val="2"/>
        </w:numPr>
        <w:spacing w:after="80" w:line="280"/>
      </w:pPr>
      <w:r>
        <w:rPr>
          <w:rFonts w:ascii="Arial" w:cs="Arial" w:eastAsia="Arial" w:hAnsi="Arial"/>
          <w:sz w:val="22"/>
          <w:szCs w:val="22"/>
        </w:rPr>
        <w:t xml:space="preserve">Sample 20 failure cases of UNet + EfficientNet-B0 baseline to characterize hard-case distribution (smooth surfaces, dry vegetation, shadows).</w:t>
      </w:r>
    </w:p>
    <w:p>
      <w:pPr>
        <w:pStyle w:val="ListParagraph"/>
        <w:numPr>
          <w:ilvl w:val="0"/>
          <w:numId w:val="2"/>
        </w:numPr>
        <w:spacing w:after="80" w:line="280"/>
      </w:pPr>
      <w:r>
        <w:rPr>
          <w:rFonts w:ascii="Arial" w:cs="Arial" w:eastAsia="Arial" w:hAnsi="Arial"/>
          <w:sz w:val="22"/>
          <w:szCs w:val="22"/>
        </w:rPr>
        <w:t xml:space="preserve">Compute pixel-wise mean / std for per-channel normalization constants.</w:t>
      </w:r>
    </w:p>
    <w:p>
      <w:pPr>
        <w:pStyle w:val="ListParagraph"/>
        <w:numPr>
          <w:ilvl w:val="0"/>
          <w:numId w:val="2"/>
        </w:numPr>
        <w:spacing w:after="80" w:line="280"/>
      </w:pPr>
      <w:r>
        <w:rPr>
          <w:rFonts w:ascii="Arial" w:cs="Arial" w:eastAsia="Arial" w:hAnsi="Arial"/>
          <w:sz w:val="22"/>
          <w:szCs w:val="22"/>
        </w:rPr>
        <w:t xml:space="preserve">Report mask-quality red flags: blank masks, suspiciously perfect-rectangle masks, single-pixel components.</w:t>
      </w:r>
    </w:p>
    <w:p>
      <w:pPr>
        <w:pStyle w:val="Heading1"/>
        <w:spacing w:after="180" w:before="360"/>
      </w:pPr>
      <w:r>
        <w:rPr>
          <w:rFonts w:ascii="Arial" w:cs="Arial" w:eastAsia="Arial" w:hAnsi="Arial"/>
          <w:b/>
          <w:bCs/>
          <w:color w:val="1F4E78"/>
          <w:sz w:val="32"/>
          <w:szCs w:val="32"/>
        </w:rPr>
        <w:t xml:space="preserve">6. Method</w:t>
      </w:r>
    </w:p>
    <w:p>
      <w:pPr>
        <w:pStyle w:val="Heading2"/>
        <w:spacing w:after="120" w:before="240"/>
      </w:pPr>
      <w:r>
        <w:rPr>
          <w:rFonts w:ascii="Arial" w:cs="Arial" w:eastAsia="Arial" w:hAnsi="Arial"/>
          <w:b/>
          <w:bCs/>
          <w:color w:val="2E75B6"/>
          <w:sz w:val="26"/>
          <w:szCs w:val="26"/>
        </w:rPr>
        <w:t xml:space="preserve">6.1 Teacher Model</w:t>
      </w:r>
    </w:p>
    <w:p>
      <w:pPr>
        <w:pStyle w:val="ListParagraph"/>
        <w:numPr>
          <w:ilvl w:val="0"/>
          <w:numId w:val="2"/>
        </w:numPr>
        <w:spacing w:after="80" w:line="280"/>
      </w:pPr>
      <w:r>
        <w:rPr>
          <w:rFonts w:ascii="Arial" w:cs="Arial" w:eastAsia="Arial" w:hAnsi="Arial"/>
          <w:sz w:val="22"/>
          <w:szCs w:val="22"/>
        </w:rPr>
        <w:t xml:space="preserve">Architecture: UNet decoder + EfficientNet-B0 encoder (smaller than Karcı's B7 for free-tier feasibility, but still strong).</w:t>
      </w:r>
    </w:p>
    <w:p>
      <w:pPr>
        <w:pStyle w:val="ListParagraph"/>
        <w:numPr>
          <w:ilvl w:val="0"/>
          <w:numId w:val="2"/>
        </w:numPr>
        <w:spacing w:after="80" w:line="280"/>
      </w:pPr>
      <w:r>
        <w:rPr>
          <w:rFonts w:ascii="Arial" w:cs="Arial" w:eastAsia="Arial" w:hAnsi="Arial"/>
          <w:sz w:val="22"/>
          <w:szCs w:val="22"/>
        </w:rPr>
        <w:t xml:space="preserve">Pretrained ImageNet weights from torchvision / timm.</w:t>
      </w:r>
    </w:p>
    <w:p>
      <w:pPr>
        <w:pStyle w:val="ListParagraph"/>
        <w:numPr>
          <w:ilvl w:val="0"/>
          <w:numId w:val="2"/>
        </w:numPr>
        <w:spacing w:after="80" w:line="280"/>
      </w:pPr>
      <w:r>
        <w:rPr>
          <w:rFonts w:ascii="Arial" w:cs="Arial" w:eastAsia="Arial" w:hAnsi="Arial"/>
          <w:sz w:val="22"/>
          <w:szCs w:val="22"/>
        </w:rPr>
        <w:t xml:space="preserve">Trained at 256×256 with Albumentations augmentation matching Karcı et al. (flip, rotate, scale, brightness/contrast).</w:t>
      </w:r>
    </w:p>
    <w:p>
      <w:pPr>
        <w:pStyle w:val="ListParagraph"/>
        <w:numPr>
          <w:ilvl w:val="0"/>
          <w:numId w:val="2"/>
        </w:numPr>
        <w:spacing w:after="80" w:line="280"/>
      </w:pPr>
      <w:r>
        <w:rPr>
          <w:rFonts w:ascii="Arial" w:cs="Arial" w:eastAsia="Arial" w:hAnsi="Arial"/>
          <w:sz w:val="22"/>
          <w:szCs w:val="22"/>
        </w:rPr>
        <w:t xml:space="preserve">Loss: BCE + Dice (standard for flood segmentation).</w:t>
      </w:r>
    </w:p>
    <w:p>
      <w:pPr>
        <w:pStyle w:val="ListParagraph"/>
        <w:numPr>
          <w:ilvl w:val="0"/>
          <w:numId w:val="2"/>
        </w:numPr>
        <w:spacing w:after="80" w:line="280"/>
      </w:pPr>
      <w:r>
        <w:rPr>
          <w:rFonts w:ascii="Arial" w:cs="Arial" w:eastAsia="Arial" w:hAnsi="Arial"/>
          <w:sz w:val="22"/>
          <w:szCs w:val="22"/>
        </w:rPr>
        <w:t xml:space="preserve">Training budget: ~50 epochs, AdamW (lr=1e-4), cosine schedule. ~1.5 hr per fold on Kaggle T4.</w:t>
      </w:r>
    </w:p>
    <w:p>
      <w:pPr>
        <w:pStyle w:val="Heading2"/>
        <w:spacing w:after="120" w:before="240"/>
      </w:pPr>
      <w:r>
        <w:rPr>
          <w:rFonts w:ascii="Arial" w:cs="Arial" w:eastAsia="Arial" w:hAnsi="Arial"/>
          <w:b/>
          <w:bCs/>
          <w:color w:val="2E75B6"/>
          <w:sz w:val="26"/>
          <w:szCs w:val="26"/>
        </w:rPr>
        <w:t xml:space="preserve">6.2 Student Backbones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Student</w:t>
            </w:r>
          </w:p>
        </w:tc>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Params (approx.)</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FLOPs @ 256² (approx.)</w:t>
            </w:r>
          </w:p>
        </w:tc>
        <w:tc>
          <w:tcPr>
            <w:tcW w:type="dxa" w:w="2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MobileNetV3-Small-UNet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~1.5 M</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~0.4 GFLOPs</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Most efficient, weakest representational power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EfficientNet-Lite0-UNet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~3.5 M</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~0.9 GFLOPs</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Balanced; mobile-friendly EfficientNet variant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MobileViT-XXS-UNet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~1.3 M</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~0.6 GFLOPs</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Hybrid CNN + ViT, best Pareto in mobile-vision</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6.3 Knowledge Distillation Pipeline</w:t>
      </w:r>
    </w:p>
    <w:p>
      <w:pPr>
        <w:pStyle w:val="ListParagraph"/>
        <w:numPr>
          <w:ilvl w:val="0"/>
          <w:numId w:val="2"/>
        </w:numPr>
        <w:spacing w:after="80" w:line="280"/>
      </w:pPr>
      <w:r>
        <w:rPr>
          <w:rFonts w:ascii="Arial" w:cs="Arial" w:eastAsia="Arial" w:hAnsi="Arial"/>
          <w:sz w:val="22"/>
          <w:szCs w:val="22"/>
        </w:rPr>
        <w:t xml:space="preserve">Stage 1 — Response-based KD: minimize KL(student_logits / T || teacher_logits / T) with temperature T=4 + standard task loss (BCE+Dice). Weight: α·KL + (1-α)·Task, α=0.5.</w:t>
      </w:r>
    </w:p>
    <w:p>
      <w:pPr>
        <w:pStyle w:val="ListParagraph"/>
        <w:numPr>
          <w:ilvl w:val="0"/>
          <w:numId w:val="2"/>
        </w:numPr>
        <w:spacing w:after="80" w:line="280"/>
      </w:pPr>
      <w:r>
        <w:rPr>
          <w:rFonts w:ascii="Arial" w:cs="Arial" w:eastAsia="Arial" w:hAnsi="Arial"/>
          <w:sz w:val="22"/>
          <w:szCs w:val="22"/>
        </w:rPr>
        <w:t xml:space="preserve">Stage 2 — Feature-based KD: add an L2 alignment loss between student and teacher decoder features at one matched stage (use a 1×1 conv adapter to match channel dims). Weight: 0.1.</w:t>
      </w:r>
    </w:p>
    <w:p>
      <w:pPr>
        <w:pStyle w:val="ListParagraph"/>
        <w:numPr>
          <w:ilvl w:val="0"/>
          <w:numId w:val="2"/>
        </w:numPr>
        <w:spacing w:after="80" w:line="280"/>
      </w:pPr>
      <w:r>
        <w:rPr>
          <w:rFonts w:ascii="Arial" w:cs="Arial" w:eastAsia="Arial" w:hAnsi="Arial"/>
          <w:sz w:val="22"/>
          <w:szCs w:val="22"/>
        </w:rPr>
        <w:t xml:space="preserve">Ablation: response-only vs. feature-only vs. combined.</w:t>
      </w:r>
    </w:p>
    <w:p>
      <w:pPr>
        <w:pStyle w:val="ListParagraph"/>
        <w:numPr>
          <w:ilvl w:val="0"/>
          <w:numId w:val="2"/>
        </w:numPr>
        <w:spacing w:after="80" w:line="280"/>
      </w:pPr>
      <w:r>
        <w:rPr>
          <w:rFonts w:ascii="Arial" w:cs="Arial" w:eastAsia="Arial" w:hAnsi="Arial"/>
          <w:sz w:val="22"/>
          <w:szCs w:val="22"/>
        </w:rPr>
        <w:t xml:space="preserve">Optional bonus: contrastive logit pairing (CRD-style) — stretch goal, may not fit free-tier.</w:t>
      </w:r>
    </w:p>
    <w:p>
      <w:pPr>
        <w:pStyle w:val="Heading2"/>
        <w:spacing w:after="120" w:before="240"/>
      </w:pPr>
      <w:r>
        <w:rPr>
          <w:rFonts w:ascii="Arial" w:cs="Arial" w:eastAsia="Arial" w:hAnsi="Arial"/>
          <w:b/>
          <w:bCs/>
          <w:color w:val="2E75B6"/>
          <w:sz w:val="26"/>
          <w:szCs w:val="26"/>
        </w:rPr>
        <w:t xml:space="preserve">6.4 Post-Training INT8 Quantization</w:t>
      </w:r>
    </w:p>
    <w:p>
      <w:pPr>
        <w:pStyle w:val="ListParagraph"/>
        <w:numPr>
          <w:ilvl w:val="0"/>
          <w:numId w:val="2"/>
        </w:numPr>
        <w:spacing w:after="80" w:line="280"/>
      </w:pPr>
      <w:r>
        <w:rPr>
          <w:rFonts w:ascii="Arial" w:cs="Arial" w:eastAsia="Arial" w:hAnsi="Arial"/>
          <w:sz w:val="22"/>
          <w:szCs w:val="22"/>
        </w:rPr>
        <w:t xml:space="preserve">PyTorch's torch.quantization (static, per-channel) with 200-image calibration set.</w:t>
      </w:r>
    </w:p>
    <w:p>
      <w:pPr>
        <w:pStyle w:val="ListParagraph"/>
        <w:numPr>
          <w:ilvl w:val="0"/>
          <w:numId w:val="2"/>
        </w:numPr>
        <w:spacing w:after="80" w:line="280"/>
      </w:pPr>
      <w:r>
        <w:rPr>
          <w:rFonts w:ascii="Arial" w:cs="Arial" w:eastAsia="Arial" w:hAnsi="Arial"/>
          <w:sz w:val="22"/>
          <w:szCs w:val="22"/>
        </w:rPr>
        <w:t xml:space="preserve">Verify each layer's quantization scale; fall back to float for layers with &gt;1 IoU drop.</w:t>
      </w:r>
    </w:p>
    <w:p>
      <w:pPr>
        <w:pStyle w:val="ListParagraph"/>
        <w:numPr>
          <w:ilvl w:val="0"/>
          <w:numId w:val="2"/>
        </w:numPr>
        <w:spacing w:after="80" w:line="280"/>
      </w:pPr>
      <w:r>
        <w:rPr>
          <w:rFonts w:ascii="Arial" w:cs="Arial" w:eastAsia="Arial" w:hAnsi="Arial"/>
          <w:sz w:val="22"/>
          <w:szCs w:val="22"/>
        </w:rPr>
        <w:t xml:space="preserve">Convert to ONNX → CoreML (M2 Pro), ONNX → TFLite (Pi 4), ONNX → ONNX-Runtime-Web (browser).</w:t>
      </w:r>
    </w:p>
    <w:p>
      <w:pPr>
        <w:pStyle w:val="Heading2"/>
        <w:spacing w:after="120" w:before="240"/>
      </w:pPr>
      <w:r>
        <w:rPr>
          <w:rFonts w:ascii="Arial" w:cs="Arial" w:eastAsia="Arial" w:hAnsi="Arial"/>
          <w:b/>
          <w:bCs/>
          <w:color w:val="2E75B6"/>
          <w:sz w:val="26"/>
          <w:szCs w:val="26"/>
        </w:rPr>
        <w:t xml:space="preserve">6.5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Target</w:t>
            </w:r>
          </w:p>
        </w:tc>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Runtime</w:t>
            </w:r>
          </w:p>
        </w:tc>
        <w:tc>
          <w:tcPr>
            <w:tcW w:type="dxa" w:w="38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Use case</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MacBook M2 Pro</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CoreML / MPS</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Field laptops; real-time UAV streams</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Raspberry Pi 4 (4 GB)</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TFLite + XNNPACK</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Embedded sensors / drones / community-station kits</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Browser (WASM)</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ONNX Runtime Web</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Citizen-science portals; offline tablet apps</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1"/>
        <w:spacing w:after="180" w:before="360"/>
      </w:pPr>
      <w:r>
        <w:rPr>
          <w:rFonts w:ascii="Arial" w:cs="Arial" w:eastAsia="Arial" w:hAnsi="Arial"/>
          <w:b/>
          <w:bCs/>
          <w:color w:val="1F4E78"/>
          <w:sz w:val="32"/>
          <w:szCs w:val="32"/>
        </w:rPr>
        <w:t xml:space="preserve">7. Experimental Plan</w:t>
      </w:r>
    </w:p>
    <w:p>
      <w:pPr>
        <w:pStyle w:val="Heading2"/>
        <w:spacing w:after="120" w:before="240"/>
      </w:pPr>
      <w:r>
        <w:rPr>
          <w:rFonts w:ascii="Arial" w:cs="Arial" w:eastAsia="Arial" w:hAnsi="Arial"/>
          <w:b/>
          <w:bCs/>
          <w:color w:val="2E75B6"/>
          <w:sz w:val="26"/>
          <w:szCs w:val="26"/>
        </w:rPr>
        <w:t xml:space="preserve">7.1 Baseline Suite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4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Model</w:t>
            </w:r>
          </w:p>
        </w:tc>
        <w:tc>
          <w:tcPr>
            <w:tcW w:type="dxa" w:w="4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Why</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B0</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UNet + EfficientNet-B0 (teacher, ours)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Direct teacher reference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B1</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UNet + EfficientNet-B7 (Karcı 2026 best)</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Source paper reproduction (1 fold for sanity, not full CV)</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B2</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Untrained student (no KD, task-loss only)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Demonstrate KD value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B3</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Student + response KD</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Ablation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B4</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Student + feature KD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Ablation</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B5</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Student + response + feature KD (ours)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Proposed full</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B6</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Quantized B5 (INT8)</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Deployment-ready</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7.2 Metrics</w:t>
      </w:r>
    </w:p>
    <w:p>
      <w:pPr>
        <w:pStyle w:val="ListParagraph"/>
        <w:numPr>
          <w:ilvl w:val="0"/>
          <w:numId w:val="2"/>
        </w:numPr>
        <w:spacing w:after="80" w:line="280"/>
      </w:pPr>
      <w:r>
        <w:rPr>
          <w:rFonts w:ascii="Arial" w:cs="Arial" w:eastAsia="Arial" w:hAnsi="Arial"/>
          <w:sz w:val="22"/>
          <w:szCs w:val="22"/>
        </w:rPr>
        <w:t xml:space="preserve">Segmentation: IoU, F1, Precision, Recall, Accuracy (match Karcı 2026 reporting).</w:t>
      </w:r>
    </w:p>
    <w:p>
      <w:pPr>
        <w:pStyle w:val="ListParagraph"/>
        <w:numPr>
          <w:ilvl w:val="0"/>
          <w:numId w:val="2"/>
        </w:numPr>
        <w:spacing w:after="80" w:line="280"/>
      </w:pPr>
      <w:r>
        <w:rPr>
          <w:rFonts w:ascii="Arial" w:cs="Arial" w:eastAsia="Arial" w:hAnsi="Arial"/>
          <w:sz w:val="22"/>
          <w:szCs w:val="22"/>
        </w:rPr>
        <w:t xml:space="preserve">Efficiency: Params (M), FLOPs (G), peak GPU memory (MB), peak CPU RAM (MB).</w:t>
      </w:r>
    </w:p>
    <w:p>
      <w:pPr>
        <w:pStyle w:val="ListParagraph"/>
        <w:numPr>
          <w:ilvl w:val="0"/>
          <w:numId w:val="2"/>
        </w:numPr>
        <w:spacing w:after="80" w:line="280"/>
      </w:pPr>
      <w:r>
        <w:rPr>
          <w:rFonts w:ascii="Arial" w:cs="Arial" w:eastAsia="Arial" w:hAnsi="Arial"/>
          <w:sz w:val="22"/>
          <w:szCs w:val="22"/>
        </w:rPr>
        <w:t xml:space="preserve">Latency: ms per 256×256 image, p50 and p95 over 200 trials, on each platform.</w:t>
      </w:r>
    </w:p>
    <w:p>
      <w:pPr>
        <w:pStyle w:val="ListParagraph"/>
        <w:numPr>
          <w:ilvl w:val="0"/>
          <w:numId w:val="2"/>
        </w:numPr>
        <w:spacing w:after="80" w:line="280"/>
      </w:pPr>
      <w:r>
        <w:rPr>
          <w:rFonts w:ascii="Arial" w:cs="Arial" w:eastAsia="Arial" w:hAnsi="Arial"/>
          <w:sz w:val="22"/>
          <w:szCs w:val="22"/>
        </w:rPr>
        <w:t xml:space="preserve">Energy: mJ per inference on Pi 4 (use uPower or estimated from rated TDP).</w:t>
      </w:r>
    </w:p>
    <w:p>
      <w:pPr>
        <w:pStyle w:val="ListParagraph"/>
        <w:numPr>
          <w:ilvl w:val="0"/>
          <w:numId w:val="2"/>
        </w:numPr>
        <w:spacing w:after="80" w:line="280"/>
      </w:pPr>
      <w:r>
        <w:rPr>
          <w:rFonts w:ascii="Arial" w:cs="Arial" w:eastAsia="Arial" w:hAnsi="Arial"/>
          <w:sz w:val="22"/>
          <w:szCs w:val="22"/>
        </w:rPr>
        <w:t xml:space="preserve">Pareto: 4-panel scatter — IoU vs. Params, FLOPs, latency-M2, latency-Pi.</w:t>
      </w:r>
    </w:p>
    <w:p>
      <w:pPr>
        <w:pStyle w:val="Heading2"/>
        <w:spacing w:after="120" w:before="240"/>
      </w:pPr>
      <w:r>
        <w:rPr>
          <w:rFonts w:ascii="Arial" w:cs="Arial" w:eastAsia="Arial" w:hAnsi="Arial"/>
          <w:b/>
          <w:bCs/>
          <w:color w:val="2E75B6"/>
          <w:sz w:val="26"/>
          <w:szCs w:val="26"/>
        </w:rPr>
        <w:t xml:space="preserve">7.3 Statistical validation</w:t>
      </w:r>
    </w:p>
    <w:p>
      <w:pPr>
        <w:pStyle w:val="ListParagraph"/>
        <w:numPr>
          <w:ilvl w:val="0"/>
          <w:numId w:val="2"/>
        </w:numPr>
        <w:spacing w:after="80" w:line="280"/>
      </w:pPr>
      <w:r>
        <w:rPr>
          <w:rFonts w:ascii="Arial" w:cs="Arial" w:eastAsia="Arial" w:hAnsi="Arial"/>
          <w:sz w:val="22"/>
          <w:szCs w:val="22"/>
        </w:rPr>
        <w:t xml:space="preserve">5-fold CV mean ± std for IoU, F1.</w:t>
      </w:r>
    </w:p>
    <w:p>
      <w:pPr>
        <w:pStyle w:val="ListParagraph"/>
        <w:numPr>
          <w:ilvl w:val="0"/>
          <w:numId w:val="2"/>
        </w:numPr>
        <w:spacing w:after="80" w:line="280"/>
      </w:pPr>
      <w:r>
        <w:rPr>
          <w:rFonts w:ascii="Arial" w:cs="Arial" w:eastAsia="Arial" w:hAnsi="Arial"/>
          <w:sz w:val="22"/>
          <w:szCs w:val="22"/>
        </w:rPr>
        <w:t xml:space="preserve">Paired bootstrap (10 000 resamples) for IoU difference between models.</w:t>
      </w:r>
    </w:p>
    <w:p>
      <w:pPr>
        <w:pStyle w:val="ListParagraph"/>
        <w:numPr>
          <w:ilvl w:val="0"/>
          <w:numId w:val="2"/>
        </w:numPr>
        <w:spacing w:after="80" w:line="280"/>
      </w:pPr>
      <w:r>
        <w:rPr>
          <w:rFonts w:ascii="Arial" w:cs="Arial" w:eastAsia="Arial" w:hAnsi="Arial"/>
          <w:sz w:val="22"/>
          <w:szCs w:val="22"/>
        </w:rPr>
        <w:t xml:space="preserve">Hold all hyperparameters constant across students to make the comparison fair.</w:t>
      </w:r>
    </w:p>
    <w:p>
      <w:pPr>
        <w:pStyle w:val="Heading2"/>
        <w:spacing w:after="120" w:before="240"/>
      </w:pPr>
      <w:r>
        <w:rPr>
          <w:rFonts w:ascii="Arial" w:cs="Arial" w:eastAsia="Arial" w:hAnsi="Arial"/>
          <w:b/>
          <w:bCs/>
          <w:color w:val="2E75B6"/>
          <w:sz w:val="26"/>
          <w:szCs w:val="26"/>
        </w:rPr>
        <w:t xml:space="preserve">7.4 Reproducibility</w:t>
      </w:r>
    </w:p>
    <w:p>
      <w:pPr>
        <w:pStyle w:val="ListParagraph"/>
        <w:numPr>
          <w:ilvl w:val="0"/>
          <w:numId w:val="2"/>
        </w:numPr>
        <w:spacing w:after="80" w:line="280"/>
      </w:pPr>
      <w:r>
        <w:rPr>
          <w:rFonts w:ascii="Arial" w:cs="Arial" w:eastAsia="Arial" w:hAnsi="Arial"/>
          <w:sz w:val="22"/>
          <w:szCs w:val="22"/>
        </w:rPr>
        <w:t xml:space="preserve">Fixed seeds (3 seeds reported for the final config).</w:t>
      </w:r>
    </w:p>
    <w:p>
      <w:pPr>
        <w:pStyle w:val="ListParagraph"/>
        <w:numPr>
          <w:ilvl w:val="0"/>
          <w:numId w:val="2"/>
        </w:numPr>
        <w:spacing w:after="80" w:line="280"/>
      </w:pPr>
      <w:r>
        <w:rPr>
          <w:rFonts w:ascii="Arial" w:cs="Arial" w:eastAsia="Arial" w:hAnsi="Arial"/>
          <w:sz w:val="22"/>
          <w:szCs w:val="22"/>
        </w:rPr>
        <w:t xml:space="preserve">Public Kaggle Notebook + Colab Notebook, both runnable end-to-end on free tier.</w:t>
      </w:r>
    </w:p>
    <w:p>
      <w:pPr>
        <w:pStyle w:val="ListParagraph"/>
        <w:numPr>
          <w:ilvl w:val="0"/>
          <w:numId w:val="2"/>
        </w:numPr>
        <w:spacing w:after="80" w:line="280"/>
      </w:pPr>
      <w:r>
        <w:rPr>
          <w:rFonts w:ascii="Arial" w:cs="Arial" w:eastAsia="Arial" w:hAnsi="Arial"/>
          <w:sz w:val="22"/>
          <w:szCs w:val="22"/>
        </w:rPr>
        <w:t xml:space="preserve">Hugging Face Hub for model weights (free).</w:t>
      </w:r>
    </w:p>
    <w:p>
      <w:pPr>
        <w:pStyle w:val="ListParagraph"/>
        <w:numPr>
          <w:ilvl w:val="0"/>
          <w:numId w:val="2"/>
        </w:numPr>
        <w:spacing w:after="80" w:line="280"/>
      </w:pPr>
      <w:r>
        <w:rPr>
          <w:rFonts w:ascii="Arial" w:cs="Arial" w:eastAsia="Arial" w:hAnsi="Arial"/>
          <w:sz w:val="22"/>
          <w:szCs w:val="22"/>
        </w:rPr>
        <w:t xml:space="preserve">MIT-licensed GitHub repo with one-click reproduction script.</w:t>
      </w:r>
    </w:p>
    <w:p>
      <w:pPr>
        <w:pStyle w:val="Heading1"/>
        <w:spacing w:after="180" w:before="360"/>
      </w:pPr>
      <w:r>
        <w:rPr>
          <w:rFonts w:ascii="Arial" w:cs="Arial" w:eastAsia="Arial" w:hAnsi="Arial"/>
          <w:b/>
          <w:bCs/>
          <w:color w:val="1F4E78"/>
          <w:sz w:val="32"/>
          <w:szCs w:val="32"/>
        </w:rPr>
        <w:t xml:space="preserve">8. Compute Budget — Free-Tier Feasible</w:t>
      </w:r>
    </w:p>
    <w:p>
      <w:pPr>
        <w:pStyle w:val="Heading2"/>
        <w:spacing w:after="120" w:before="240"/>
      </w:pPr>
      <w:r>
        <w:rPr>
          <w:rFonts w:ascii="Arial" w:cs="Arial" w:eastAsia="Arial" w:hAnsi="Arial"/>
          <w:b/>
          <w:bCs/>
          <w:color w:val="2E75B6"/>
          <w:sz w:val="26"/>
          <w:szCs w:val="26"/>
        </w:rPr>
        <w:t xml:space="preserve">8.1 Per-Run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200"/>
        <w:gridCol w:w="256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Task</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Hardware</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GPU-hours / run</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Free-tier coverage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Teacher training (5 folds)</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Kaggle T4 16GB</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~7.5 hrs total</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Yes — under weekly 30 hr Kaggle quota</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Student training (5 folds × 3 students × 4 KD configs = 60 runs)</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Kaggle T4 16GB or Colab T4</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~30 hrs total (each &lt;0.5 hr)</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Yes — split across 2 weeks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Quantization calibration</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M2 Pro CPU</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&lt;0.5 hr</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M2 Pro local</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Latency benchmarks (M2)</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M2 Pro CoreML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&lt;2 hrs (multiple runs for stable timing)</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M2 Pro local</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Latency benchmarks (Pi 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Raspberry Pi 4</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&lt;2 hrs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Local Pi (one-time ~$50 hardware) OR QEMU emulation in CI (free, slower)</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Latency benchmarks (browser)</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Chrome on M2 Pro</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&lt;1 hr</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Local</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Buffer / re-runs / debugging</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Mixed</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~10 hrs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Free-tier</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8.2 Total Budget</w:t>
      </w:r>
    </w:p>
    <w:p>
      <w:pPr>
        <w:pStyle w:val="ListParagraph"/>
        <w:numPr>
          <w:ilvl w:val="0"/>
          <w:numId w:val="2"/>
        </w:numPr>
        <w:spacing w:after="80" w:line="280"/>
      </w:pPr>
      <w:r>
        <w:rPr>
          <w:rFonts w:ascii="Arial" w:cs="Arial" w:eastAsia="Arial" w:hAnsi="Arial"/>
          <w:sz w:val="22"/>
          <w:szCs w:val="22"/>
        </w:rPr>
        <w:t xml:space="preserve">Compute: ~50 GPU-hours total, all free.</w:t>
      </w:r>
    </w:p>
    <w:p>
      <w:pPr>
        <w:pStyle w:val="ListParagraph"/>
        <w:numPr>
          <w:ilvl w:val="0"/>
          <w:numId w:val="2"/>
        </w:numPr>
        <w:spacing w:after="80" w:line="280"/>
      </w:pPr>
      <w:r>
        <w:rPr>
          <w:rFonts w:ascii="Arial" w:cs="Arial" w:eastAsia="Arial" w:hAnsi="Arial"/>
          <w:sz w:val="22"/>
          <w:szCs w:val="22"/>
        </w:rPr>
        <w:t xml:space="preserve">Storage: ~2 GB (FSSD + cache) — fits anywhere.</w:t>
      </w:r>
    </w:p>
    <w:p>
      <w:pPr>
        <w:pStyle w:val="ListParagraph"/>
        <w:numPr>
          <w:ilvl w:val="0"/>
          <w:numId w:val="2"/>
        </w:numPr>
        <w:spacing w:after="80" w:line="280"/>
      </w:pPr>
      <w:r>
        <w:rPr>
          <w:rFonts w:ascii="Arial" w:cs="Arial" w:eastAsia="Arial" w:hAnsi="Arial"/>
          <w:sz w:val="22"/>
          <w:szCs w:val="22"/>
        </w:rPr>
        <w:t xml:space="preserve">MDPI APC (Remote Sensing OA): ~CHF 2,500 / ~$2,800 — but apply for full or 50% waiver as a student / first author / from MDPI's invited-author programs.</w:t>
      </w:r>
    </w:p>
    <w:p>
      <w:pPr>
        <w:pStyle w:val="ListParagraph"/>
        <w:numPr>
          <w:ilvl w:val="0"/>
          <w:numId w:val="2"/>
        </w:numPr>
        <w:spacing w:after="80" w:line="280"/>
      </w:pPr>
      <w:r>
        <w:rPr>
          <w:rFonts w:ascii="Arial" w:cs="Arial" w:eastAsia="Arial" w:hAnsi="Arial"/>
          <w:sz w:val="22"/>
          <w:szCs w:val="22"/>
        </w:rPr>
        <w:t xml:space="preserve">Alternatively: IEEE Access (OA, $1,995) or non-OA venues (free).</w:t>
      </w:r>
    </w:p>
    <w:p>
      <w:pPr>
        <w:pStyle w:val="ListParagraph"/>
        <w:numPr>
          <w:ilvl w:val="0"/>
          <w:numId w:val="2"/>
        </w:numPr>
        <w:spacing w:after="80" w:line="280"/>
      </w:pPr>
      <w:r>
        <w:rPr>
          <w:rFonts w:ascii="Arial" w:cs="Arial" w:eastAsia="Arial" w:hAnsi="Arial"/>
          <w:sz w:val="22"/>
          <w:szCs w:val="22"/>
        </w:rPr>
        <w:t xml:space="preserve">Realistic out-of-pocket cost: $0–$100 if APC is waived; up to $2,800 with no waiver.</w:t>
      </w:r>
    </w:p>
    <w:p>
      <w:pPr>
        <w:pStyle w:val="Heading2"/>
        <w:spacing w:after="120" w:before="240"/>
      </w:pPr>
      <w:r>
        <w:rPr>
          <w:rFonts w:ascii="Arial" w:cs="Arial" w:eastAsia="Arial" w:hAnsi="Arial"/>
          <w:b/>
          <w:bCs/>
          <w:color w:val="2E75B6"/>
          <w:sz w:val="26"/>
          <w:szCs w:val="26"/>
        </w:rPr>
        <w:t xml:space="preserve">8.3 Free-Tier Tactics</w:t>
      </w:r>
    </w:p>
    <w:p>
      <w:pPr>
        <w:pStyle w:val="ListParagraph"/>
        <w:numPr>
          <w:ilvl w:val="0"/>
          <w:numId w:val="2"/>
        </w:numPr>
        <w:spacing w:after="80" w:line="280"/>
      </w:pPr>
      <w:r>
        <w:rPr>
          <w:rFonts w:ascii="Arial" w:cs="Arial" w:eastAsia="Arial" w:hAnsi="Arial"/>
          <w:sz w:val="22"/>
          <w:szCs w:val="22"/>
        </w:rPr>
        <w:t xml:space="preserve">Use Kaggle for long runs (12-hr session limit, 30 hrs/week T4 quota, 9 hrs/week TPU).</w:t>
      </w:r>
    </w:p>
    <w:p>
      <w:pPr>
        <w:pStyle w:val="ListParagraph"/>
        <w:numPr>
          <w:ilvl w:val="0"/>
          <w:numId w:val="2"/>
        </w:numPr>
        <w:spacing w:after="80" w:line="280"/>
      </w:pPr>
      <w:r>
        <w:rPr>
          <w:rFonts w:ascii="Arial" w:cs="Arial" w:eastAsia="Arial" w:hAnsi="Arial"/>
          <w:sz w:val="22"/>
          <w:szCs w:val="22"/>
        </w:rPr>
        <w:t xml:space="preserve">Use Colab for quick iterations and notebook-style debugging.</w:t>
      </w:r>
    </w:p>
    <w:p>
      <w:pPr>
        <w:pStyle w:val="ListParagraph"/>
        <w:numPr>
          <w:ilvl w:val="0"/>
          <w:numId w:val="2"/>
        </w:numPr>
        <w:spacing w:after="80" w:line="280"/>
      </w:pPr>
      <w:r>
        <w:rPr>
          <w:rFonts w:ascii="Arial" w:cs="Arial" w:eastAsia="Arial" w:hAnsi="Arial"/>
          <w:sz w:val="22"/>
          <w:szCs w:val="22"/>
        </w:rPr>
        <w:t xml:space="preserve">M2 Pro for: data prep, EDA, quantization, deployment, paper writing, latency profiling on Apple silicon.</w:t>
      </w:r>
    </w:p>
    <w:p>
      <w:pPr>
        <w:pStyle w:val="ListParagraph"/>
        <w:numPr>
          <w:ilvl w:val="0"/>
          <w:numId w:val="2"/>
        </w:numPr>
        <w:spacing w:after="80" w:line="280"/>
      </w:pPr>
      <w:r>
        <w:rPr>
          <w:rFonts w:ascii="Arial" w:cs="Arial" w:eastAsia="Arial" w:hAnsi="Arial"/>
          <w:sz w:val="22"/>
          <w:szCs w:val="22"/>
        </w:rPr>
        <w:t xml:space="preserve">Use mixed-precision (fp16) and gradient accumulation to keep memory low.</w:t>
      </w:r>
    </w:p>
    <w:p>
      <w:pPr>
        <w:pStyle w:val="ListParagraph"/>
        <w:numPr>
          <w:ilvl w:val="0"/>
          <w:numId w:val="2"/>
        </w:numPr>
        <w:spacing w:after="80" w:line="280"/>
      </w:pPr>
      <w:r>
        <w:rPr>
          <w:rFonts w:ascii="Arial" w:cs="Arial" w:eastAsia="Arial" w:hAnsi="Arial"/>
          <w:sz w:val="22"/>
          <w:szCs w:val="22"/>
        </w:rPr>
        <w:t xml:space="preserve">Save model checkpoints to Kaggle datasets / Hugging Face hub between sessions.</w:t>
      </w:r>
    </w:p>
    <w:p>
      <w:pPr>
        <w:pStyle w:val="ListParagraph"/>
        <w:numPr>
          <w:ilvl w:val="0"/>
          <w:numId w:val="2"/>
        </w:numPr>
        <w:spacing w:after="80" w:line="280"/>
      </w:pPr>
      <w:r>
        <w:rPr>
          <w:rFonts w:ascii="Arial" w:cs="Arial" w:eastAsia="Arial" w:hAnsi="Arial"/>
          <w:sz w:val="22"/>
          <w:szCs w:val="22"/>
        </w:rPr>
        <w:t xml:space="preserve">If a run exceeds 12 hours, restart from latest checkpoint — splittable training is fine on this scale.</w:t>
      </w:r>
    </w:p>
    <w:p>
      <w:pPr>
        <w:pStyle w:val="Heading1"/>
        <w:spacing w:after="180" w:before="360"/>
      </w:pPr>
      <w:r>
        <w:rPr>
          <w:rFonts w:ascii="Arial" w:cs="Arial" w:eastAsia="Arial" w:hAnsi="Arial"/>
          <w:b/>
          <w:bCs/>
          <w:color w:val="1F4E78"/>
          <w:sz w:val="32"/>
          <w:szCs w:val="32"/>
        </w:rPr>
        <w:t xml:space="preserve">9. Timeline (3-4 Months Part-Time)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Week</w:t>
            </w:r>
          </w:p>
        </w:tc>
        <w:tc>
          <w:tcPr>
            <w:tcW w:type="dxa" w:w="6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Milestone</w:t>
            </w:r>
          </w:p>
        </w:tc>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Hours (part-time)</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Setup: GitHub repo, Kaggle/Colab notebooks, M2 Pro env, Hugging Face account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10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W2</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Download FSSD, write data loaders, EDA notebook</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12 hrs</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W3-4</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Train teacher on 5-fold CV, lock teacher checkpoint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20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W5</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Implement student backbones (MobileNetV3, EffNet-Lite0, MobileViT-XXS)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15 hrs</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W6-7</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Train baseline (no KD) and response-only KD students; sanity-check</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20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W8</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Implement feature-based KD; full ablation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15 hrs</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W9</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INT8 quantization + ablation (which layers, calibration size)</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12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W10</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Deployment: CoreML, TFLite, ONNX-Web; latency profiling</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15 hrs</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W11</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Final results, Pareto figures, statistical tests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12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W12</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Paper draft v1</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20 hrs</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W13-14</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Revision, internal review, arXiv preprint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20 hrs</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W15</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Submission to MDPI Remote Sensing (or IEEE Access)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8 hrs</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80" w:line="280"/>
      </w:pPr>
      <w:r>
        <w:rPr>
          <w:rFonts w:ascii="Arial" w:cs="Arial" w:eastAsia="Arial" w:hAnsi="Arial"/>
          <w:sz w:val="22"/>
          <w:szCs w:val="22"/>
        </w:rPr>
        <w:t xml:space="preserve">Total: ~180 person-hours over 15 weeks (~12 hrs/week part-time).</w:t>
      </w:r>
    </w:p>
    <w:p>
      <w:pPr>
        <w:pStyle w:val="ListParagraph"/>
        <w:numPr>
          <w:ilvl w:val="0"/>
          <w:numId w:val="2"/>
        </w:numPr>
        <w:spacing w:after="80" w:line="280"/>
      </w:pPr>
      <w:r>
        <w:rPr>
          <w:rFonts w:ascii="Arial" w:cs="Arial" w:eastAsia="Arial" w:hAnsi="Arial"/>
          <w:sz w:val="22"/>
          <w:szCs w:val="22"/>
        </w:rPr>
        <w:t xml:space="preserve">Calendar duration: ~3.5 months from kickoff to submission.</w:t>
      </w:r>
    </w:p>
    <w:p>
      <w:pPr>
        <w:pStyle w:val="ListParagraph"/>
        <w:numPr>
          <w:ilvl w:val="0"/>
          <w:numId w:val="2"/>
        </w:numPr>
        <w:spacing w:after="80" w:line="280"/>
      </w:pPr>
      <w:r>
        <w:rPr>
          <w:rFonts w:ascii="Arial" w:cs="Arial" w:eastAsia="Arial" w:hAnsi="Arial"/>
          <w:sz w:val="22"/>
          <w:szCs w:val="22"/>
        </w:rPr>
        <w:t xml:space="preserve">Add 6-12 weeks for journal review + revision before acceptance.</w:t>
      </w:r>
    </w:p>
    <w:p>
      <w:pPr>
        <w:pStyle w:val="Heading1"/>
        <w:spacing w:after="180" w:before="360"/>
      </w:pPr>
      <w:r>
        <w:rPr>
          <w:rFonts w:ascii="Arial" w:cs="Arial" w:eastAsia="Arial" w:hAnsi="Arial"/>
          <w:b/>
          <w:bCs/>
          <w:color w:val="1F4E78"/>
          <w:sz w:val="32"/>
          <w:szCs w:val="32"/>
        </w:rPr>
        <w:t xml:space="preserve">10. Submission Strategy</w:t>
      </w:r>
    </w:p>
    <w:p>
      <w:pPr>
        <w:pStyle w:val="Heading2"/>
        <w:spacing w:after="120" w:before="240"/>
      </w:pPr>
      <w:r>
        <w:rPr>
          <w:rFonts w:ascii="Arial" w:cs="Arial" w:eastAsia="Arial" w:hAnsi="Arial"/>
          <w:b/>
          <w:bCs/>
          <w:color w:val="2E75B6"/>
          <w:sz w:val="26"/>
          <w:szCs w:val="26"/>
        </w:rPr>
        <w:t xml:space="preserve">10.1 Tiered Venue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600"/>
        <w:gridCol w:w="2400"/>
        <w:gridCol w:w="1300"/>
        <w:gridCol w:w="1160"/>
      </w:tblGrid>
      <w:tr>
        <w:trPr>
          <w:tblHeader/>
        </w:trPr>
        <w:tc>
          <w:tcPr>
            <w:tcW w:type="dxa" w:w="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Tier</w:t>
            </w:r>
          </w:p>
        </w:tc>
        <w:tc>
          <w:tcPr>
            <w:tcW w:type="dxa" w:w="2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Venue</w:t>
            </w:r>
          </w:p>
        </w:tc>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Type</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Why fit</w:t>
            </w:r>
          </w:p>
        </w:tc>
        <w:tc>
          <w:tcPr>
            <w:tcW w:type="dxa" w:w="1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Decision speed</w:t>
            </w:r>
          </w:p>
        </w:tc>
        <w:tc>
          <w:tcPr>
            <w:tcW w:type="dxa" w:w="1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APC</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Remote Sensing</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Q1 OA, IF ~5.0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Top-fit; on-device + remote sensing</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~6 weeks first decision</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~$2,800 (waivers possible)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IEEE Access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Q1 OA, IF ~3.4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Fast, broad-scope, well-cited</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~4-8 weeks</w:t>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$1,995</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Sensors</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Q2 OA, IF ~3.4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Edge / IoT angle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~6 weeks</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~$2,500 (waivers)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B</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Applied Sciences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Q2 OA, IF ~2.5</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Application focus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~4-6 weeks</w:t>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~$2,500 (waivers)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Workshops at IGARSS / EARTHVISION (CVPRW)</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Conference workshop</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Community visibility, fast feedback</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~2-3 months</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Conf reg only</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75B6"/>
          <w:sz w:val="26"/>
          <w:szCs w:val="26"/>
        </w:rPr>
        <w:t xml:space="preserve">10.2 Recommended Path</w:t>
      </w:r>
    </w:p>
    <w:p>
      <w:pPr>
        <w:pStyle w:val="ListParagraph"/>
        <w:numPr>
          <w:ilvl w:val="0"/>
          <w:numId w:val="3"/>
        </w:numPr>
        <w:spacing w:after="80" w:line="280"/>
      </w:pPr>
      <w:r>
        <w:rPr>
          <w:rFonts w:ascii="Arial" w:cs="Arial" w:eastAsia="Arial" w:hAnsi="Arial"/>
          <w:sz w:val="22"/>
          <w:szCs w:val="22"/>
        </w:rPr>
        <w:t xml:space="preserve">First submission: MDPI Remote Sensing — best alignment with the topic + reasonable timeline.</w:t>
      </w:r>
    </w:p>
    <w:p>
      <w:pPr>
        <w:pStyle w:val="ListParagraph"/>
        <w:numPr>
          <w:ilvl w:val="0"/>
          <w:numId w:val="3"/>
        </w:numPr>
        <w:spacing w:after="80" w:line="280"/>
      </w:pPr>
      <w:r>
        <w:rPr>
          <w:rFonts w:ascii="Arial" w:cs="Arial" w:eastAsia="Arial" w:hAnsi="Arial"/>
          <w:sz w:val="22"/>
          <w:szCs w:val="22"/>
        </w:rPr>
        <w:t xml:space="preserve">If desk-rejected or APC unaffordable: IEEE Access (lower APC, broad scope) or Sensors (edge angle).</w:t>
      </w:r>
    </w:p>
    <w:p>
      <w:pPr>
        <w:pStyle w:val="ListParagraph"/>
        <w:numPr>
          <w:ilvl w:val="0"/>
          <w:numId w:val="3"/>
        </w:numPr>
        <w:spacing w:after="80" w:line="280"/>
      </w:pPr>
      <w:r>
        <w:rPr>
          <w:rFonts w:ascii="Arial" w:cs="Arial" w:eastAsia="Arial" w:hAnsi="Arial"/>
          <w:sz w:val="22"/>
          <w:szCs w:val="22"/>
        </w:rPr>
        <w:t xml:space="preserve">Always: arXiv pre-print on the day of submission.</w:t>
      </w:r>
    </w:p>
    <w:p>
      <w:pPr>
        <w:pStyle w:val="ListParagraph"/>
        <w:numPr>
          <w:ilvl w:val="0"/>
          <w:numId w:val="3"/>
        </w:numPr>
        <w:spacing w:after="80" w:line="280"/>
      </w:pPr>
      <w:r>
        <w:rPr>
          <w:rFonts w:ascii="Arial" w:cs="Arial" w:eastAsia="Arial" w:hAnsi="Arial"/>
          <w:sz w:val="22"/>
          <w:szCs w:val="22"/>
        </w:rPr>
        <w:t xml:space="preserve">Optional in parallel: 4-page workshop paper at EARTHVISION (CVPR Workshop on Earth Vision) — community feedback in 2-3 months and possibly chains to Paper 2.</w:t>
      </w:r>
    </w:p>
    <w:p>
      <w:pPr>
        <w:pStyle w:val="Heading1"/>
        <w:spacing w:after="180" w:before="360"/>
      </w:pPr>
      <w:r>
        <w:rPr>
          <w:rFonts w:ascii="Arial" w:cs="Arial" w:eastAsia="Arial" w:hAnsi="Arial"/>
          <w:b/>
          <w:bCs/>
          <w:color w:val="1F4E78"/>
          <w:sz w:val="32"/>
          <w:szCs w:val="32"/>
        </w:rPr>
        <w:t xml:space="preserve">11. Why This Easier Paper Is Still Impactful</w:t>
      </w:r>
    </w:p>
    <w:p>
      <w:pPr>
        <w:pStyle w:val="ListParagraph"/>
        <w:numPr>
          <w:ilvl w:val="0"/>
          <w:numId w:val="3"/>
        </w:numPr>
        <w:spacing w:after="80" w:line="280"/>
      </w:pPr>
      <w:r>
        <w:rPr>
          <w:rFonts w:ascii="Arial" w:cs="Arial" w:eastAsia="Arial" w:hAnsi="Arial"/>
          <w:sz w:val="22"/>
          <w:szCs w:val="22"/>
        </w:rPr>
        <w:t xml:space="preserve">First systematic on-device flood-segmentation benchmark in the literature — there is currently no paper reporting per-platform latency on M2, Pi 4, and browser for this task.</w:t>
      </w:r>
    </w:p>
    <w:p>
      <w:pPr>
        <w:pStyle w:val="ListParagraph"/>
        <w:numPr>
          <w:ilvl w:val="0"/>
          <w:numId w:val="3"/>
        </w:numPr>
        <w:spacing w:after="80" w:line="280"/>
      </w:pPr>
      <w:r>
        <w:rPr>
          <w:rFonts w:ascii="Arial" w:cs="Arial" w:eastAsia="Arial" w:hAnsi="Arial"/>
          <w:sz w:val="22"/>
          <w:szCs w:val="22"/>
        </w:rPr>
        <w:t xml:space="preserve">Directly addresses an explicit motivation in Karcı et al. 2026 ("near real-time operational deployment") that they did not actually evaluate.</w:t>
      </w:r>
    </w:p>
    <w:p>
      <w:pPr>
        <w:pStyle w:val="ListParagraph"/>
        <w:numPr>
          <w:ilvl w:val="0"/>
          <w:numId w:val="3"/>
        </w:numPr>
        <w:spacing w:after="80" w:line="280"/>
      </w:pPr>
      <w:r>
        <w:rPr>
          <w:rFonts w:ascii="Arial" w:cs="Arial" w:eastAsia="Arial" w:hAnsi="Arial"/>
          <w:sz w:val="22"/>
          <w:szCs w:val="22"/>
        </w:rPr>
        <w:t xml:space="preserve">Highly citable: efficiency papers tend to be cited by every subsequent flood-segmentation paper that needs an efficient baseline.</w:t>
      </w:r>
    </w:p>
    <w:p>
      <w:pPr>
        <w:pStyle w:val="ListParagraph"/>
        <w:numPr>
          <w:ilvl w:val="0"/>
          <w:numId w:val="3"/>
        </w:numPr>
        <w:spacing w:after="80" w:line="280"/>
      </w:pPr>
      <w:r>
        <w:rPr>
          <w:rFonts w:ascii="Arial" w:cs="Arial" w:eastAsia="Arial" w:hAnsi="Arial"/>
          <w:sz w:val="22"/>
          <w:szCs w:val="22"/>
        </w:rPr>
        <w:t xml:space="preserve">Open-source artifacts (models on Hugging Face, repo on GitHub, runnable Colab) drive long-tail citations and downloads.</w:t>
      </w:r>
    </w:p>
    <w:p>
      <w:pPr>
        <w:pStyle w:val="ListParagraph"/>
        <w:numPr>
          <w:ilvl w:val="0"/>
          <w:numId w:val="3"/>
        </w:numPr>
        <w:spacing w:after="80" w:line="280"/>
      </w:pPr>
      <w:r>
        <w:rPr>
          <w:rFonts w:ascii="Arial" w:cs="Arial" w:eastAsia="Arial" w:hAnsi="Arial"/>
          <w:sz w:val="22"/>
          <w:szCs w:val="22"/>
        </w:rPr>
        <w:t xml:space="preserve">Real-world relevance: drones, Pi-class field stations, and offline browsers are exactly what humanitarian organizations (e.g. UN-SPIDER, ICRC) deploy in flood zones with poor connectivity.</w:t>
      </w:r>
    </w:p>
    <w:p>
      <w:pPr>
        <w:pStyle w:val="ListParagraph"/>
        <w:numPr>
          <w:ilvl w:val="0"/>
          <w:numId w:val="3"/>
        </w:numPr>
        <w:spacing w:after="80" w:line="280"/>
      </w:pPr>
      <w:r>
        <w:rPr>
          <w:rFonts w:ascii="Arial" w:cs="Arial" w:eastAsia="Arial" w:hAnsi="Arial"/>
          <w:sz w:val="22"/>
          <w:szCs w:val="22"/>
        </w:rPr>
        <w:t xml:space="preserve">Foundation for Papers 2 and 3: the lightweight student becomes the architecture under uncertainty (Paper 2) and the encoder option in the multimodal model (Paper 3).</w:t>
      </w:r>
    </w:p>
    <w:p>
      <w:pPr>
        <w:pStyle w:val="Heading1"/>
        <w:spacing w:after="180" w:before="360"/>
      </w:pPr>
      <w:r>
        <w:rPr>
          <w:rFonts w:ascii="Arial" w:cs="Arial" w:eastAsia="Arial" w:hAnsi="Arial"/>
          <w:b/>
          <w:bCs/>
          <w:color w:val="1F4E78"/>
          <w:sz w:val="32"/>
          <w:szCs w:val="32"/>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760"/>
      </w:tblGrid>
      <w:tr>
        <w:trPr>
          <w:tblHeader/>
        </w:trPr>
        <w:tc>
          <w:tcPr>
            <w:tcW w:type="dxa" w:w="3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Likelihood</w:t>
            </w:r>
          </w:p>
        </w:tc>
        <w:tc>
          <w:tcPr>
            <w:tcW w:type="dxa" w:w="4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Mitigation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Free-tier session times out mid-training</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Save checkpoints every epoch; resume from latest</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Pi 4 not available</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Low</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Use QEMU ARM emulation in CI or rent Pi-as-a-service ($5/mo) or skip Pi and benchmark Android Termux</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APC blocks publication</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Apply for waiver; switch to IEEE Access ($1,995) or non-OA venue</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Student degrades &gt;5 IoU points from teacher</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Low-Med</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Add depth-of-decoder ablation; try MobileViT-XS instead of XXS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Quantization breaks one architecture</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Low-Med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Fall back to FP16 for that arch; mixed-precision everywhere as plan B</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Reviewer asks for cross-region OOD</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High</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Have a small Sen1Floods11 RGB sample ready; report as a discussion-only experiment</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Concurrent paper publishes a similar idea</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Differentiate via the multi-platform deployment study (M2 + Pi + WASM) — very few do all three</w:t>
            </w:r>
          </w:p>
        </w:tc>
      </w:tr>
    </w:tbl>
    <w:p>
      <w:pPr>
        <w:spacing w:after="120" w:line="280"/>
        <w:jc w:val="both"/>
      </w:pPr>
      <w:r>
        <w:rPr>
          <w:rFonts w:ascii="Arial" w:cs="Arial" w:eastAsia="Arial" w:hAnsi="Arial"/>
          <w:b w:val="false"/>
          <w:bCs w:val="false"/>
          <w:i w:val="false"/>
          <w:iCs w:val="false"/>
          <w:color w:val="000000"/>
          <w:sz w:val="22"/>
          <w:szCs w:val="22"/>
        </w:rPr>
        <w:t xml:space="preserve"/>
      </w:r>
    </w:p>
    <w:p>
      <w:pPr>
        <w:pStyle w:val="Heading1"/>
        <w:spacing w:after="180" w:before="360"/>
      </w:pPr>
      <w:r>
        <w:rPr>
          <w:rFonts w:ascii="Arial" w:cs="Arial" w:eastAsia="Arial" w:hAnsi="Arial"/>
          <w:b/>
          <w:bCs/>
          <w:color w:val="1F4E78"/>
          <w:sz w:val="32"/>
          <w:szCs w:val="32"/>
        </w:rPr>
        <w:t xml:space="preserve">13. Bridge to Papers 2 and 3</w:t>
      </w:r>
    </w:p>
    <w:p>
      <w:pPr>
        <w:pStyle w:val="Heading2"/>
        <w:spacing w:after="120" w:before="240"/>
      </w:pPr>
      <w:r>
        <w:rPr>
          <w:rFonts w:ascii="Arial" w:cs="Arial" w:eastAsia="Arial" w:hAnsi="Arial"/>
          <w:b/>
          <w:bCs/>
          <w:color w:val="2E75B6"/>
          <w:sz w:val="26"/>
          <w:szCs w:val="26"/>
        </w:rPr>
        <w:t xml:space="preserve">13.1 Paper 2 — FloodCalibrate</w:t>
      </w:r>
    </w:p>
    <w:p>
      <w:pPr>
        <w:spacing w:after="120" w:line="280"/>
        <w:jc w:val="both"/>
      </w:pPr>
      <w:r>
        <w:rPr>
          <w:rFonts w:ascii="Arial" w:cs="Arial" w:eastAsia="Arial" w:hAnsi="Arial"/>
          <w:b w:val="false"/>
          <w:bCs w:val="false"/>
          <w:i w:val="false"/>
          <w:iCs w:val="false"/>
          <w:color w:val="000000"/>
          <w:sz w:val="22"/>
          <w:szCs w:val="22"/>
        </w:rPr>
        <w:t xml:space="preserve">Paper 2 takes the FloodLite student (e.g. MobileViT-XXS-UNet) as its base architecture and adds: temperature scaling, MC-Dropout, and a single-pass evidential head for binary flood segmentation. Calibration is reported with ECE, Brier, NLL, and a risk-tiered HIGH/MED/LOW output is calibrated to operational precision targets. Compute fits Colab Pro (occasional A100 access at ~$10/mo for 5 months).</w:t>
      </w:r>
    </w:p>
    <w:p>
      <w:pPr>
        <w:pStyle w:val="Heading2"/>
        <w:spacing w:after="120" w:before="240"/>
      </w:pPr>
      <w:r>
        <w:rPr>
          <w:rFonts w:ascii="Arial" w:cs="Arial" w:eastAsia="Arial" w:hAnsi="Arial"/>
          <w:b/>
          <w:bCs/>
          <w:color w:val="2E75B6"/>
          <w:sz w:val="26"/>
          <w:szCs w:val="26"/>
        </w:rPr>
        <w:t xml:space="preserve">13.2 Paper 3 — FloodEDL-Mamba</w:t>
      </w:r>
    </w:p>
    <w:p>
      <w:pPr>
        <w:spacing w:after="120" w:line="280"/>
        <w:jc w:val="both"/>
      </w:pPr>
      <w:r>
        <w:rPr>
          <w:rFonts w:ascii="Arial" w:cs="Arial" w:eastAsia="Arial" w:hAnsi="Arial"/>
          <w:b w:val="false"/>
          <w:bCs w:val="false"/>
          <w:i w:val="false"/>
          <w:iCs w:val="false"/>
          <w:color w:val="000000"/>
          <w:sz w:val="22"/>
          <w:szCs w:val="22"/>
        </w:rPr>
        <w:t xml:space="preserve">Paper 3 reuses the FloodLite codebase and FloodCalibrate's evidential head, plugging both into a Vision-Mamba encoder for a multimodal SAR + Sentinel-2 + UAV joint learner. This is the institutional-compute paper, but by the time you reach it, Papers 1 and 2 give you (a) the codebase, (b) the evaluation pipeline, (c) two co-author/citation anchors, and (d) reviewer credibility on this exact problem.</w:t>
      </w:r>
    </w:p>
    <w:p>
      <w:pPr>
        <w:pStyle w:val="Heading1"/>
        <w:spacing w:after="180" w:before="360"/>
      </w:pPr>
      <w:r>
        <w:rPr>
          <w:rFonts w:ascii="Arial" w:cs="Arial" w:eastAsia="Arial" w:hAnsi="Arial"/>
          <w:b/>
          <w:bCs/>
          <w:color w:val="1F4E78"/>
          <w:sz w:val="32"/>
          <w:szCs w:val="32"/>
        </w:rPr>
        <w:t xml:space="preserve">14. Compact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Property</w:t>
            </w:r>
          </w:p>
        </w:tc>
        <w:tc>
          <w:tcPr>
            <w:tcW w:type="dxa" w:w="3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Original Plan (FloodEDL-Mamba)</w:t>
            </w:r>
          </w:p>
        </w:tc>
        <w:tc>
          <w:tcPr>
            <w:tcW w:type="dxa" w:w="34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FloodLite (Paper 1)</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Compute</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~4,700 GPU-hours, A100/H100 cluster</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~50 GPU-hours, free Kaggle/Colab T4</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Hardware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4× A100 80GB</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MacBook M2 Pro + Kaggle/Colab free tier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Datasets</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FSSD + Sen1Floods11 + WorldFloods + DaLIWS + FloodNet</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FSSD only (optionally a small Sen1Floods11 RGB sample)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Method complexity</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Mamba + EDL + multimodal + modality-dropout + aux task</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Knowledge distillation + INT8 quantization (well-understood, low risk)</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Ablations</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Six axes × multiple sizes</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Three: KD variant, student backbone, quantization on/off</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Timeline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12 months</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3-4 months part-time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Out-of-pocket cost</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$11k-89k</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$0-2,800 (waivable)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Target venue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ISPRS J. P&amp;RS / TGRS / CVPR</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MDPI Remote Sensing / IEEE Access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Risk</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Higher (compute, scoop)</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Lower (well-trodden methods)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Impact angle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Architecture novelty</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rFonts w:ascii="Arial" w:cs="Arial" w:eastAsia="Arial" w:hAnsi="Arial"/>
                <w:b w:val="false"/>
                <w:bCs w:val="false"/>
                <w:color w:val="000000"/>
                <w:sz w:val="20"/>
                <w:szCs w:val="20"/>
              </w:rPr>
              <w:t xml:space="preserve">Real-world deployability + open-source artifacts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FloodLite — Roadmap &amp;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FloodLite Multi-Paper Roadmap</dc:title>
  <dc:creator>Ibrahim Khalil</dc:creator>
  <dc:description>Free-tier-feasible flood segmentation research plan.</dc:description>
  <cp:lastModifiedBy>Un-named</cp:lastModifiedBy>
  <cp:revision>1</cp:revision>
  <dcterms:created xsi:type="dcterms:W3CDTF">2026-05-01T17:34:55.729Z</dcterms:created>
  <dcterms:modified xsi:type="dcterms:W3CDTF">2026-05-01T17:34:55.729Z</dcterms:modified>
</cp:coreProperties>
</file>

<file path=docProps/custom.xml><?xml version="1.0" encoding="utf-8"?>
<Properties xmlns="http://schemas.openxmlformats.org/officeDocument/2006/custom-properties" xmlns:vt="http://schemas.openxmlformats.org/officeDocument/2006/docPropsVTypes"/>
</file>