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r>
        <w:t xml:space="preserve"/>
      </w:r>
    </w:p>
    <w:p>
      <w:pPr>
        <w:spacing w:before="0" w:after="80"/>
        <w:jc w:val="center"/>
      </w:pPr>
      <w:r>
        <w:rPr>
          <w:rFonts w:ascii="Arial" w:cs="Arial" w:eastAsia="Arial" w:hAnsi="Arial"/>
          <w:b/>
          <w:bCs/>
          <w:caps/>
          <w:color w:val="2E75B6"/>
          <w:sz w:val="24"/>
          <w:szCs w:val="24"/>
        </w:rPr>
        <w:t xml:space="preserve">PROJECT SCOPE DOCUMENT</w:t>
      </w:r>
    </w:p>
    <w:p>
      <w:pPr>
        <w:spacing w:before="0" w:after="160"/>
        <w:jc w:val="center"/>
      </w:pPr>
      <w:r>
        <w:rPr>
          <w:rFonts w:ascii="Arial" w:cs="Arial" w:eastAsia="Arial" w:hAnsi="Arial"/>
          <w:b/>
          <w:bCs/>
          <w:color w:val="1E3A5F"/>
          <w:sz w:val="48"/>
          <w:szCs w:val="48"/>
        </w:rPr>
        <w:t xml:space="preserve">Replenishment Exception Triage Agent</w:t>
      </w:r>
    </w:p>
    <w:p>
      <w:pPr>
        <w:spacing w:before="0" w:after="80"/>
        <w:jc w:val="center"/>
      </w:pPr>
      <w:r>
        <w:rPr>
          <w:rFonts w:ascii="Arial" w:cs="Arial" w:eastAsia="Arial" w:hAnsi="Arial"/>
          <w:i/>
          <w:iCs/>
          <w:color w:val="444444"/>
          <w:sz w:val="28"/>
          <w:szCs w:val="28"/>
        </w:rPr>
        <w:t xml:space="preserve">AI-Powered Supply Planning Intelligence</w:t>
      </w:r>
    </w:p>
    <w:p>
      <w:pPr>
        <w:spacing w:before="400" w:after="0"/>
      </w:pPr>
      <w:r>
        <w:t xml:space="preserve"/>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none" w:color="FFFFFF" w:sz="0"/>
              <w:left w:val="none" w:color="FFFFFF" w:sz="0"/>
              <w:bottom w:val="none" w:color="FFFFFF" w:sz="0"/>
              <w:right w:val="none" w:color="FFFFFF" w:sz="0"/>
            </w:tcBorders>
            <w:shd w:fill="D5E8F0" w:val="clear"/>
            <w:tcMar>
              <w:top w:type="dxa" w:w="80"/>
              <w:left w:type="dxa" w:w="160"/>
              <w:bottom w:type="dxa" w:w="80"/>
              <w:right w:type="dxa" w:w="80"/>
            </w:tcMar>
          </w:tcPr>
          <w:p>
            <w:r>
              <w:rPr>
                <w:rFonts w:ascii="Arial" w:cs="Arial" w:eastAsia="Arial" w:hAnsi="Arial"/>
                <w:b/>
                <w:bCs/>
                <w:color w:val="1E3A5F"/>
                <w:sz w:val="20"/>
                <w:szCs w:val="20"/>
              </w:rPr>
              <w:t xml:space="preserve">Author</w:t>
            </w:r>
          </w:p>
        </w:tc>
        <w:tc>
          <w:tcPr>
            <w:tcW w:type="dxa" w:w="2520"/>
            <w:tcBorders>
              <w:top w:val="none" w:color="FFFFFF" w:sz="0"/>
              <w:left w:val="none" w:color="FFFFFF" w:sz="0"/>
              <w:bottom w:val="none" w:color="FFFFFF" w:sz="0"/>
              <w:right w:val="none" w:color="FFFFFF" w:sz="0"/>
            </w:tcBorders>
            <w:shd w:fill="F5F5F5" w:val="clear"/>
            <w:tcMar>
              <w:top w:type="dxa" w:w="80"/>
              <w:left w:type="dxa" w:w="160"/>
              <w:bottom w:type="dxa" w:w="80"/>
              <w:right w:type="dxa" w:w="80"/>
            </w:tcMar>
          </w:tcPr>
          <w:p>
            <w:r>
              <w:rPr>
                <w:rFonts w:ascii="Arial" w:cs="Arial" w:eastAsia="Arial" w:hAnsi="Arial"/>
                <w:color w:val="444444"/>
                <w:sz w:val="20"/>
                <w:szCs w:val="20"/>
              </w:rPr>
              <w:t xml:space="preserve">Mohith Kunta</w:t>
            </w:r>
          </w:p>
        </w:tc>
      </w:tr>
      <w:tr>
        <w:tc>
          <w:tcPr>
            <w:tcW w:type="dxa" w:w="2520"/>
            <w:tcBorders>
              <w:top w:val="none" w:color="FFFFFF" w:sz="0"/>
              <w:left w:val="none" w:color="FFFFFF" w:sz="0"/>
              <w:bottom w:val="none" w:color="FFFFFF" w:sz="0"/>
              <w:right w:val="none" w:color="FFFFFF" w:sz="0"/>
            </w:tcBorders>
            <w:shd w:fill="D5E8F0" w:val="clear"/>
            <w:tcMar>
              <w:top w:type="dxa" w:w="80"/>
              <w:left w:type="dxa" w:w="160"/>
              <w:bottom w:type="dxa" w:w="80"/>
              <w:right w:type="dxa" w:w="80"/>
            </w:tcMar>
          </w:tcPr>
          <w:p>
            <w:r>
              <w:rPr>
                <w:rFonts w:ascii="Arial" w:cs="Arial" w:eastAsia="Arial" w:hAnsi="Arial"/>
                <w:b/>
                <w:bCs/>
                <w:color w:val="1E3A5F"/>
                <w:sz w:val="20"/>
                <w:szCs w:val="20"/>
              </w:rPr>
              <w:t xml:space="preserve">GitHub</w:t>
            </w:r>
          </w:p>
        </w:tc>
        <w:tc>
          <w:tcPr>
            <w:tcW w:type="dxa" w:w="2520"/>
            <w:tcBorders>
              <w:top w:val="none" w:color="FFFFFF" w:sz="0"/>
              <w:left w:val="none" w:color="FFFFFF" w:sz="0"/>
              <w:bottom w:val="none" w:color="FFFFFF" w:sz="0"/>
              <w:right w:val="none" w:color="FFFFFF" w:sz="0"/>
            </w:tcBorders>
            <w:shd w:fill="F5F5F5" w:val="clear"/>
            <w:tcMar>
              <w:top w:type="dxa" w:w="80"/>
              <w:left w:type="dxa" w:w="160"/>
              <w:bottom w:type="dxa" w:w="80"/>
              <w:right w:type="dxa" w:w="80"/>
            </w:tcMar>
          </w:tcPr>
          <w:p>
            <w:r>
              <w:rPr>
                <w:rFonts w:ascii="Arial" w:cs="Arial" w:eastAsia="Arial" w:hAnsi="Arial"/>
                <w:color w:val="444444"/>
                <w:sz w:val="20"/>
                <w:szCs w:val="20"/>
              </w:rPr>
              <w:t xml:space="preserve">github.com/m-kunta</w:t>
            </w:r>
          </w:p>
        </w:tc>
      </w:tr>
      <w:tr>
        <w:tc>
          <w:tcPr>
            <w:tcW w:type="dxa" w:w="2520"/>
            <w:tcBorders>
              <w:top w:val="none" w:color="FFFFFF" w:sz="0"/>
              <w:left w:val="none" w:color="FFFFFF" w:sz="0"/>
              <w:bottom w:val="none" w:color="FFFFFF" w:sz="0"/>
              <w:right w:val="none" w:color="FFFFFF" w:sz="0"/>
            </w:tcBorders>
            <w:shd w:fill="D5E8F0" w:val="clear"/>
            <w:tcMar>
              <w:top w:type="dxa" w:w="80"/>
              <w:left w:type="dxa" w:w="160"/>
              <w:bottom w:type="dxa" w:w="80"/>
              <w:right w:type="dxa" w:w="80"/>
            </w:tcMar>
          </w:tcPr>
          <w:p>
            <w:r>
              <w:rPr>
                <w:rFonts w:ascii="Arial" w:cs="Arial" w:eastAsia="Arial" w:hAnsi="Arial"/>
                <w:b/>
                <w:bCs/>
                <w:color w:val="1E3A5F"/>
                <w:sz w:val="20"/>
                <w:szCs w:val="20"/>
              </w:rPr>
              <w:t xml:space="preserve">License</w:t>
            </w:r>
          </w:p>
        </w:tc>
        <w:tc>
          <w:tcPr>
            <w:tcW w:type="dxa" w:w="2520"/>
            <w:tcBorders>
              <w:top w:val="none" w:color="FFFFFF" w:sz="0"/>
              <w:left w:val="none" w:color="FFFFFF" w:sz="0"/>
              <w:bottom w:val="none" w:color="FFFFFF" w:sz="0"/>
              <w:right w:val="none" w:color="FFFFFF" w:sz="0"/>
            </w:tcBorders>
            <w:shd w:fill="F5F5F5" w:val="clear"/>
            <w:tcMar>
              <w:top w:type="dxa" w:w="80"/>
              <w:left w:type="dxa" w:w="160"/>
              <w:bottom w:type="dxa" w:w="80"/>
              <w:right w:type="dxa" w:w="80"/>
            </w:tcMar>
          </w:tcPr>
          <w:p>
            <w:r>
              <w:rPr>
                <w:rFonts w:ascii="Arial" w:cs="Arial" w:eastAsia="Arial" w:hAnsi="Arial"/>
                <w:color w:val="444444"/>
                <w:sz w:val="20"/>
                <w:szCs w:val="20"/>
              </w:rPr>
              <w:t xml:space="preserve">MIT License</w:t>
            </w:r>
          </w:p>
        </w:tc>
      </w:tr>
      <w:tr>
        <w:tc>
          <w:tcPr>
            <w:tcW w:type="dxa" w:w="2520"/>
            <w:tcBorders>
              <w:top w:val="none" w:color="FFFFFF" w:sz="0"/>
              <w:left w:val="none" w:color="FFFFFF" w:sz="0"/>
              <w:bottom w:val="none" w:color="FFFFFF" w:sz="0"/>
              <w:right w:val="none" w:color="FFFFFF" w:sz="0"/>
            </w:tcBorders>
            <w:shd w:fill="D5E8F0" w:val="clear"/>
            <w:tcMar>
              <w:top w:type="dxa" w:w="80"/>
              <w:left w:type="dxa" w:w="160"/>
              <w:bottom w:type="dxa" w:w="80"/>
              <w:right w:type="dxa" w:w="80"/>
            </w:tcMar>
          </w:tcPr>
          <w:p>
            <w:r>
              <w:rPr>
                <w:rFonts w:ascii="Arial" w:cs="Arial" w:eastAsia="Arial" w:hAnsi="Arial"/>
                <w:b/>
                <w:bCs/>
                <w:color w:val="1E3A5F"/>
                <w:sz w:val="20"/>
                <w:szCs w:val="20"/>
              </w:rPr>
              <w:t xml:space="preserve">Version</w:t>
            </w:r>
          </w:p>
        </w:tc>
        <w:tc>
          <w:tcPr>
            <w:tcW w:type="dxa" w:w="2520"/>
            <w:tcBorders>
              <w:top w:val="none" w:color="FFFFFF" w:sz="0"/>
              <w:left w:val="none" w:color="FFFFFF" w:sz="0"/>
              <w:bottom w:val="none" w:color="FFFFFF" w:sz="0"/>
              <w:right w:val="none" w:color="FFFFFF" w:sz="0"/>
            </w:tcBorders>
            <w:shd w:fill="F5F5F5" w:val="clear"/>
            <w:tcMar>
              <w:top w:type="dxa" w:w="80"/>
              <w:left w:type="dxa" w:w="160"/>
              <w:bottom w:type="dxa" w:w="80"/>
              <w:right w:type="dxa" w:w="80"/>
            </w:tcMar>
          </w:tcPr>
          <w:p>
            <w:r>
              <w:rPr>
                <w:rFonts w:ascii="Arial" w:cs="Arial" w:eastAsia="Arial" w:hAnsi="Arial"/>
                <w:color w:val="444444"/>
                <w:sz w:val="20"/>
                <w:szCs w:val="20"/>
              </w:rPr>
              <w:t xml:space="preserve">1.2</w:t>
            </w:r>
          </w:p>
        </w:tc>
      </w:tr>
      <w:tr>
        <w:tc>
          <w:tcPr>
            <w:tcW w:type="dxa" w:w="2520"/>
            <w:tcBorders>
              <w:top w:val="none" w:color="FFFFFF" w:sz="0"/>
              <w:left w:val="none" w:color="FFFFFF" w:sz="0"/>
              <w:bottom w:val="none" w:color="FFFFFF" w:sz="0"/>
              <w:right w:val="none" w:color="FFFFFF" w:sz="0"/>
            </w:tcBorders>
            <w:shd w:fill="D5E8F0" w:val="clear"/>
            <w:tcMar>
              <w:top w:type="dxa" w:w="80"/>
              <w:left w:type="dxa" w:w="160"/>
              <w:bottom w:type="dxa" w:w="80"/>
              <w:right w:type="dxa" w:w="80"/>
            </w:tcMar>
          </w:tcPr>
          <w:p>
            <w:r>
              <w:rPr>
                <w:rFonts w:ascii="Arial" w:cs="Arial" w:eastAsia="Arial" w:hAnsi="Arial"/>
                <w:b/>
                <w:bCs/>
                <w:color w:val="1E3A5F"/>
                <w:sz w:val="20"/>
                <w:szCs w:val="20"/>
              </w:rPr>
              <w:t xml:space="preserve">Status</w:t>
            </w:r>
          </w:p>
        </w:tc>
        <w:tc>
          <w:tcPr>
            <w:tcW w:type="dxa" w:w="2520"/>
            <w:tcBorders>
              <w:top w:val="none" w:color="FFFFFF" w:sz="0"/>
              <w:left w:val="none" w:color="FFFFFF" w:sz="0"/>
              <w:bottom w:val="none" w:color="FFFFFF" w:sz="0"/>
              <w:right w:val="none" w:color="FFFFFF" w:sz="0"/>
            </w:tcBorders>
            <w:shd w:fill="F5F5F5" w:val="clear"/>
            <w:tcMar>
              <w:top w:type="dxa" w:w="80"/>
              <w:left w:type="dxa" w:w="160"/>
              <w:bottom w:type="dxa" w:w="80"/>
              <w:right w:type="dxa" w:w="80"/>
            </w:tcMar>
          </w:tcPr>
          <w:p>
            <w:r>
              <w:rPr>
                <w:rFonts w:ascii="Arial" w:cs="Arial" w:eastAsia="Arial" w:hAnsi="Arial"/>
                <w:color w:val="444444"/>
                <w:sz w:val="20"/>
                <w:szCs w:val="20"/>
              </w:rPr>
              <w:t xml:space="preserve">Draft</w:t>
            </w:r>
          </w:p>
        </w:tc>
      </w:tr>
      <w:tr>
        <w:tc>
          <w:tcPr>
            <w:tcW w:type="dxa" w:w="2520"/>
            <w:tcBorders>
              <w:top w:val="none" w:color="FFFFFF" w:sz="0"/>
              <w:left w:val="none" w:color="FFFFFF" w:sz="0"/>
              <w:bottom w:val="none" w:color="FFFFFF" w:sz="0"/>
              <w:right w:val="none" w:color="FFFFFF" w:sz="0"/>
            </w:tcBorders>
            <w:shd w:fill="D5E8F0" w:val="clear"/>
            <w:tcMar>
              <w:top w:type="dxa" w:w="80"/>
              <w:left w:type="dxa" w:w="160"/>
              <w:bottom w:type="dxa" w:w="80"/>
              <w:right w:type="dxa" w:w="80"/>
            </w:tcMar>
          </w:tcPr>
          <w:p>
            <w:r>
              <w:rPr>
                <w:rFonts w:ascii="Arial" w:cs="Arial" w:eastAsia="Arial" w:hAnsi="Arial"/>
                <w:b/>
                <w:bCs/>
                <w:color w:val="1E3A5F"/>
                <w:sz w:val="20"/>
                <w:szCs w:val="20"/>
              </w:rPr>
              <w:t xml:space="preserve">Date</w:t>
            </w:r>
          </w:p>
        </w:tc>
        <w:tc>
          <w:tcPr>
            <w:tcW w:type="dxa" w:w="2520"/>
            <w:tcBorders>
              <w:top w:val="none" w:color="FFFFFF" w:sz="0"/>
              <w:left w:val="none" w:color="FFFFFF" w:sz="0"/>
              <w:bottom w:val="none" w:color="FFFFFF" w:sz="0"/>
              <w:right w:val="none" w:color="FFFFFF" w:sz="0"/>
            </w:tcBorders>
            <w:shd w:fill="F5F5F5" w:val="clear"/>
            <w:tcMar>
              <w:top w:type="dxa" w:w="80"/>
              <w:left w:type="dxa" w:w="160"/>
              <w:bottom w:type="dxa" w:w="80"/>
              <w:right w:type="dxa" w:w="80"/>
            </w:tcMar>
          </w:tcPr>
          <w:p>
            <w:r>
              <w:rPr>
                <w:rFonts w:ascii="Arial" w:cs="Arial" w:eastAsia="Arial" w:hAnsi="Arial"/>
                <w:color w:val="444444"/>
                <w:sz w:val="20"/>
                <w:szCs w:val="20"/>
              </w:rPr>
              <w:t xml:space="preserve">March 2026</w:t>
            </w:r>
          </w:p>
        </w:tc>
      </w:tr>
      <w:tr>
        <w:tc>
          <w:tcPr>
            <w:tcW w:type="dxa" w:w="2520"/>
            <w:tcBorders>
              <w:top w:val="none" w:color="FFFFFF" w:sz="0"/>
              <w:left w:val="none" w:color="FFFFFF" w:sz="0"/>
              <w:bottom w:val="none" w:color="FFFFFF" w:sz="0"/>
              <w:right w:val="none" w:color="FFFFFF" w:sz="0"/>
            </w:tcBorders>
            <w:shd w:fill="D5E8F0" w:val="clear"/>
            <w:tcMar>
              <w:top w:type="dxa" w:w="80"/>
              <w:left w:type="dxa" w:w="160"/>
              <w:bottom w:type="dxa" w:w="80"/>
              <w:right w:type="dxa" w:w="80"/>
            </w:tcMar>
          </w:tcPr>
          <w:p>
            <w:r>
              <w:rPr>
                <w:rFonts w:ascii="Arial" w:cs="Arial" w:eastAsia="Arial" w:hAnsi="Arial"/>
                <w:b/>
                <w:bCs/>
                <w:color w:val="1E3A5F"/>
                <w:sz w:val="20"/>
                <w:szCs w:val="20"/>
              </w:rPr>
              <w:t xml:space="preserve">Build Target</w:t>
            </w:r>
          </w:p>
        </w:tc>
        <w:tc>
          <w:tcPr>
            <w:tcW w:type="dxa" w:w="2520"/>
            <w:tcBorders>
              <w:top w:val="none" w:color="FFFFFF" w:sz="0"/>
              <w:left w:val="none" w:color="FFFFFF" w:sz="0"/>
              <w:bottom w:val="none" w:color="FFFFFF" w:sz="0"/>
              <w:right w:val="none" w:color="FFFFFF" w:sz="0"/>
            </w:tcBorders>
            <w:shd w:fill="F5F5F5" w:val="clear"/>
            <w:tcMar>
              <w:top w:type="dxa" w:w="80"/>
              <w:left w:type="dxa" w:w="160"/>
              <w:bottom w:type="dxa" w:w="80"/>
              <w:right w:type="dxa" w:w="80"/>
            </w:tcMar>
          </w:tcPr>
          <w:p>
            <w:r>
              <w:rPr>
                <w:rFonts w:ascii="Arial" w:cs="Arial" w:eastAsia="Arial" w:hAnsi="Arial"/>
                <w:color w:val="444444"/>
                <w:sz w:val="20"/>
                <w:szCs w:val="20"/>
              </w:rPr>
              <w:t xml:space="preserve">Claude Code / Antigravity</w:t>
            </w:r>
          </w:p>
        </w:tc>
      </w:tr>
    </w:tbl>
    <w:p>
      <w:r>
        <w:br w:type="page"/>
      </w:r>
    </w:p>
    <w:p>
      <w:pPr>
        <w:pStyle w:val="Heading1"/>
        <w:spacing w:before="360" w:after="120"/>
      </w:pPr>
      <w:r>
        <w:rPr>
          <w:rFonts w:ascii="Arial" w:cs="Arial" w:eastAsia="Arial" w:hAnsi="Arial"/>
          <w:b/>
          <w:bCs/>
          <w:color w:val="1E3A5F"/>
          <w:sz w:val="32"/>
          <w:szCs w:val="32"/>
        </w:rPr>
        <w:t xml:space="preserve">1. Executive Summary</w:t>
      </w:r>
    </w:p>
    <w:p>
      <w:pPr>
        <w:spacing w:before="80" w:after="80"/>
      </w:pPr>
      <w:r>
        <w:rPr>
          <w:rFonts w:ascii="Arial" w:cs="Arial" w:eastAsia="Arial" w:hAnsi="Arial"/>
          <w:color w:val="444444"/>
          <w:sz w:val="20"/>
          <w:szCs w:val="20"/>
        </w:rPr>
        <w:t xml:space="preserve">Supply planners at retail organizations face a daily challenge: hundreds of replenishment exceptions arrive each morning from inventory and planning systems, yet planners must prioritize and act on the most business-critical items within a narrow time window. Existing systems sort exceptions by magnitude — not by consequence. A low-unit-variance exception at a flagship store during an active promotion can be more damaging than a high-variance exception at a low-volume store with deep DC inventory.</w:t>
      </w:r>
    </w:p>
    <w:p>
      <w:pPr>
        <w:spacing w:before="80" w:after="0"/>
      </w:pPr>
      <w:r>
        <w:t xml:space="preserve"/>
      </w:r>
    </w:p>
    <w:p>
      <w:pPr>
        <w:spacing w:before="80" w:after="80"/>
      </w:pPr>
      <w:r>
        <w:rPr>
          <w:rFonts w:ascii="Arial" w:cs="Arial" w:eastAsia="Arial" w:hAnsi="Arial"/>
          <w:color w:val="444444"/>
          <w:sz w:val="20"/>
          <w:szCs w:val="20"/>
        </w:rPr>
        <w:t xml:space="preserve">The Replenishment Exception Triage Agent is an AI-powered agentic system that ingests daily replenishment exceptions, enriches each one with contextual business signals, and uses a large language model (Claude) to reason about business impact — the way a senior planner would. The output is a prioritized exception list with plain-English action briefs, pattern flags, and a morning briefing summary that planners can act on immediately.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5E8F0" w:val="clear"/>
            <w:tcMar>
              <w:top w:type="dxa" w:w="160"/>
              <w:left w:type="dxa" w:w="200"/>
              <w:bottom w:type="dxa" w:w="160"/>
              <w:right w:type="dxa" w:w="200"/>
            </w:tcMar>
          </w:tcPr>
          <w:p>
            <w:pPr>
              <w:spacing w:before="0" w:after="60"/>
            </w:pPr>
            <w:r>
              <w:rPr>
                <w:rFonts w:ascii="Arial" w:cs="Arial" w:eastAsia="Arial" w:hAnsi="Arial"/>
                <w:b/>
                <w:bCs/>
                <w:color w:val="1E3A5F"/>
                <w:sz w:val="20"/>
                <w:szCs w:val="20"/>
              </w:rPr>
              <w:t xml:space="preserve">Core Value Proposition</w:t>
            </w:r>
          </w:p>
          <w:p>
            <w:pPr>
              <w:spacing w:before="0" w:after="0"/>
            </w:pPr>
            <w:r>
              <w:rPr>
                <w:rFonts w:ascii="Arial" w:cs="Arial" w:eastAsia="Arial" w:hAnsi="Arial"/>
                <w:color w:val="1A1A1A"/>
                <w:sz w:val="20"/>
                <w:szCs w:val="20"/>
              </w:rPr>
              <w:t xml:space="preserve">Planners stop triaging — they start executing. The agent does the judgment work so the human does the decision work.</w:t>
            </w:r>
          </w:p>
        </w:tc>
      </w:tr>
    </w:tbl>
    <w:p>
      <w:pPr>
        <w:pBdr>
          <w:bottom w:val="single" w:color="2E75B6" w:sz="4" w:space="1"/>
        </w:pBdr>
        <w:spacing w:before="160" w:after="160"/>
      </w:pPr>
      <w:r>
        <w:t xml:space="preserve"/>
      </w:r>
    </w:p>
    <w:p>
      <w:pPr>
        <w:pStyle w:val="Heading1"/>
        <w:spacing w:before="360" w:after="120"/>
      </w:pPr>
      <w:r>
        <w:rPr>
          <w:rFonts w:ascii="Arial" w:cs="Arial" w:eastAsia="Arial" w:hAnsi="Arial"/>
          <w:b/>
          <w:bCs/>
          <w:color w:val="1E3A5F"/>
          <w:sz w:val="32"/>
          <w:szCs w:val="32"/>
        </w:rPr>
        <w:t xml:space="preserve">2. Problem Statement</w:t>
      </w:r>
    </w:p>
    <w:p>
      <w:pPr>
        <w:pStyle w:val="Heading2"/>
        <w:spacing w:before="280" w:after="100"/>
      </w:pPr>
      <w:r>
        <w:rPr>
          <w:rFonts w:ascii="Arial" w:cs="Arial" w:eastAsia="Arial" w:hAnsi="Arial"/>
          <w:b/>
          <w:bCs/>
          <w:color w:val="2E75B6"/>
          <w:sz w:val="26"/>
          <w:szCs w:val="26"/>
        </w:rPr>
        <w:t xml:space="preserve">2.1 The Planner's Daily Reality</w:t>
      </w:r>
    </w:p>
    <w:p>
      <w:pPr>
        <w:spacing w:before="80" w:after="80"/>
      </w:pPr>
      <w:r>
        <w:rPr>
          <w:rFonts w:ascii="Arial" w:cs="Arial" w:eastAsia="Arial" w:hAnsi="Arial"/>
          <w:color w:val="444444"/>
          <w:sz w:val="20"/>
          <w:szCs w:val="20"/>
        </w:rPr>
        <w:t xml:space="preserve">At 7:30am, a supply planner opens their workstation. Their replenishment system has generated somewhere between 400 and 800 exceptions overnight — each one a flag indicating something in the supply chain has deviated from expected parameters. Some are genuinely urgent. Most are not. A small number are catastrophic if ignored. The planner has no reliable way to know which is which without manually reviewing each one.</w:t>
      </w:r>
    </w:p>
    <w:p>
      <w:pPr>
        <w:spacing w:before="80" w:after="0"/>
      </w:pPr>
      <w:r>
        <w:t xml:space="preserve"/>
      </w:r>
    </w:p>
    <w:p>
      <w:pPr>
        <w:spacing w:before="80" w:after="80"/>
      </w:pPr>
      <w:r>
        <w:rPr>
          <w:rFonts w:ascii="Arial" w:cs="Arial" w:eastAsia="Arial" w:hAnsi="Arial"/>
          <w:color w:val="444444"/>
          <w:sz w:val="20"/>
          <w:szCs w:val="20"/>
        </w:rPr>
        <w:t xml:space="preserve">The system sorts by variance magnitude or exception type. So row 1 might be a 90% forecast variance on a slow-moving seasonal item at a Tier 4 store with 30 days of DC stock. Row 340 might be a full OOS on a top-10 velocity item at the highest-revenue store in the chain, during an active promotional event, with a new competitor that opened last week 0.8 miles away. The system treats them as equivalent. The planner with institutional knowledge would not.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5E8F0" w:val="clear"/>
            <w:tcMar>
              <w:top w:type="dxa" w:w="160"/>
              <w:left w:type="dxa" w:w="200"/>
              <w:bottom w:type="dxa" w:w="160"/>
              <w:right w:type="dxa" w:w="200"/>
            </w:tcMar>
          </w:tcPr>
          <w:p>
            <w:pPr>
              <w:spacing w:before="0" w:after="60"/>
            </w:pPr>
            <w:r>
              <w:rPr>
                <w:rFonts w:ascii="Arial" w:cs="Arial" w:eastAsia="Arial" w:hAnsi="Arial"/>
                <w:b/>
                <w:bCs/>
                <w:color w:val="1E3A5F"/>
                <w:sz w:val="20"/>
                <w:szCs w:val="20"/>
              </w:rPr>
              <w:t xml:space="preserve">The Core Paradox</w:t>
            </w:r>
          </w:p>
          <w:p>
            <w:pPr>
              <w:spacing w:before="0" w:after="0"/>
            </w:pPr>
            <w:r>
              <w:rPr>
                <w:rFonts w:ascii="Arial" w:cs="Arial" w:eastAsia="Arial" w:hAnsi="Arial"/>
                <w:color w:val="1A1A1A"/>
                <w:sz w:val="20"/>
                <w:szCs w:val="20"/>
              </w:rPr>
              <w:t xml:space="preserve">The exceptions that matter most are rarely at the top of the queue. The planner with 10 years of experience knows this. The planner in their second month does not. The system tells neither of them.</w:t>
            </w:r>
          </w:p>
        </w:tc>
      </w:tr>
    </w:tbl>
    <w:p>
      <w:pPr>
        <w:spacing w:before="80" w:after="0"/>
      </w:pPr>
      <w:r>
        <w:t xml:space="preserve"/>
      </w:r>
    </w:p>
    <w:p>
      <w:pPr>
        <w:pStyle w:val="Heading2"/>
        <w:spacing w:before="280" w:after="100"/>
      </w:pPr>
      <w:r>
        <w:rPr>
          <w:rFonts w:ascii="Arial" w:cs="Arial" w:eastAsia="Arial" w:hAnsi="Arial"/>
          <w:b/>
          <w:bCs/>
          <w:color w:val="2E75B6"/>
          <w:sz w:val="26"/>
          <w:szCs w:val="26"/>
        </w:rPr>
        <w:t xml:space="preserve">2.2 Why Rule Engines Fail at Triage</w:t>
      </w:r>
    </w:p>
    <w:p>
      <w:pPr>
        <w:spacing w:before="80" w:after="80"/>
      </w:pPr>
      <w:r>
        <w:rPr>
          <w:rFonts w:ascii="Arial" w:cs="Arial" w:eastAsia="Arial" w:hAnsi="Arial"/>
          <w:color w:val="444444"/>
          <w:sz w:val="20"/>
          <w:szCs w:val="20"/>
        </w:rPr>
        <w:t xml:space="preserve">Replenishment planning systems are excellent at generating exceptions — they are not designed to reason about them. Rule engines apply static thresholds uniformly across every item, store, and context. The result is a triage failure with four distinct failure modes: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Failure Mode</w:t>
            </w:r>
          </w:p>
        </w:tc>
        <w:tc>
          <w:tcPr>
            <w:tcW w:type="dxa" w:w="62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Mechanism &amp; Impact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Magnitude bias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Exceptions are sorted by units short or variance %, not by revenue, margin, or strategic risk. A 500-unit shortage on a $0.99 item outranks a 10-unit shortage on a $49 item that is featured in a weekly circular.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Context blindness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Rule engines have no awareness of the promotional calendar, competitor landscape, vendor reliability history, or regional disruption signals. They see numbers, not situations.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Isolation of signals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Each exception is evaluated independently. A rule engine cannot recognize that 12 banana exceptions across 12 stores is one vendor supply event — it creates 12 tickets and treats them as 12 separate problems.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Static threshold decay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Thresholds set for average conditions misfire constantly. A 3-day supply threshold is appropriate in normal conditions but dangerously inadequate heading into a holiday weekend or the day before a major promotional event.</w:t>
            </w:r>
          </w:p>
        </w:tc>
      </w:tr>
    </w:tbl>
    <w:p>
      <w:pPr>
        <w:spacing w:before="80" w:after="0"/>
      </w:pPr>
      <w:r>
        <w:t xml:space="preserve"/>
      </w:r>
    </w:p>
    <w:p>
      <w:pPr>
        <w:pStyle w:val="Heading2"/>
        <w:spacing w:before="280" w:after="100"/>
      </w:pPr>
      <w:r>
        <w:rPr>
          <w:rFonts w:ascii="Arial" w:cs="Arial" w:eastAsia="Arial" w:hAnsi="Arial"/>
          <w:b/>
          <w:bCs/>
          <w:color w:val="2E75B6"/>
          <w:sz w:val="26"/>
          <w:szCs w:val="26"/>
        </w:rPr>
        <w:t xml:space="preserve">2.3 What 'Triage' Means in This Context</w:t>
      </w:r>
    </w:p>
    <w:p>
      <w:pPr>
        <w:spacing w:before="80" w:after="80"/>
      </w:pPr>
      <w:r>
        <w:rPr>
          <w:rFonts w:ascii="Arial" w:cs="Arial" w:eastAsia="Arial" w:hAnsi="Arial"/>
          <w:color w:val="444444"/>
          <w:sz w:val="20"/>
          <w:szCs w:val="20"/>
        </w:rPr>
        <w:t xml:space="preserve">The word triage originates from military and emergency medicine — the practice of sorting patients not by arrival order or injury severity in isolation, but by the combination of consequence, treatability, and time sensitivity. A patient with a moderate but rapidly deteriorating condition is treated before a patient with a severe but stable one.</w:t>
      </w:r>
    </w:p>
    <w:p>
      <w:pPr>
        <w:spacing w:before="80" w:after="0"/>
      </w:pPr>
      <w:r>
        <w:t xml:space="preserve"/>
      </w:r>
    </w:p>
    <w:p>
      <w:pPr>
        <w:spacing w:before="80" w:after="80"/>
      </w:pPr>
      <w:r>
        <w:rPr>
          <w:rFonts w:ascii="Arial" w:cs="Arial" w:eastAsia="Arial" w:hAnsi="Arial"/>
          <w:color w:val="444444"/>
          <w:sz w:val="20"/>
          <w:szCs w:val="20"/>
        </w:rPr>
        <w:t xml:space="preserve">The same logic applies to replenishment exceptions. Triage here is defined as: the act of ranking exceptions by the combination of business consequence, urgency window, and available intervention, rather than by raw magnitude or system-generated score. A properly triaged exception queue answers three questions for each item:</w:t>
      </w:r>
    </w:p>
    <w:p>
      <w:pPr>
        <w:spacing w:before="80" w:after="0"/>
      </w:pPr>
      <w:r>
        <w:t xml:space="preserve"/>
      </w:r>
    </w:p>
    <w:p>
      <w:pPr>
        <w:pStyle w:val="ListParagraph"/>
        <w:numPr>
          <w:ilvl w:val="0"/>
          <w:numId w:val="2"/>
        </w:numPr>
        <w:spacing w:before="60" w:after="60"/>
      </w:pPr>
      <w:r>
        <w:rPr>
          <w:rFonts w:ascii="Arial" w:cs="Arial" w:eastAsia="Arial" w:hAnsi="Arial"/>
          <w:b w:val="false"/>
          <w:bCs w:val="false"/>
          <w:color w:val="444444"/>
          <w:sz w:val="20"/>
          <w:szCs w:val="20"/>
        </w:rPr>
        <w:t xml:space="preserve">What happens to the business if this exception is not addressed today?</w:t>
      </w:r>
    </w:p>
    <w:p>
      <w:pPr>
        <w:pStyle w:val="ListParagraph"/>
        <w:numPr>
          <w:ilvl w:val="0"/>
          <w:numId w:val="2"/>
        </w:numPr>
        <w:spacing w:before="60" w:after="60"/>
      </w:pPr>
      <w:r>
        <w:rPr>
          <w:rFonts w:ascii="Arial" w:cs="Arial" w:eastAsia="Arial" w:hAnsi="Arial"/>
          <w:b w:val="false"/>
          <w:bCs w:val="false"/>
          <w:color w:val="444444"/>
          <w:sz w:val="20"/>
          <w:szCs w:val="20"/>
        </w:rPr>
        <w:t xml:space="preserve">What is the window within which an intervention can still prevent that outcome?</w:t>
      </w:r>
    </w:p>
    <w:p>
      <w:pPr>
        <w:pStyle w:val="ListParagraph"/>
        <w:numPr>
          <w:ilvl w:val="0"/>
          <w:numId w:val="2"/>
        </w:numPr>
        <w:spacing w:before="60" w:after="60"/>
      </w:pPr>
      <w:r>
        <w:rPr>
          <w:rFonts w:ascii="Arial" w:cs="Arial" w:eastAsia="Arial" w:hAnsi="Arial"/>
          <w:b w:val="false"/>
          <w:bCs w:val="false"/>
          <w:color w:val="444444"/>
          <w:sz w:val="20"/>
          <w:szCs w:val="20"/>
        </w:rPr>
        <w:t xml:space="preserve">What specific action resolves it, and who needs to take it?</w:t>
      </w:r>
    </w:p>
    <w:p>
      <w:pPr>
        <w:spacing w:before="80" w:after="0"/>
      </w:pPr>
      <w:r>
        <w:t xml:space="preserve"/>
      </w:r>
    </w:p>
    <w:p>
      <w:pPr>
        <w:spacing w:before="80" w:after="80"/>
      </w:pPr>
      <w:r>
        <w:rPr>
          <w:rFonts w:ascii="Arial" w:cs="Arial" w:eastAsia="Arial" w:hAnsi="Arial"/>
          <w:color w:val="444444"/>
          <w:sz w:val="20"/>
          <w:szCs w:val="20"/>
        </w:rPr>
        <w:t xml:space="preserve">This is precisely what a senior planner does mentally — and what no rule engine currently does. The Replenishment Exception Triage Agent is designed to encode and automate this reasoning at scale.</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2.4 The True Cost of Inadequate Triage</w:t>
      </w:r>
    </w:p>
    <w:p>
      <w:pPr>
        <w:spacing w:before="80" w:after="80"/>
      </w:pPr>
      <w:r>
        <w:rPr>
          <w:rFonts w:ascii="Arial" w:cs="Arial" w:eastAsia="Arial" w:hAnsi="Arial"/>
          <w:color w:val="444444"/>
          <w:sz w:val="20"/>
          <w:szCs w:val="20"/>
        </w:rPr>
        <w:t xml:space="preserve">The financial cost of poor exception triage is distributed across three categories that are rarely measured together: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Cost Category</w:t>
            </w:r>
          </w:p>
        </w:tc>
        <w:tc>
          <w:tcPr>
            <w:tcW w:type="dxa" w:w="62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 &amp; Impact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Lost sales — OOS during demand peaks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When a high-velocity item goes OOS during a promo event or seasonal spike, every unit short is a lost sale. At category scale, this can represent tens of thousands of dollars per week per store cluster.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Promotional ROI erosion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 TPR event with OOS at point of sale destroys the margin investment made in the promotional vehicle (circular, digital ad, display). The cost is compounded: the retailer paid to drive traffic to a product that was not on the shelf.</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Planner productivity destruction</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 planner spending 3 hours on triage is not spending 3 hours on vendor negotiations, safety stock optimization, or new item launch management. The opportunity cost is invisible in most planning organizations but measurable in headcount efficiency.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Competitive loyalty erosion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Repeated OOS events, especially near a competitor location, produce customer defection that is not captured in any replenishment report. This is the longest-tail cost and the hardest to reverse.</w:t>
            </w:r>
          </w:p>
        </w:tc>
      </w:tr>
    </w:tbl>
    <w:p>
      <w:pPr>
        <w:pBdr>
          <w:bottom w:val="single" w:color="2E75B6" w:sz="4" w:space="1"/>
        </w:pBdr>
        <w:spacing w:before="160" w:after="160"/>
      </w:pPr>
      <w:r>
        <w:t xml:space="preserve"/>
      </w:r>
    </w:p>
    <w:p>
      <w:r>
        <w:br w:type="page"/>
      </w:r>
    </w:p>
    <w:p>
      <w:pPr>
        <w:pStyle w:val="Heading1"/>
        <w:spacing w:before="360" w:after="120"/>
      </w:pPr>
      <w:r>
        <w:rPr>
          <w:rFonts w:ascii="Arial" w:cs="Arial" w:eastAsia="Arial" w:hAnsi="Arial"/>
          <w:b/>
          <w:bCs/>
          <w:color w:val="1E3A5F"/>
          <w:sz w:val="32"/>
          <w:szCs w:val="32"/>
        </w:rPr>
        <w:t xml:space="preserve">3. Project Objectives</w:t>
      </w:r>
    </w:p>
    <w:p>
      <w:pPr>
        <w:pStyle w:val="Heading2"/>
        <w:spacing w:before="280" w:after="100"/>
      </w:pPr>
      <w:r>
        <w:rPr>
          <w:rFonts w:ascii="Arial" w:cs="Arial" w:eastAsia="Arial" w:hAnsi="Arial"/>
          <w:b/>
          <w:bCs/>
          <w:color w:val="2E75B6"/>
          <w:sz w:val="26"/>
          <w:szCs w:val="26"/>
        </w:rPr>
        <w:t xml:space="preserve">3.1 Primary Objectives</w:t>
      </w:r>
    </w:p>
    <w:p>
      <w:pPr>
        <w:pStyle w:val="ListParagraph"/>
        <w:numPr>
          <w:ilvl w:val="0"/>
          <w:numId w:val="2"/>
        </w:numPr>
        <w:spacing w:before="60" w:after="60"/>
      </w:pPr>
      <w:r>
        <w:rPr>
          <w:rFonts w:ascii="Arial" w:cs="Arial" w:eastAsia="Arial" w:hAnsi="Arial"/>
          <w:b w:val="false"/>
          <w:bCs w:val="false"/>
          <w:color w:val="444444"/>
          <w:sz w:val="20"/>
          <w:szCs w:val="20"/>
        </w:rPr>
        <w:t xml:space="preserve">Build an agentic AI system that triages replenishment exceptions by business consequence, not magnitude</w:t>
      </w:r>
    </w:p>
    <w:p>
      <w:pPr>
        <w:pStyle w:val="ListParagraph"/>
        <w:numPr>
          <w:ilvl w:val="0"/>
          <w:numId w:val="2"/>
        </w:numPr>
        <w:spacing w:before="60" w:after="60"/>
      </w:pPr>
      <w:r>
        <w:rPr>
          <w:rFonts w:ascii="Arial" w:cs="Arial" w:eastAsia="Arial" w:hAnsi="Arial"/>
          <w:b w:val="false"/>
          <w:bCs w:val="false"/>
          <w:color w:val="444444"/>
          <w:sz w:val="20"/>
          <w:szCs w:val="20"/>
        </w:rPr>
        <w:t xml:space="preserve">Generate plain-English action briefs per exception, readable by planners at any experience level</w:t>
      </w:r>
    </w:p>
    <w:p>
      <w:pPr>
        <w:pStyle w:val="ListParagraph"/>
        <w:numPr>
          <w:ilvl w:val="0"/>
          <w:numId w:val="2"/>
        </w:numPr>
        <w:spacing w:before="60" w:after="60"/>
      </w:pPr>
      <w:r>
        <w:rPr>
          <w:rFonts w:ascii="Arial" w:cs="Arial" w:eastAsia="Arial" w:hAnsi="Arial"/>
          <w:b w:val="false"/>
          <w:bCs w:val="false"/>
          <w:color w:val="444444"/>
          <w:sz w:val="20"/>
          <w:szCs w:val="20"/>
        </w:rPr>
        <w:t xml:space="preserve">Identify cross-exception patterns (same vendor, same DC lane, same category) and surface as single escalation events</w:t>
      </w:r>
    </w:p>
    <w:p>
      <w:pPr>
        <w:pStyle w:val="ListParagraph"/>
        <w:numPr>
          <w:ilvl w:val="0"/>
          <w:numId w:val="2"/>
        </w:numPr>
        <w:spacing w:before="60" w:after="60"/>
      </w:pPr>
      <w:r>
        <w:rPr>
          <w:rFonts w:ascii="Arial" w:cs="Arial" w:eastAsia="Arial" w:hAnsi="Arial"/>
          <w:b w:val="false"/>
          <w:bCs w:val="false"/>
          <w:color w:val="444444"/>
          <w:sz w:val="20"/>
          <w:szCs w:val="20"/>
        </w:rPr>
        <w:t xml:space="preserve">Reduce time-to-action on CRITICAL exceptions from hours to under two hours</w:t>
      </w:r>
    </w:p>
    <w:p>
      <w:pPr>
        <w:pStyle w:val="ListParagraph"/>
        <w:numPr>
          <w:ilvl w:val="0"/>
          <w:numId w:val="2"/>
        </w:numPr>
        <w:spacing w:before="60" w:after="60"/>
      </w:pPr>
      <w:r>
        <w:rPr>
          <w:rFonts w:ascii="Arial" w:cs="Arial" w:eastAsia="Arial" w:hAnsi="Arial"/>
          <w:b w:val="false"/>
          <w:bCs w:val="false"/>
          <w:color w:val="444444"/>
          <w:sz w:val="20"/>
          <w:szCs w:val="20"/>
        </w:rPr>
        <w:t xml:space="preserve">Establish a measurable accuracy baseline for backtesting and continuous improvement</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3.2 Secondary Objectives</w:t>
      </w:r>
    </w:p>
    <w:p>
      <w:pPr>
        <w:pStyle w:val="ListParagraph"/>
        <w:numPr>
          <w:ilvl w:val="0"/>
          <w:numId w:val="2"/>
        </w:numPr>
        <w:spacing w:before="60" w:after="60"/>
      </w:pPr>
      <w:r>
        <w:rPr>
          <w:rFonts w:ascii="Arial" w:cs="Arial" w:eastAsia="Arial" w:hAnsi="Arial"/>
          <w:b w:val="false"/>
          <w:bCs w:val="false"/>
          <w:color w:val="444444"/>
          <w:sz w:val="20"/>
          <w:szCs w:val="20"/>
        </w:rPr>
        <w:t xml:space="preserve">Serve as an onboarding accelerator for new planners by encoding senior institutional knowledge in the system prompt</w:t>
      </w:r>
    </w:p>
    <w:p>
      <w:pPr>
        <w:pStyle w:val="ListParagraph"/>
        <w:numPr>
          <w:ilvl w:val="0"/>
          <w:numId w:val="2"/>
        </w:numPr>
        <w:spacing w:before="60" w:after="60"/>
      </w:pPr>
      <w:r>
        <w:rPr>
          <w:rFonts w:ascii="Arial" w:cs="Arial" w:eastAsia="Arial" w:hAnsi="Arial"/>
          <w:b w:val="false"/>
          <w:bCs w:val="false"/>
          <w:color w:val="444444"/>
          <w:sz w:val="20"/>
          <w:szCs w:val="20"/>
        </w:rPr>
        <w:t xml:space="preserve">Produce a repeatable, generalizable architecture applicable to other retailer environments and planning systems</w:t>
      </w:r>
    </w:p>
    <w:p>
      <w:pPr>
        <w:pStyle w:val="ListParagraph"/>
        <w:numPr>
          <w:ilvl w:val="0"/>
          <w:numId w:val="2"/>
        </w:numPr>
        <w:spacing w:before="60" w:after="60"/>
      </w:pPr>
      <w:r>
        <w:rPr>
          <w:rFonts w:ascii="Arial" w:cs="Arial" w:eastAsia="Arial" w:hAnsi="Arial"/>
          <w:b w:val="false"/>
          <w:bCs w:val="false"/>
          <w:color w:val="444444"/>
          <w:sz w:val="20"/>
          <w:szCs w:val="20"/>
        </w:rPr>
        <w:t xml:space="preserve">Demonstrate applied AI value to supply chain leadership with measurable ROI metrics</w:t>
      </w:r>
    </w:p>
    <w:p>
      <w:pPr>
        <w:pBdr>
          <w:bottom w:val="single" w:color="2E75B6" w:sz="4" w:space="1"/>
        </w:pBdr>
        <w:spacing w:before="160" w:after="160"/>
      </w:pPr>
      <w:r>
        <w:t xml:space="preserve"/>
      </w:r>
    </w:p>
    <w:p>
      <w:pPr>
        <w:pStyle w:val="Heading1"/>
        <w:spacing w:before="360" w:after="120"/>
      </w:pPr>
      <w:r>
        <w:rPr>
          <w:rFonts w:ascii="Arial" w:cs="Arial" w:eastAsia="Arial" w:hAnsi="Arial"/>
          <w:b/>
          <w:bCs/>
          <w:color w:val="1E3A5F"/>
          <w:sz w:val="32"/>
          <w:szCs w:val="32"/>
        </w:rPr>
        <w:t xml:space="preserve">4. Scope</w:t>
      </w:r>
    </w:p>
    <w:p>
      <w:pPr>
        <w:pStyle w:val="Heading2"/>
        <w:spacing w:before="280" w:after="100"/>
      </w:pPr>
      <w:r>
        <w:rPr>
          <w:rFonts w:ascii="Arial" w:cs="Arial" w:eastAsia="Arial" w:hAnsi="Arial"/>
          <w:b/>
          <w:bCs/>
          <w:color w:val="2E75B6"/>
          <w:sz w:val="26"/>
          <w:szCs w:val="26"/>
        </w:rPr>
        <w:t xml:space="preserve">4.1 In Scope</w:t>
      </w:r>
    </w:p>
    <w:p>
      <w:pPr>
        <w:pStyle w:val="ListParagraph"/>
        <w:numPr>
          <w:ilvl w:val="0"/>
          <w:numId w:val="2"/>
        </w:numPr>
        <w:spacing w:before="60" w:after="60"/>
      </w:pPr>
      <w:r>
        <w:rPr>
          <w:rFonts w:ascii="Arial" w:cs="Arial" w:eastAsia="Arial" w:hAnsi="Arial"/>
          <w:b w:val="false"/>
          <w:bCs w:val="false"/>
          <w:color w:val="444444"/>
          <w:sz w:val="20"/>
          <w:szCs w:val="20"/>
        </w:rPr>
        <w:t xml:space="preserve">Exception ingestion pipeline from any replenishment planning system export (CSV, API, flat file)</w:t>
      </w:r>
    </w:p>
    <w:p>
      <w:pPr>
        <w:pStyle w:val="ListParagraph"/>
        <w:numPr>
          <w:ilvl w:val="0"/>
          <w:numId w:val="2"/>
        </w:numPr>
        <w:spacing w:before="60" w:after="60"/>
      </w:pPr>
      <w:r>
        <w:rPr>
          <w:rFonts w:ascii="Arial" w:cs="Arial" w:eastAsia="Arial" w:hAnsi="Arial"/>
          <w:b w:val="false"/>
          <w:bCs w:val="false"/>
          <w:color w:val="444444"/>
          <w:sz w:val="20"/>
          <w:szCs w:val="20"/>
        </w:rPr>
        <w:t xml:space="preserve">Context enrichment layer: item, store, promo, vendor, DC inventory, competitor signals</w:t>
      </w:r>
    </w:p>
    <w:p>
      <w:pPr>
        <w:pStyle w:val="ListParagraph"/>
        <w:numPr>
          <w:ilvl w:val="0"/>
          <w:numId w:val="2"/>
        </w:numPr>
        <w:spacing w:before="60" w:after="60"/>
      </w:pPr>
      <w:r>
        <w:rPr>
          <w:rFonts w:ascii="Arial" w:cs="Arial" w:eastAsia="Arial" w:hAnsi="Arial"/>
          <w:b w:val="false"/>
          <w:bCs w:val="false"/>
          <w:color w:val="444444"/>
          <w:sz w:val="20"/>
          <w:szCs w:val="20"/>
        </w:rPr>
        <w:t xml:space="preserve">Claude-powered reasoning engine for exception scoring, pattern detection, and action generation</w:t>
      </w:r>
    </w:p>
    <w:p>
      <w:pPr>
        <w:pStyle w:val="ListParagraph"/>
        <w:numPr>
          <w:ilvl w:val="0"/>
          <w:numId w:val="2"/>
        </w:numPr>
        <w:spacing w:before="60" w:after="60"/>
      </w:pPr>
      <w:r>
        <w:rPr>
          <w:rFonts w:ascii="Arial" w:cs="Arial" w:eastAsia="Arial" w:hAnsi="Arial"/>
          <w:b w:val="false"/>
          <w:bCs w:val="false"/>
          <w:color w:val="444444"/>
          <w:sz w:val="20"/>
          <w:szCs w:val="20"/>
        </w:rPr>
        <w:t xml:space="preserve">Priority routing logic: CRITICAL / HIGH / MEDIUM / LOW classification</w:t>
      </w:r>
    </w:p>
    <w:p>
      <w:pPr>
        <w:pStyle w:val="ListParagraph"/>
        <w:numPr>
          <w:ilvl w:val="0"/>
          <w:numId w:val="2"/>
        </w:numPr>
        <w:spacing w:before="60" w:after="60"/>
      </w:pPr>
      <w:r>
        <w:rPr>
          <w:rFonts w:ascii="Arial" w:cs="Arial" w:eastAsia="Arial" w:hAnsi="Arial"/>
          <w:b w:val="false"/>
          <w:bCs w:val="false"/>
          <w:color w:val="444444"/>
          <w:sz w:val="20"/>
          <w:szCs w:val="20"/>
        </w:rPr>
        <w:t xml:space="preserve">Planner-facing morning briefing output (structured JSON + human-readable markdown)</w:t>
      </w:r>
    </w:p>
    <w:p>
      <w:pPr>
        <w:pStyle w:val="ListParagraph"/>
        <w:numPr>
          <w:ilvl w:val="0"/>
          <w:numId w:val="2"/>
        </w:numPr>
        <w:spacing w:before="60" w:after="60"/>
      </w:pPr>
      <w:r>
        <w:rPr>
          <w:rFonts w:ascii="Arial" w:cs="Arial" w:eastAsia="Arial" w:hAnsi="Arial"/>
          <w:b w:val="false"/>
          <w:bCs w:val="false"/>
          <w:color w:val="444444"/>
          <w:sz w:val="20"/>
          <w:szCs w:val="20"/>
        </w:rPr>
        <w:t xml:space="preserve">Backtesting framework: forecast accuracy measurement at Week 4 and Week 8 post-exception</w:t>
      </w:r>
    </w:p>
    <w:p>
      <w:pPr>
        <w:pStyle w:val="ListParagraph"/>
        <w:numPr>
          <w:ilvl w:val="0"/>
          <w:numId w:val="2"/>
        </w:numPr>
        <w:spacing w:before="60" w:after="60"/>
      </w:pPr>
      <w:r>
        <w:rPr>
          <w:rFonts w:ascii="Arial" w:cs="Arial" w:eastAsia="Arial" w:hAnsi="Arial"/>
          <w:b w:val="false"/>
          <w:bCs w:val="false"/>
          <w:color w:val="444444"/>
          <w:sz w:val="20"/>
          <w:szCs w:val="20"/>
        </w:rPr>
        <w:t xml:space="preserve">Configuration layer: adjustable weights, thresholds, and category-specific rules</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4.2 Out of Scope — Phase 1</w:t>
      </w:r>
    </w:p>
    <w:p>
      <w:pPr>
        <w:pStyle w:val="ListParagraph"/>
        <w:numPr>
          <w:ilvl w:val="0"/>
          <w:numId w:val="2"/>
        </w:numPr>
        <w:spacing w:before="60" w:after="60"/>
      </w:pPr>
      <w:r>
        <w:rPr>
          <w:rFonts w:ascii="Arial" w:cs="Arial" w:eastAsia="Arial" w:hAnsi="Arial"/>
          <w:b w:val="false"/>
          <w:bCs w:val="false"/>
          <w:color w:val="444444"/>
          <w:sz w:val="20"/>
          <w:szCs w:val="20"/>
        </w:rPr>
        <w:t xml:space="preserve">Automated order creation or replenishment execution (agent recommends, human approves)</w:t>
      </w:r>
    </w:p>
    <w:p>
      <w:pPr>
        <w:pStyle w:val="ListParagraph"/>
        <w:numPr>
          <w:ilvl w:val="0"/>
          <w:numId w:val="2"/>
        </w:numPr>
        <w:spacing w:before="60" w:after="60"/>
      </w:pPr>
      <w:r>
        <w:rPr>
          <w:rFonts w:ascii="Arial" w:cs="Arial" w:eastAsia="Arial" w:hAnsi="Arial"/>
          <w:b w:val="false"/>
          <w:bCs w:val="false"/>
          <w:color w:val="444444"/>
          <w:sz w:val="20"/>
          <w:szCs w:val="20"/>
        </w:rPr>
        <w:t xml:space="preserve">Real-time streaming exception processing (daily batch is Phase 1 target)</w:t>
      </w:r>
    </w:p>
    <w:p>
      <w:pPr>
        <w:pStyle w:val="ListParagraph"/>
        <w:numPr>
          <w:ilvl w:val="0"/>
          <w:numId w:val="2"/>
        </w:numPr>
        <w:spacing w:before="60" w:after="60"/>
      </w:pPr>
      <w:r>
        <w:rPr>
          <w:rFonts w:ascii="Arial" w:cs="Arial" w:eastAsia="Arial" w:hAnsi="Arial"/>
          <w:b w:val="false"/>
          <w:bCs w:val="false"/>
          <w:color w:val="444444"/>
          <w:sz w:val="20"/>
          <w:szCs w:val="20"/>
        </w:rPr>
        <w:t xml:space="preserve">Direct ERP or WMS system write-back</w:t>
      </w:r>
    </w:p>
    <w:p>
      <w:pPr>
        <w:pStyle w:val="ListParagraph"/>
        <w:numPr>
          <w:ilvl w:val="0"/>
          <w:numId w:val="2"/>
        </w:numPr>
        <w:spacing w:before="60" w:after="60"/>
      </w:pPr>
      <w:r>
        <w:rPr>
          <w:rFonts w:ascii="Arial" w:cs="Arial" w:eastAsia="Arial" w:hAnsi="Arial"/>
          <w:b w:val="false"/>
          <w:bCs w:val="false"/>
          <w:color w:val="444444"/>
          <w:sz w:val="20"/>
          <w:szCs w:val="20"/>
        </w:rPr>
        <w:t xml:space="preserve">Multi-retailer or SaaS deployment architecture</w:t>
      </w:r>
    </w:p>
    <w:p>
      <w:pPr>
        <w:pStyle w:val="ListParagraph"/>
        <w:numPr>
          <w:ilvl w:val="0"/>
          <w:numId w:val="2"/>
        </w:numPr>
        <w:spacing w:before="60" w:after="60"/>
      </w:pPr>
      <w:r>
        <w:rPr>
          <w:rFonts w:ascii="Arial" w:cs="Arial" w:eastAsia="Arial" w:hAnsi="Arial"/>
          <w:b w:val="false"/>
          <w:bCs w:val="false"/>
          <w:color w:val="444444"/>
          <w:sz w:val="20"/>
          <w:szCs w:val="20"/>
        </w:rPr>
        <w:t xml:space="preserve">Mobile interface or push notification layer</w:t>
      </w:r>
    </w:p>
    <w:p>
      <w:pPr>
        <w:pBdr>
          <w:bottom w:val="single" w:color="2E75B6" w:sz="4" w:space="1"/>
        </w:pBdr>
        <w:spacing w:before="160" w:after="160"/>
      </w:pPr>
      <w:r>
        <w:t xml:space="preserve"/>
      </w:r>
    </w:p>
    <w:p>
      <w:r>
        <w:br w:type="page"/>
      </w:r>
    </w:p>
    <w:p>
      <w:pPr>
        <w:pStyle w:val="Heading1"/>
        <w:spacing w:before="360" w:after="120"/>
      </w:pPr>
      <w:r>
        <w:rPr>
          <w:rFonts w:ascii="Arial" w:cs="Arial" w:eastAsia="Arial" w:hAnsi="Arial"/>
          <w:b/>
          <w:bCs/>
          <w:color w:val="1E3A5F"/>
          <w:sz w:val="32"/>
          <w:szCs w:val="32"/>
        </w:rPr>
        <w:t xml:space="preserve">5. System Architecture</w:t>
      </w:r>
    </w:p>
    <w:p>
      <w:pPr>
        <w:pStyle w:val="Heading2"/>
        <w:spacing w:before="280" w:after="100"/>
      </w:pPr>
      <w:r>
        <w:rPr>
          <w:rFonts w:ascii="Arial" w:cs="Arial" w:eastAsia="Arial" w:hAnsi="Arial"/>
          <w:b/>
          <w:bCs/>
          <w:color w:val="2E75B6"/>
          <w:sz w:val="26"/>
          <w:szCs w:val="26"/>
        </w:rPr>
        <w:t xml:space="preserve">5.1 Architecture Philosophy</w:t>
      </w:r>
    </w:p>
    <w:p>
      <w:pPr>
        <w:spacing w:before="80" w:after="80"/>
      </w:pPr>
      <w:r>
        <w:rPr>
          <w:rFonts w:ascii="Arial" w:cs="Arial" w:eastAsia="Arial" w:hAnsi="Arial"/>
          <w:color w:val="444444"/>
          <w:sz w:val="20"/>
          <w:szCs w:val="20"/>
        </w:rPr>
        <w:t xml:space="preserve">The system is built on a separation-of-concerns principle: structured data pipelines handle what is factual and deterministic; the AI layer handles what requires judgment and synthesis. Claude never generates facts — it reasons on facts. This boundary is non-negotiable and is the primary mechanism for preventing hallucination and maintaining planner trust.</w:t>
      </w:r>
    </w:p>
    <w:p>
      <w:pPr>
        <w:spacing w:before="80" w:after="0"/>
      </w:pPr>
      <w:r>
        <w:t xml:space="preserve"/>
      </w:r>
    </w:p>
    <w:p>
      <w:pPr>
        <w:spacing w:before="80" w:after="80"/>
      </w:pPr>
      <w:r>
        <w:rPr>
          <w:rFonts w:ascii="Arial" w:cs="Arial" w:eastAsia="Arial" w:hAnsi="Arial"/>
          <w:color w:val="444444"/>
          <w:sz w:val="20"/>
          <w:szCs w:val="20"/>
        </w:rPr>
        <w:t xml:space="preserve">The architecture is composed of four sequential layers. Each layer has a discrete input contract, processing responsibility, and output contract. Layers are independently testable and replaceable — a change in the source planning system requires only an adapter update in Layer 1, with no impact on the AI reasoning layer.</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5.2 Layer 1 — Ingestion &amp; Normalization</w:t>
      </w:r>
    </w:p>
    <w:p>
      <w:pPr>
        <w:spacing w:before="80" w:after="80"/>
      </w:pPr>
      <w:r>
        <w:rPr>
          <w:rFonts w:ascii="Arial" w:cs="Arial" w:eastAsia="Arial" w:hAnsi="Arial"/>
          <w:color w:val="444444"/>
          <w:sz w:val="20"/>
          <w:szCs w:val="20"/>
        </w:rPr>
        <w:t xml:space="preserve">Layer 1 accepts exception data in any format produced by a replenishment planning system and normalizes it to the canonical exception schema. It is the only layer with awareness of the source system format. All downstream layers operate exclusively on canonical schema objects.</w:t>
      </w:r>
    </w:p>
    <w:p>
      <w:pPr>
        <w:spacing w:before="80" w:after="0"/>
      </w:pPr>
      <w:r>
        <w:t xml:space="preserve"/>
      </w:r>
    </w:p>
    <w:p>
      <w:pPr>
        <w:spacing w:before="80" w:after="80"/>
      </w:pPr>
      <w:r>
        <w:rPr>
          <w:rFonts w:ascii="Arial" w:cs="Arial" w:eastAsia="Arial" w:hAnsi="Arial"/>
          <w:color w:val="444444"/>
          <w:sz w:val="20"/>
          <w:szCs w:val="20"/>
        </w:rPr>
        <w:t xml:space="preserve">Supported ingestion modes: (a) CSV/Excel flat file from scheduled batch export, (b) REST API pull with JSON payload, (c) direct database query via SQL adapter, (d) webhook push for near-real-time operation. Each mode is implemented as a pluggable adapter registered in the YAML configuration file.</w:t>
      </w:r>
    </w:p>
    <w:p>
      <w:pPr>
        <w:spacing w:before="80" w:after="0"/>
      </w:pPr>
      <w:r>
        <w:t xml:space="preserve"/>
      </w:r>
    </w:p>
    <w:p>
      <w:pPr>
        <w:spacing w:before="80" w:after="80"/>
      </w:pPr>
      <w:r>
        <w:rPr>
          <w:rFonts w:ascii="Arial" w:cs="Arial" w:eastAsia="Arial" w:hAnsi="Arial"/>
          <w:color w:val="444444"/>
          <w:sz w:val="20"/>
          <w:szCs w:val="20"/>
        </w:rPr>
        <w:t xml:space="preserve">Normalization includes: field mapping to canonical names, data type coercion, deduplication of same-item/same-store exceptions within the batch window, and a validation pass that flags records with missing required fields before they enter the enrichment pipeline. Invalid records are quarantined with a reason code rather than dropped silently.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5E8F0" w:val="clear"/>
            <w:tcMar>
              <w:top w:type="dxa" w:w="160"/>
              <w:left w:type="dxa" w:w="200"/>
              <w:bottom w:type="dxa" w:w="160"/>
              <w:right w:type="dxa" w:w="200"/>
            </w:tcMar>
          </w:tcPr>
          <w:p>
            <w:pPr>
              <w:spacing w:before="0" w:after="60"/>
            </w:pPr>
            <w:r>
              <w:rPr>
                <w:rFonts w:ascii="Arial" w:cs="Arial" w:eastAsia="Arial" w:hAnsi="Arial"/>
                <w:b/>
                <w:bCs/>
                <w:color w:val="1E3A5F"/>
                <w:sz w:val="20"/>
                <w:szCs w:val="20"/>
              </w:rPr>
              <w:t xml:space="preserve">Ingestion Design Principle</w:t>
            </w:r>
          </w:p>
          <w:p>
            <w:pPr>
              <w:spacing w:before="0" w:after="0"/>
            </w:pPr>
            <w:r>
              <w:rPr>
                <w:rFonts w:ascii="Arial" w:cs="Arial" w:eastAsia="Arial" w:hAnsi="Arial"/>
                <w:color w:val="1A1A1A"/>
                <w:sz w:val="20"/>
                <w:szCs w:val="20"/>
              </w:rPr>
              <w:t xml:space="preserve">Never let source system naming conventions or format quirks propagate downstream. Layer 1 is the translation boundary. Everything after it speaks canonical schema.</w:t>
            </w:r>
          </w:p>
        </w:tc>
      </w:tr>
    </w:tbl>
    <w:p>
      <w:pPr>
        <w:spacing w:before="80" w:after="0"/>
      </w:pPr>
      <w:r>
        <w:t xml:space="preserve"/>
      </w:r>
    </w:p>
    <w:p>
      <w:pPr>
        <w:pStyle w:val="Heading2"/>
        <w:spacing w:before="280" w:after="100"/>
      </w:pPr>
      <w:r>
        <w:rPr>
          <w:rFonts w:ascii="Arial" w:cs="Arial" w:eastAsia="Arial" w:hAnsi="Arial"/>
          <w:b/>
          <w:bCs/>
          <w:color w:val="2E75B6"/>
          <w:sz w:val="26"/>
          <w:szCs w:val="26"/>
        </w:rPr>
        <w:t xml:space="preserve">5.3 Layer 2 — Context Enrichment</w:t>
      </w:r>
    </w:p>
    <w:p>
      <w:pPr>
        <w:spacing w:before="80" w:after="80"/>
      </w:pPr>
      <w:r>
        <w:rPr>
          <w:rFonts w:ascii="Arial" w:cs="Arial" w:eastAsia="Arial" w:hAnsi="Arial"/>
          <w:color w:val="444444"/>
          <w:sz w:val="20"/>
          <w:szCs w:val="20"/>
        </w:rPr>
        <w:t xml:space="preserve">Layer 2 is the most data-engineering-intensive component. It takes each canonical exception object and enriches it with 13 contextual fields drawn from six distinct data sources. The enriched exception is the atomic unit that Claude reasons against — every signal Claude weighs must be in this object before the batch is submitted to the AI layer.</w:t>
      </w:r>
    </w:p>
    <w:p>
      <w:pPr>
        <w:spacing w:before="80" w:after="0"/>
      </w:pPr>
      <w:r>
        <w:t xml:space="preserve"/>
      </w:r>
    </w:p>
    <w:p>
      <w:pPr>
        <w:spacing w:before="80" w:after="80"/>
      </w:pPr>
      <w:r>
        <w:rPr>
          <w:rFonts w:ascii="Arial" w:cs="Arial" w:eastAsia="Arial" w:hAnsi="Arial"/>
          <w:color w:val="444444"/>
          <w:sz w:val="20"/>
          <w:szCs w:val="20"/>
        </w:rPr>
        <w:t xml:space="preserve">Enrichment is performed via a parallel join pipeline: each enrichment source is queried concurrently for the full batch, results are joined by item_id and store_id, and the enriched object is assembled. Null-safe handling is applied throughout — if a data source is unavailable, the field is populated with a typed null and a missing_data flag is set, which the AI layer is explicitly trained to recognize and disclose.</w:t>
      </w:r>
    </w:p>
    <w:p>
      <w:pPr>
        <w:spacing w:before="80" w:after="0"/>
      </w:pPr>
      <w:r>
        <w:t xml:space="preserve"/>
      </w:r>
    </w:p>
    <w:p>
      <w:pPr>
        <w:spacing w:before="80" w:after="80"/>
      </w:pPr>
      <w:r>
        <w:rPr>
          <w:rFonts w:ascii="Arial" w:cs="Arial" w:eastAsia="Arial" w:hAnsi="Arial"/>
          <w:color w:val="444444"/>
          <w:sz w:val="20"/>
          <w:szCs w:val="20"/>
        </w:rPr>
        <w:t xml:space="preserve">Financial value fields are computed in Layer 2, not by Claude: estimated lost sales value is calculated as (units_short x retail_price x velocity_index), and promotional margin at risk is calculated as (promo_depth_pct x projected_promo_units x margin_rate). These are deterministic calculations passed as structured inputs — Claude interprets their significance but never computes them.</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5.4 Layer 3 — Claude Reasoning Engine (AI Core)</w:t>
      </w:r>
    </w:p>
    <w:p>
      <w:pPr>
        <w:spacing w:before="80" w:after="80"/>
      </w:pPr>
      <w:r>
        <w:rPr>
          <w:rFonts w:ascii="Arial" w:cs="Arial" w:eastAsia="Arial" w:hAnsi="Arial"/>
          <w:color w:val="444444"/>
          <w:sz w:val="20"/>
          <w:szCs w:val="20"/>
        </w:rPr>
        <w:t xml:space="preserve">Layer 3 is the AI core of the system. It operates as an agentic loop: enriched exceptions are batched into groups of 25–50, each batch is submitted to Claude via the Anthropic Messages API, and Claude returns a structured JSON response containing priority classifications, action briefs, pattern flags, and a batch summary narrative.</w:t>
      </w:r>
    </w:p>
    <w:p>
      <w:pPr>
        <w:spacing w:before="80" w:after="0"/>
      </w:pPr>
      <w:r>
        <w:t xml:space="preserve"/>
      </w:r>
    </w:p>
    <w:p>
      <w:pPr>
        <w:spacing w:before="80" w:after="80"/>
      </w:pPr>
      <w:r>
        <w:rPr>
          <w:rFonts w:ascii="Arial" w:cs="Arial" w:eastAsia="Arial" w:hAnsi="Arial"/>
          <w:color w:val="444444"/>
          <w:sz w:val="20"/>
          <w:szCs w:val="20"/>
        </w:rPr>
        <w:t xml:space="preserve">The agentic loop implements retry logic with exponential backoff for API failures, batch size adjustment for context window management, and a fallback mode that invokes a simplified prompt when the full enrichment data is unavailable for a majority of exceptions in a batch. Results are written to the output store after each batch completes, so partial results are preserved if the full run is interrupted.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5E8F0" w:val="clear"/>
            <w:tcMar>
              <w:top w:type="dxa" w:w="160"/>
              <w:left w:type="dxa" w:w="200"/>
              <w:bottom w:type="dxa" w:w="160"/>
              <w:right w:type="dxa" w:w="200"/>
            </w:tcMar>
          </w:tcPr>
          <w:p>
            <w:pPr>
              <w:spacing w:before="0" w:after="60"/>
            </w:pPr>
            <w:r>
              <w:rPr>
                <w:rFonts w:ascii="Arial" w:cs="Arial" w:eastAsia="Arial" w:hAnsi="Arial"/>
                <w:b/>
                <w:bCs/>
                <w:color w:val="1E3A5F"/>
                <w:sz w:val="20"/>
                <w:szCs w:val="20"/>
              </w:rPr>
              <w:t xml:space="preserve">Agentic Loop Design</w:t>
            </w:r>
          </w:p>
          <w:p>
            <w:pPr>
              <w:spacing w:before="0" w:after="0"/>
            </w:pPr>
            <w:r>
              <w:rPr>
                <w:rFonts w:ascii="Arial" w:cs="Arial" w:eastAsia="Arial" w:hAnsi="Arial"/>
                <w:color w:val="1A1A1A"/>
                <w:sz w:val="20"/>
                <w:szCs w:val="20"/>
              </w:rPr>
              <w:t xml:space="preserve">Step 1: Load enriched exception batch (25-50 records). Step 2: Construct prompt with system context + batch payload. Step 3: Submit to Claude API. Step 4: Parse and validate JSON response. Step 5: Check for cross-batch pattern signals (vendor, DC lane, region). Step 6: Write results to output store. Step 7: Trigger CRITICAL alerts if any found. Step 8: Advance to next batch. Step 9: Generate morning briefing from full run results.</w:t>
            </w:r>
          </w:p>
        </w:tc>
      </w:tr>
    </w:tbl>
    <w:p>
      <w:pPr>
        <w:spacing w:before="80" w:after="0"/>
      </w:pPr>
      <w:r>
        <w:t xml:space="preserve"/>
      </w:r>
    </w:p>
    <w:p>
      <w:pPr>
        <w:spacing w:before="80" w:after="80"/>
      </w:pPr>
      <w:r>
        <w:rPr>
          <w:rFonts w:ascii="Arial" w:cs="Arial" w:eastAsia="Arial" w:hAnsi="Arial"/>
          <w:color w:val="444444"/>
          <w:sz w:val="20"/>
          <w:szCs w:val="20"/>
        </w:rPr>
        <w:t xml:space="preserve">Cross-batch pattern detection runs as a second-pass analysis after all individual batches are processed. Claude is invoked once more with a summarized view of the full run — exception counts by vendor, DC lane, region, and category — to identify systemic patterns that would not be visible within any single batch. This two-pass design ensures both individual exception accuracy and macro pattern detection without requiring a single prompt to hold the full exception set in context.</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5.5 Layer 4 — Routing, Alerting &amp; Output</w:t>
      </w:r>
    </w:p>
    <w:p>
      <w:pPr>
        <w:spacing w:before="80" w:after="80"/>
      </w:pPr>
      <w:r>
        <w:rPr>
          <w:rFonts w:ascii="Arial" w:cs="Arial" w:eastAsia="Arial" w:hAnsi="Arial"/>
          <w:color w:val="444444"/>
          <w:sz w:val="20"/>
          <w:szCs w:val="20"/>
        </w:rPr>
        <w:t xml:space="preserve">Layer 4 consumes the structured output from Layer 3 and performs four functions: priority queue routing, CRITICAL alert dispatch, morning briefing generation, and output logging for backtesting.</w:t>
      </w:r>
    </w:p>
    <w:p>
      <w:pPr>
        <w:spacing w:before="80" w:after="0"/>
      </w:pPr>
      <w:r>
        <w:t xml:space="preserve"/>
      </w:r>
    </w:p>
    <w:p>
      <w:pPr>
        <w:spacing w:before="80" w:after="80"/>
      </w:pPr>
      <w:r>
        <w:rPr>
          <w:rFonts w:ascii="Arial" w:cs="Arial" w:eastAsia="Arial" w:hAnsi="Arial"/>
          <w:color w:val="444444"/>
          <w:sz w:val="20"/>
          <w:szCs w:val="20"/>
        </w:rPr>
        <w:t xml:space="preserve">Priority queue routing: exceptions are written to four queues (CRITICAL, HIGH, MEDIUM, LOW) in the planner's task management system or directly to the output format configured in YAML. Queue writes are idempotent — re-running the pipeline for the same date does not create duplicate records.</w:t>
      </w:r>
    </w:p>
    <w:p>
      <w:pPr>
        <w:spacing w:before="80" w:after="0"/>
      </w:pPr>
      <w:r>
        <w:t xml:space="preserve"/>
      </w:r>
    </w:p>
    <w:p>
      <w:pPr>
        <w:spacing w:before="80" w:after="80"/>
      </w:pPr>
      <w:r>
        <w:rPr>
          <w:rFonts w:ascii="Arial" w:cs="Arial" w:eastAsia="Arial" w:hAnsi="Arial"/>
          <w:color w:val="444444"/>
          <w:sz w:val="20"/>
          <w:szCs w:val="20"/>
        </w:rPr>
        <w:t xml:space="preserve">CRITICAL alert dispatch: any exception classified CRITICAL triggers an immediate alert via the configured channel (email, Slack, Teams, webhook). The alert includes the exception summary, Claude's two-sentence action brief, the financial value at risk, and the recommended action with time window. If the alert is not acknowledged within the SLA window (configurable, default 60 minutes), a secondary escalation alert fires to the configured Category Manager contact.</w:t>
      </w:r>
    </w:p>
    <w:p>
      <w:pPr>
        <w:spacing w:before="80" w:after="0"/>
      </w:pPr>
      <w:r>
        <w:t xml:space="preserve"/>
      </w:r>
    </w:p>
    <w:p>
      <w:pPr>
        <w:spacing w:before="80" w:after="80"/>
      </w:pPr>
      <w:r>
        <w:rPr>
          <w:rFonts w:ascii="Arial" w:cs="Arial" w:eastAsia="Arial" w:hAnsi="Arial"/>
          <w:color w:val="444444"/>
          <w:sz w:val="20"/>
          <w:szCs w:val="20"/>
        </w:rPr>
        <w:t xml:space="preserve">Morning briefing generation: Claude generates a single narrative briefing document covering the full exception run — total counts by priority tier, top 3 CRITICAL exceptions with full context, pattern flags identified, and a plain-English summary of the highest-risk supply chain situation of the day. This document is the primary artifact planners read before touching any individual exception.</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5.6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2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 / Detail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Orchestration</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Claude Code (agentic loop) or Antigravity workflow engine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AI / LLM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Anthropic Claude (claude-sonnet-4) via Messages API</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Data pipeline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Python 3.11+ — pandas, httpx, psycopg2, SQLAlchemy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Ingestion adapters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CSV adapter, REST adapter, SQL adapter (PostgreSQL, Snowflake, BigQuery, SQL Server)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Enrichment sources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Internal data warehouse, promo calendar API, store master DB, vendor performance DB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Output — structured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JSON (per-exception result), PostgreSQL exception log table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Output — human</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Markdown morning briefing, optional HTML dashboard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Alerting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Email (SMTP), Slack webhook, MS Teams webhook, generic HTTP webhook</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Storage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PostgreSQL or DuckDB for exception log, output history, and backtesting data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Configuration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YAML — source adapters, enrichment weights, tier thresholds, alert routing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Prompt versioning</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Git-tracked prompt files with semver tagging</w:t>
            </w:r>
          </w:p>
        </w:tc>
      </w:tr>
    </w:tbl>
    <w:p>
      <w:pPr>
        <w:pBdr>
          <w:bottom w:val="single" w:color="2E75B6" w:sz="4" w:space="1"/>
        </w:pBdr>
        <w:spacing w:before="160" w:after="160"/>
      </w:pPr>
      <w:r>
        <w:t xml:space="preserve"/>
      </w:r>
    </w:p>
    <w:p>
      <w:r>
        <w:br w:type="page"/>
      </w:r>
    </w:p>
    <w:p>
      <w:pPr>
        <w:pStyle w:val="Heading1"/>
        <w:spacing w:before="360" w:after="120"/>
      </w:pPr>
      <w:r>
        <w:rPr>
          <w:rFonts w:ascii="Arial" w:cs="Arial" w:eastAsia="Arial" w:hAnsi="Arial"/>
          <w:b/>
          <w:bCs/>
          <w:color w:val="1E3A5F"/>
          <w:sz w:val="32"/>
          <w:szCs w:val="32"/>
        </w:rPr>
        <w:t xml:space="preserve">6. Data Requirements</w:t>
      </w:r>
    </w:p>
    <w:p>
      <w:pPr>
        <w:pStyle w:val="Heading2"/>
        <w:spacing w:before="280" w:after="100"/>
      </w:pPr>
      <w:r>
        <w:rPr>
          <w:rFonts w:ascii="Arial" w:cs="Arial" w:eastAsia="Arial" w:hAnsi="Arial"/>
          <w:b/>
          <w:bCs/>
          <w:color w:val="2E75B6"/>
          <w:sz w:val="26"/>
          <w:szCs w:val="26"/>
        </w:rPr>
        <w:t xml:space="preserve">6.1 Input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Data Source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System of Record</w:t>
            </w:r>
          </w:p>
        </w:tc>
        <w:tc>
          <w:tcPr>
            <w:tcW w:type="dxa" w:w="234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Refresh Cadence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Key Fields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8"/>
                <w:szCs w:val="18"/>
              </w:rPr>
              <w:t xml:space="preserve">Replenishment exceptions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8"/>
                <w:szCs w:val="18"/>
              </w:rPr>
              <w:t xml:space="preserve">Planning system export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8"/>
                <w:szCs w:val="18"/>
              </w:rPr>
              <w:t xml:space="preserve">Daily batch</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8"/>
                <w:szCs w:val="18"/>
              </w:rPr>
              <w:t xml:space="preserve">Item, store, exception type, variance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8"/>
                <w:szCs w:val="18"/>
              </w:rPr>
              <w:t xml:space="preserve">Store master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8"/>
                <w:szCs w:val="18"/>
              </w:rPr>
              <w:t xml:space="preserve">Internal DB / MDM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8"/>
                <w:szCs w:val="18"/>
              </w:rPr>
              <w:t xml:space="preserve">Weekly refresh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8"/>
                <w:szCs w:val="18"/>
              </w:rPr>
              <w:t xml:space="preserve">Store ID, volume tier, weekly sales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8"/>
                <w:szCs w:val="18"/>
              </w:rPr>
              <w:t xml:space="preserve">Item master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8"/>
                <w:szCs w:val="18"/>
              </w:rPr>
              <w:t xml:space="preserve">MDM / item setup</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8"/>
                <w:szCs w:val="18"/>
              </w:rPr>
              <w:t xml:space="preserve">Daily delta</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8"/>
                <w:szCs w:val="18"/>
              </w:rPr>
              <w:t xml:space="preserve">UPC, category, velocity rank, perishability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8"/>
                <w:szCs w:val="18"/>
              </w:rPr>
              <w:t xml:space="preserve">Promo calendar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8"/>
                <w:szCs w:val="18"/>
              </w:rPr>
              <w:t xml:space="preserve">Merchandising system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8"/>
                <w:szCs w:val="18"/>
              </w:rPr>
              <w:t xml:space="preserve">Weekly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8"/>
                <w:szCs w:val="18"/>
              </w:rPr>
              <w:t xml:space="preserve">Item, store, promo type, date range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8"/>
                <w:szCs w:val="18"/>
              </w:rPr>
              <w:t xml:space="preserve">DC inventory snapshot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8"/>
                <w:szCs w:val="18"/>
              </w:rPr>
              <w:t xml:space="preserve">WMS or inventory DB</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8"/>
                <w:szCs w:val="18"/>
              </w:rPr>
              <w:t xml:space="preserve">Daily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8"/>
                <w:szCs w:val="18"/>
              </w:rPr>
              <w:t xml:space="preserve">Item, DC location, units, days of supply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8"/>
                <w:szCs w:val="18"/>
              </w:rPr>
              <w:t xml:space="preserve">Vendor performance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8"/>
                <w:szCs w:val="18"/>
              </w:rPr>
              <w:t xml:space="preserve">PO / receiving system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8"/>
                <w:szCs w:val="18"/>
              </w:rPr>
              <w:t xml:space="preserve">Weekly refresh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8"/>
                <w:szCs w:val="18"/>
              </w:rPr>
              <w:t xml:space="preserve">Vendor ID, fill rate, late shipment count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8"/>
                <w:szCs w:val="18"/>
              </w:rPr>
              <w:t xml:space="preserve">Open PO status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8"/>
                <w:szCs w:val="18"/>
              </w:rPr>
              <w:t xml:space="preserve">Procurement system</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8"/>
                <w:szCs w:val="18"/>
              </w:rPr>
              <w:t xml:space="preserve">Daily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8"/>
                <w:szCs w:val="18"/>
              </w:rPr>
              <w:t xml:space="preserve">PO #, item, expected delivery date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8"/>
                <w:szCs w:val="18"/>
              </w:rPr>
              <w:t xml:space="preserve">Competitor signals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8"/>
                <w:szCs w:val="18"/>
              </w:rPr>
              <w:t xml:space="preserve">Manual feed or 3rd party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8"/>
                <w:szCs w:val="18"/>
              </w:rPr>
              <w:t xml:space="preserve">As available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8"/>
                <w:szCs w:val="18"/>
              </w:rPr>
              <w:t xml:space="preserve">Competitor store proximity, openings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8"/>
                <w:szCs w:val="18"/>
              </w:rPr>
              <w:t xml:space="preserve">Financial value index</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8"/>
                <w:szCs w:val="18"/>
              </w:rPr>
              <w:t xml:space="preserve">Item master + pricing DB</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8"/>
                <w:szCs w:val="18"/>
              </w:rPr>
              <w:t xml:space="preserve">Daily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8"/>
                <w:szCs w:val="18"/>
              </w:rPr>
              <w:t xml:space="preserve">Retail price, margin %, promo depth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8"/>
                <w:szCs w:val="18"/>
              </w:rPr>
              <w:t xml:space="preserve">Regional disruption signals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8"/>
                <w:szCs w:val="18"/>
              </w:rPr>
              <w:t xml:space="preserve">Weather API / logistics feed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8"/>
                <w:szCs w:val="18"/>
              </w:rPr>
              <w:t xml:space="preserve">Real-time / daily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8"/>
                <w:szCs w:val="18"/>
              </w:rPr>
              <w:t xml:space="preserve">Weather alerts, strikes, macro events by region</w:t>
            </w:r>
          </w:p>
        </w:tc>
      </w:tr>
    </w:tbl>
    <w:p>
      <w:pPr>
        <w:spacing w:before="80" w:after="0"/>
      </w:pPr>
      <w:r>
        <w:t xml:space="preserve"/>
      </w:r>
    </w:p>
    <w:p>
      <w:pPr>
        <w:pStyle w:val="Heading2"/>
        <w:spacing w:before="280" w:after="100"/>
      </w:pPr>
      <w:r>
        <w:rPr>
          <w:rFonts w:ascii="Arial" w:cs="Arial" w:eastAsia="Arial" w:hAnsi="Arial"/>
          <w:b/>
          <w:bCs/>
          <w:color w:val="2E75B6"/>
          <w:sz w:val="26"/>
          <w:szCs w:val="26"/>
        </w:rPr>
        <w:t xml:space="preserve">6.2 Canonical Exception Schema</w:t>
      </w:r>
    </w:p>
    <w:p>
      <w:pPr>
        <w:spacing w:before="80" w:after="80"/>
      </w:pPr>
      <w:r>
        <w:rPr>
          <w:rFonts w:ascii="Arial" w:cs="Arial" w:eastAsia="Arial" w:hAnsi="Arial"/>
          <w:color w:val="444444"/>
          <w:sz w:val="20"/>
          <w:szCs w:val="20"/>
        </w:rPr>
        <w:t xml:space="preserve">All input exception data is normalized to the following canonical schema before enrichment: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exception_id</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Unique identifier for the exception instance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item_id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Internal item / SKU identifier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item_name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Human-readable item 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store_id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Store identifier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exception_type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OOS | LOW_STOCK | FORECAST_VARIANCE | ORDER_FAILURE | VENDOR_LATE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exception_date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Date exception was generated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units_on_hand</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Current on-hand inventory at store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days_of_supply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Calculated days of supply at current velocity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variance_pct</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Forecast vs. actual variance percentage (if applicable)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source_system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Origin system name for auditability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est_lost_sales_value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Estimated dollar value of lost sales if exception is not resolved (units short x price x velocity index)</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promo_margin_at_risk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Promotional margin at risk if OOS occurs during active TPR event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regional_disruption_flag</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Boolean flag indicating active weather alert, logistics strike, or macro event in store region</w:t>
            </w:r>
          </w:p>
        </w:tc>
      </w:tr>
    </w:tbl>
    <w:p>
      <w:pPr>
        <w:pBdr>
          <w:bottom w:val="single" w:color="2E75B6" w:sz="4" w:space="1"/>
        </w:pBdr>
        <w:spacing w:before="160" w:after="160"/>
      </w:pPr>
      <w:r>
        <w:t xml:space="preserve"/>
      </w:r>
    </w:p>
    <w:p>
      <w:r>
        <w:br w:type="page"/>
      </w:r>
    </w:p>
    <w:p>
      <w:pPr>
        <w:pStyle w:val="Heading1"/>
        <w:spacing w:before="360" w:after="120"/>
      </w:pPr>
      <w:r>
        <w:rPr>
          <w:rFonts w:ascii="Arial" w:cs="Arial" w:eastAsia="Arial" w:hAnsi="Arial"/>
          <w:b/>
          <w:bCs/>
          <w:color w:val="1E3A5F"/>
          <w:sz w:val="32"/>
          <w:szCs w:val="32"/>
        </w:rPr>
        <w:t xml:space="preserve">7. AI Prompt Architecture</w:t>
      </w:r>
    </w:p>
    <w:p>
      <w:pPr>
        <w:pStyle w:val="Heading2"/>
        <w:spacing w:before="280" w:after="100"/>
      </w:pPr>
      <w:r>
        <w:rPr>
          <w:rFonts w:ascii="Arial" w:cs="Arial" w:eastAsia="Arial" w:hAnsi="Arial"/>
          <w:b/>
          <w:bCs/>
          <w:color w:val="2E75B6"/>
          <w:sz w:val="26"/>
          <w:szCs w:val="26"/>
        </w:rPr>
        <w:t xml:space="preserve">7.1 Design Philosophy</w:t>
      </w:r>
    </w:p>
    <w:p>
      <w:pPr>
        <w:spacing w:before="80" w:after="80"/>
      </w:pPr>
      <w:r>
        <w:rPr>
          <w:rFonts w:ascii="Arial" w:cs="Arial" w:eastAsia="Arial" w:hAnsi="Arial"/>
          <w:color w:val="444444"/>
          <w:sz w:val="20"/>
          <w:szCs w:val="20"/>
        </w:rPr>
        <w:t xml:space="preserve">The prompt is the most important artifact in this system. It is not configuration — it is code. It encodes the reasoning framework, decision criteria, output contract, and epistemic boundaries of the AI. It must be version-controlled, peer-reviewed, and tested against a curated exception dataset before any change is deployed to production.</w:t>
      </w:r>
    </w:p>
    <w:p>
      <w:pPr>
        <w:spacing w:before="80" w:after="0"/>
      </w:pPr>
      <w:r>
        <w:t xml:space="preserve"/>
      </w:r>
    </w:p>
    <w:p>
      <w:pPr>
        <w:spacing w:before="80" w:after="80"/>
      </w:pPr>
      <w:r>
        <w:rPr>
          <w:rFonts w:ascii="Arial" w:cs="Arial" w:eastAsia="Arial" w:hAnsi="Arial"/>
          <w:color w:val="444444"/>
          <w:sz w:val="20"/>
          <w:szCs w:val="20"/>
        </w:rPr>
        <w:t xml:space="preserve">The prompt architecture uses a three-part structure: (1) a system prompt that establishes the reasoning persona and invariant rules, (2) a user prompt template that structures each exception batch with clear field labels and formatting, and (3) a few-shot library of annotated triage examples that teach Claude the calibration between priority tiers. These three components are maintained as separate versioned files and composed at runtime.</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7.2 System Prompt — Full Structure</w:t>
      </w:r>
    </w:p>
    <w:p>
      <w:pPr>
        <w:spacing w:before="80" w:after="80"/>
      </w:pPr>
      <w:r>
        <w:rPr>
          <w:rFonts w:ascii="Arial" w:cs="Arial" w:eastAsia="Arial" w:hAnsi="Arial"/>
          <w:color w:val="444444"/>
          <w:sz w:val="20"/>
          <w:szCs w:val="20"/>
        </w:rPr>
        <w:t xml:space="preserve">The system prompt is structured in six blocks, each with a specific purpose:</w:t>
      </w:r>
    </w:p>
    <w:p>
      <w:pPr>
        <w:spacing w:before="80" w:after="0"/>
      </w:pPr>
      <w:r>
        <w:t xml:space="preserve"/>
      </w:r>
    </w:p>
    <w:p>
      <w:pPr>
        <w:spacing w:before="200" w:after="80"/>
      </w:pPr>
      <w:r>
        <w:rPr>
          <w:rFonts w:ascii="Arial" w:cs="Arial" w:eastAsia="Arial" w:hAnsi="Arial"/>
          <w:b/>
          <w:bCs/>
          <w:color w:val="1A1A1A"/>
          <w:sz w:val="22"/>
          <w:szCs w:val="22"/>
        </w:rPr>
        <w:t xml:space="preserve">Block 1 —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5E8F0" w:val="clear"/>
            <w:tcMar>
              <w:top w:type="dxa" w:w="160"/>
              <w:left w:type="dxa" w:w="200"/>
              <w:bottom w:type="dxa" w:w="160"/>
              <w:right w:type="dxa" w:w="200"/>
            </w:tcMar>
          </w:tcPr>
          <w:p>
            <w:pPr>
              <w:spacing w:before="0" w:after="60"/>
            </w:pPr>
            <w:r>
              <w:rPr>
                <w:rFonts w:ascii="Arial" w:cs="Arial" w:eastAsia="Arial" w:hAnsi="Arial"/>
                <w:b/>
                <w:bCs/>
                <w:color w:val="1E3A5F"/>
                <w:sz w:val="20"/>
                <w:szCs w:val="20"/>
              </w:rPr>
              <w:t xml:space="preserve">Persona Block</w:t>
            </w:r>
          </w:p>
          <w:p>
            <w:pPr>
              <w:spacing w:before="0" w:after="0"/>
            </w:pPr>
            <w:r>
              <w:rPr>
                <w:rFonts w:ascii="Arial" w:cs="Arial" w:eastAsia="Arial" w:hAnsi="Arial"/>
                <w:color w:val="1A1A1A"/>
                <w:sz w:val="20"/>
                <w:szCs w:val="20"/>
              </w:rPr>
              <w:t xml:space="preserve">You are a senior supply chain planner with 15 years of retail replenishment experience. You understand that the most dangerous exceptions are rarely the ones with the highest variance numbers. You think in terms of business consequence — revenue at risk, promotional commitments, vendor reliability, competitive exposure, and customer service impact. You do not sort by magnitude. You sort by consequence.</w:t>
            </w:r>
          </w:p>
        </w:tc>
      </w:tr>
    </w:tbl>
    <w:p>
      <w:pPr>
        <w:spacing w:before="80" w:after="0"/>
      </w:pPr>
      <w:r>
        <w:t xml:space="preserve"/>
      </w:r>
    </w:p>
    <w:p>
      <w:pPr>
        <w:spacing w:before="200" w:after="80"/>
      </w:pPr>
      <w:r>
        <w:rPr>
          <w:rFonts w:ascii="Arial" w:cs="Arial" w:eastAsia="Arial" w:hAnsi="Arial"/>
          <w:b/>
          <w:bCs/>
          <w:color w:val="1A1A1A"/>
          <w:sz w:val="22"/>
          <w:szCs w:val="22"/>
        </w:rPr>
        <w:t xml:space="preserve">Block 2 — Triage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5E8F0" w:val="clear"/>
            <w:tcMar>
              <w:top w:type="dxa" w:w="160"/>
              <w:left w:type="dxa" w:w="200"/>
              <w:bottom w:type="dxa" w:w="160"/>
              <w:right w:type="dxa" w:w="200"/>
            </w:tcMar>
          </w:tcPr>
          <w:p>
            <w:pPr>
              <w:spacing w:before="0" w:after="60"/>
            </w:pPr>
            <w:r>
              <w:rPr>
                <w:rFonts w:ascii="Arial" w:cs="Arial" w:eastAsia="Arial" w:hAnsi="Arial"/>
                <w:b/>
                <w:bCs/>
                <w:color w:val="1E3A5F"/>
                <w:sz w:val="20"/>
                <w:szCs w:val="20"/>
              </w:rPr>
              <w:t xml:space="preserve">Triage Framework Block</w:t>
            </w:r>
          </w:p>
          <w:p>
            <w:pPr>
              <w:spacing w:before="0" w:after="0"/>
            </w:pPr>
            <w:r>
              <w:rPr>
                <w:rFonts w:ascii="Arial" w:cs="Arial" w:eastAsia="Arial" w:hAnsi="Arial"/>
                <w:color w:val="1A1A1A"/>
                <w:sz w:val="20"/>
                <w:szCs w:val="20"/>
              </w:rPr>
              <w:t xml:space="preserve">Apply the following priority tiers consistently:
CRITICAL: Action required within 2 hours. Failure to act will produce a material, same-day business impact. Indicators: OOS or imminent OOS at a Tier 1-2 store during an active promo; vendor fill failure on a high-velocity perishable with under 1 day of supply; 5+ stores simultaneously OOS on a shared vendor SKU.
HIGH: Action required today. Material impact is likely within 24-48 hours without intervention. Indicators: 2-3 days of supply at a high-volume store with no open PO; vendor with elevated late-shipment history on a promo item; OOS at a store adjacent to a recently opened competitor.
MEDIUM: Action required within 3 days. Risk is real but has a sufficient intervention window. Indicators: Low stock at a Tier 3-4 store with DC stock available; forecast variance without stockout risk.
LOW: Monitor or defer. No meaningful business risk within the current planning horizon. Indicators: Minor variance on slow-moving items; exceptions with self-correcting open POs inbound within lead time.</w:t>
            </w:r>
          </w:p>
        </w:tc>
      </w:tr>
    </w:tbl>
    <w:p>
      <w:pPr>
        <w:spacing w:before="80" w:after="0"/>
      </w:pPr>
      <w:r>
        <w:t xml:space="preserve"/>
      </w:r>
    </w:p>
    <w:p>
      <w:pPr>
        <w:spacing w:before="200" w:after="80"/>
      </w:pPr>
      <w:r>
        <w:rPr>
          <w:rFonts w:ascii="Arial" w:cs="Arial" w:eastAsia="Arial" w:hAnsi="Arial"/>
          <w:b/>
          <w:bCs/>
          <w:color w:val="1A1A1A"/>
          <w:sz w:val="22"/>
          <w:szCs w:val="22"/>
        </w:rPr>
        <w:t xml:space="preserve">Block 3 — Output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5E8F0" w:val="clear"/>
            <w:tcMar>
              <w:top w:type="dxa" w:w="160"/>
              <w:left w:type="dxa" w:w="200"/>
              <w:bottom w:type="dxa" w:w="160"/>
              <w:right w:type="dxa" w:w="200"/>
            </w:tcMar>
          </w:tcPr>
          <w:p>
            <w:pPr>
              <w:spacing w:before="0" w:after="60"/>
            </w:pPr>
            <w:r>
              <w:rPr>
                <w:rFonts w:ascii="Arial" w:cs="Arial" w:eastAsia="Arial" w:hAnsi="Arial"/>
                <w:b/>
                <w:bCs/>
                <w:color w:val="1E3A5F"/>
                <w:sz w:val="20"/>
                <w:szCs w:val="20"/>
              </w:rPr>
              <w:t xml:space="preserve">Output Contract Block</w:t>
            </w:r>
          </w:p>
          <w:p>
            <w:pPr>
              <w:spacing w:before="0" w:after="0"/>
            </w:pPr>
            <w:r>
              <w:rPr>
                <w:rFonts w:ascii="Arial" w:cs="Arial" w:eastAsia="Arial" w:hAnsi="Arial"/>
                <w:color w:val="1A1A1A"/>
                <w:sz w:val="20"/>
                <w:szCs w:val="20"/>
              </w:rPr>
              <w:t xml:space="preserve">For each exception, return a JSON object with the following fields: exception_id (string), priority (CRITICAL|HIGH|MEDIUM|LOW), confidence (HIGH|MEDIUM|LOW), root_cause (string, max 20 words), recommended_action (string, max 30 words, must include a time window and an owner role), financial_impact (string, dollar value or range in plain English), compounding_risks (array of strings), planner_brief (string, exactly 2 sentences, jargon-light), missing_data_flags (array of field names that were null and affected confidence). Return the full batch as a JSON array. After the array, include a pattern_analysis object listing any cross-exception patterns identified.</w:t>
            </w:r>
          </w:p>
        </w:tc>
      </w:tr>
    </w:tbl>
    <w:p>
      <w:pPr>
        <w:spacing w:before="80" w:after="0"/>
      </w:pPr>
      <w:r>
        <w:t xml:space="preserve"/>
      </w:r>
    </w:p>
    <w:p>
      <w:pPr>
        <w:spacing w:before="200" w:after="80"/>
      </w:pPr>
      <w:r>
        <w:rPr>
          <w:rFonts w:ascii="Arial" w:cs="Arial" w:eastAsia="Arial" w:hAnsi="Arial"/>
          <w:b/>
          <w:bCs/>
          <w:color w:val="1A1A1A"/>
          <w:sz w:val="22"/>
          <w:szCs w:val="22"/>
        </w:rPr>
        <w:t xml:space="preserve">Block 4 — Pattern Detection Directive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5E8F0" w:val="clear"/>
            <w:tcMar>
              <w:top w:type="dxa" w:w="160"/>
              <w:left w:type="dxa" w:w="200"/>
              <w:bottom w:type="dxa" w:w="160"/>
              <w:right w:type="dxa" w:w="200"/>
            </w:tcMar>
          </w:tcPr>
          <w:p>
            <w:pPr>
              <w:spacing w:before="0" w:after="60"/>
            </w:pPr>
            <w:r>
              <w:rPr>
                <w:rFonts w:ascii="Arial" w:cs="Arial" w:eastAsia="Arial" w:hAnsi="Arial"/>
                <w:b/>
                <w:bCs/>
                <w:color w:val="1E3A5F"/>
                <w:sz w:val="20"/>
                <w:szCs w:val="20"/>
              </w:rPr>
              <w:t xml:space="preserve">Pattern Detection Block</w:t>
            </w:r>
          </w:p>
          <w:p>
            <w:pPr>
              <w:spacing w:before="0" w:after="0"/>
            </w:pPr>
            <w:r>
              <w:rPr>
                <w:rFonts w:ascii="Arial" w:cs="Arial" w:eastAsia="Arial" w:hAnsi="Arial"/>
                <w:color w:val="1A1A1A"/>
                <w:sz w:val="20"/>
                <w:szCs w:val="20"/>
              </w:rPr>
              <w:t xml:space="preserve">After evaluating individual exceptions, scan the full batch for systemic patterns. Report patterns in the pattern_analysis object with: pattern_type (VENDOR|DC_LANE|CATEGORY|REGION|MACRO), affected_exception_ids (array), pattern_description (string), recommended_escalation (string). A pattern should be reported when 3 or more exceptions share a probable common root cause. Patterns take priority over individual exception routing — a MEDIUM exception that is part of a vendor-level pattern should be escalated to HIGH.</w:t>
            </w:r>
          </w:p>
        </w:tc>
      </w:tr>
    </w:tbl>
    <w:p>
      <w:pPr>
        <w:spacing w:before="80" w:after="0"/>
      </w:pPr>
      <w:r>
        <w:t xml:space="preserve"/>
      </w:r>
    </w:p>
    <w:p>
      <w:pPr>
        <w:spacing w:before="200" w:after="80"/>
      </w:pPr>
      <w:r>
        <w:rPr>
          <w:rFonts w:ascii="Arial" w:cs="Arial" w:eastAsia="Arial" w:hAnsi="Arial"/>
          <w:b/>
          <w:bCs/>
          <w:color w:val="1A1A1A"/>
          <w:sz w:val="22"/>
          <w:szCs w:val="22"/>
        </w:rPr>
        <w:t xml:space="preserve">Block 5 — Epistemic Honesty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5E8F0" w:val="clear"/>
            <w:tcMar>
              <w:top w:type="dxa" w:w="160"/>
              <w:left w:type="dxa" w:w="200"/>
              <w:bottom w:type="dxa" w:w="160"/>
              <w:right w:type="dxa" w:w="200"/>
            </w:tcMar>
          </w:tcPr>
          <w:p>
            <w:pPr>
              <w:spacing w:before="0" w:after="60"/>
            </w:pPr>
            <w:r>
              <w:rPr>
                <w:rFonts w:ascii="Arial" w:cs="Arial" w:eastAsia="Arial" w:hAnsi="Arial"/>
                <w:b/>
                <w:bCs/>
                <w:color w:val="1E3A5F"/>
                <w:sz w:val="20"/>
                <w:szCs w:val="20"/>
              </w:rPr>
              <w:t xml:space="preserve">Epistemic Honesty Block</w:t>
            </w:r>
          </w:p>
          <w:p>
            <w:pPr>
              <w:spacing w:before="0" w:after="0"/>
            </w:pPr>
            <w:r>
              <w:rPr>
                <w:rFonts w:ascii="Arial" w:cs="Arial" w:eastAsia="Arial" w:hAnsi="Arial"/>
                <w:color w:val="1A1A1A"/>
                <w:sz w:val="20"/>
                <w:szCs w:val="20"/>
              </w:rPr>
              <w:t xml:space="preserve">You must flag uncertainty explicitly. If a field that would materially affect your priority decision is null or missing (e.g., open PO status, vendor fill rate), lower your confidence to LOW and add the field name to missing_data_flags. Never infer factual data — if you do not have it, say so. If your CRITICAL classification depends on a vendor having no in-transit shipment, but you do not have visibility into in-transit data, state this in the planner_brief and recommend the planner verify before acting.</w:t>
            </w:r>
          </w:p>
        </w:tc>
      </w:tr>
    </w:tbl>
    <w:p>
      <w:pPr>
        <w:spacing w:before="80" w:after="0"/>
      </w:pPr>
      <w:r>
        <w:t xml:space="preserve"/>
      </w:r>
    </w:p>
    <w:p>
      <w:pPr>
        <w:spacing w:before="200" w:after="80"/>
      </w:pPr>
      <w:r>
        <w:rPr>
          <w:rFonts w:ascii="Arial" w:cs="Arial" w:eastAsia="Arial" w:hAnsi="Arial"/>
          <w:b/>
          <w:bCs/>
          <w:color w:val="1A1A1A"/>
          <w:sz w:val="22"/>
          <w:szCs w:val="22"/>
        </w:rPr>
        <w:t xml:space="preserve">Block 6 — Phantom Inventory Cross-Check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5E8F0" w:val="clear"/>
            <w:tcMar>
              <w:top w:type="dxa" w:w="160"/>
              <w:left w:type="dxa" w:w="200"/>
              <w:bottom w:type="dxa" w:w="160"/>
              <w:right w:type="dxa" w:w="200"/>
            </w:tcMar>
          </w:tcPr>
          <w:p>
            <w:pPr>
              <w:spacing w:before="0" w:after="60"/>
            </w:pPr>
            <w:r>
              <w:rPr>
                <w:rFonts w:ascii="Arial" w:cs="Arial" w:eastAsia="Arial" w:hAnsi="Arial"/>
                <w:b/>
                <w:bCs/>
                <w:color w:val="1E3A5F"/>
                <w:sz w:val="20"/>
                <w:szCs w:val="20"/>
              </w:rPr>
              <w:t xml:space="preserve">Phantom Inventory Block</w:t>
            </w:r>
          </w:p>
          <w:p>
            <w:pPr>
              <w:spacing w:before="0" w:after="0"/>
            </w:pPr>
            <w:r>
              <w:rPr>
                <w:rFonts w:ascii="Arial" w:cs="Arial" w:eastAsia="Arial" w:hAnsi="Arial"/>
                <w:color w:val="1A1A1A"/>
                <w:sz w:val="20"/>
                <w:szCs w:val="20"/>
              </w:rPr>
              <w:t xml:space="preserve">If you encounter a LOW_STOCK or OOS exception on an item with historically stable in-store execution (fill rate &gt; 95%, no recent shrink flags) where the DC has sufficient inventory and the math suggests the store should not be short, flag this as a potential phantom inventory event in compounding_risks. Recommend a physical count or system audit before placing an emergency order. Do not assume the inventory system is correct when the signals are inconsistent.</w:t>
            </w:r>
          </w:p>
        </w:tc>
      </w:tr>
    </w:tbl>
    <w:p>
      <w:pPr>
        <w:spacing w:before="80" w:after="0"/>
      </w:pPr>
      <w:r>
        <w:t xml:space="preserve"/>
      </w:r>
    </w:p>
    <w:p>
      <w:pPr>
        <w:pStyle w:val="Heading2"/>
        <w:spacing w:before="280" w:after="100"/>
      </w:pPr>
      <w:r>
        <w:rPr>
          <w:rFonts w:ascii="Arial" w:cs="Arial" w:eastAsia="Arial" w:hAnsi="Arial"/>
          <w:b/>
          <w:bCs/>
          <w:color w:val="2E75B6"/>
          <w:sz w:val="26"/>
          <w:szCs w:val="26"/>
        </w:rPr>
        <w:t xml:space="preserve">7.3 User Prompt Template</w:t>
      </w:r>
    </w:p>
    <w:p>
      <w:pPr>
        <w:spacing w:before="80" w:after="80"/>
      </w:pPr>
      <w:r>
        <w:rPr>
          <w:rFonts w:ascii="Arial" w:cs="Arial" w:eastAsia="Arial" w:hAnsi="Arial"/>
          <w:color w:val="444444"/>
          <w:sz w:val="20"/>
          <w:szCs w:val="20"/>
        </w:rPr>
        <w:t xml:space="preserve">Each exception batch is submitted using a consistent template. Consistent formatting is critical — Claude learns to parse the field labels and relies on their presence. The template is generated programmatically from the enriched exception objects.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5E8F0" w:val="clear"/>
            <w:tcMar>
              <w:top w:type="dxa" w:w="160"/>
              <w:left w:type="dxa" w:w="200"/>
              <w:bottom w:type="dxa" w:w="160"/>
              <w:right w:type="dxa" w:w="200"/>
            </w:tcMar>
          </w:tcPr>
          <w:p>
            <w:pPr>
              <w:spacing w:before="0" w:after="60"/>
            </w:pPr>
            <w:r>
              <w:rPr>
                <w:rFonts w:ascii="Arial" w:cs="Arial" w:eastAsia="Arial" w:hAnsi="Arial"/>
                <w:b/>
                <w:bCs/>
                <w:color w:val="1E3A5F"/>
                <w:sz w:val="20"/>
                <w:szCs w:val="20"/>
              </w:rPr>
              <w:t xml:space="preserve">Per-Exception Format in User Prompt</w:t>
            </w:r>
          </w:p>
          <w:p>
            <w:pPr>
              <w:spacing w:before="0" w:after="0"/>
            </w:pPr>
            <w:r>
              <w:rPr>
                <w:rFonts w:ascii="Arial" w:cs="Arial" w:eastAsia="Arial" w:hAnsi="Arial"/>
                <w:color w:val="1A1A1A"/>
                <w:sz w:val="20"/>
                <w:szCs w:val="20"/>
              </w:rPr>
              <w:t xml:space="preserve">[EXCEPTION {n}]
exception_id: {id}
item: {item_name} ({item_id}) — velocity rank {velocity_rank} in category
store: {store_id} ({store_name}) — Tier {store_tier}, ${weekly_sales}K/week
exception_type: {exception_type}
units_on_hand: {units} | days_of_supply: {days}
promo_active: {Y/N} | promo_type: {TPR/FEATURE/DISPLAY/NONE} | promo_end: {date}
dc_inventory_days: {days}
vendor_fill_rate_90d: {pct}% | open_pos_inbound: {Y/N} | next_delivery: {date}
lead_time_days: {n}
competitor_proximity: {miles} miles | competitor_event: {description or NONE}
perishable: {Y/N}
day_of_week_index: {multiplier}
est_lost_sales_value: ${value}
promo_margin_at_risk: ${value}
regional_disruption: {description or NONE}</w:t>
            </w:r>
          </w:p>
        </w:tc>
      </w:tr>
    </w:tbl>
    <w:p>
      <w:pPr>
        <w:spacing w:before="80" w:after="0"/>
      </w:pPr>
      <w:r>
        <w:t xml:space="preserve"/>
      </w:r>
    </w:p>
    <w:p>
      <w:pPr>
        <w:pStyle w:val="Heading2"/>
        <w:spacing w:before="280" w:after="100"/>
      </w:pPr>
      <w:r>
        <w:rPr>
          <w:rFonts w:ascii="Arial" w:cs="Arial" w:eastAsia="Arial" w:hAnsi="Arial"/>
          <w:b/>
          <w:bCs/>
          <w:color w:val="2E75B6"/>
          <w:sz w:val="26"/>
          <w:szCs w:val="26"/>
        </w:rPr>
        <w:t xml:space="preserve">7.4 Few-Shot Calibration Library</w:t>
      </w:r>
    </w:p>
    <w:p>
      <w:pPr>
        <w:spacing w:before="80" w:after="80"/>
      </w:pPr>
      <w:r>
        <w:rPr>
          <w:rFonts w:ascii="Arial" w:cs="Arial" w:eastAsia="Arial" w:hAnsi="Arial"/>
          <w:color w:val="444444"/>
          <w:sz w:val="20"/>
          <w:szCs w:val="20"/>
        </w:rPr>
        <w:t xml:space="preserve">The prompt includes 3–5 annotated examples that calibrate Claude's understanding of the priority tier boundaries. These examples are drawn from real (anonymized) or manually constructed triage decisions and represent the most common calibration edge cases: a high-variance low-impact exception that should be LOW, a low-variance high-impact exception that should be CRITICAL, and a multi-store pattern that should trigger escalation regardless of individual exception severity.</w:t>
      </w:r>
    </w:p>
    <w:p>
      <w:pPr>
        <w:spacing w:before="80" w:after="0"/>
      </w:pPr>
      <w:r>
        <w:t xml:space="preserve"/>
      </w:r>
    </w:p>
    <w:p>
      <w:pPr>
        <w:spacing w:before="80" w:after="80"/>
      </w:pPr>
      <w:r>
        <w:rPr>
          <w:rFonts w:ascii="Arial" w:cs="Arial" w:eastAsia="Arial" w:hAnsi="Arial"/>
          <w:color w:val="444444"/>
          <w:sz w:val="20"/>
          <w:szCs w:val="20"/>
        </w:rPr>
        <w:t xml:space="preserve">The few-shot library is maintained as a separate JSON file. As the active learning loop captures planner override reasons (Phase 6), validated overrides are reviewed and selectively promoted into the few-shot library — directly encoding real planner judgment into the model's calibration over time.</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7.5 Output JSON Schema</w:t>
      </w:r>
    </w:p>
    <w:p>
      <w:pPr>
        <w:spacing w:before="80" w:after="80"/>
      </w:pPr>
      <w:r>
        <w:rPr>
          <w:rFonts w:ascii="Arial" w:cs="Arial" w:eastAsia="Arial" w:hAnsi="Arial"/>
          <w:color w:val="444444"/>
          <w:sz w:val="20"/>
          <w:szCs w:val="20"/>
        </w:rPr>
        <w:t xml:space="preserve">The structured output from each Claude API call conforms to the following schema, validated programmatically before being written to the output store: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 &amp; Description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exception_id</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String — matches input exception_id for join back to source record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priority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Enum: CRITICAL | HIGH | MEDIUM | LOW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confidence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Enum: HIGH | MEDIUM | LOW — reflects data completeness and signal clarity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root_cause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String — max 20 words, plain English hypothesis of what caused the exception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recommended_action</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String — max 30 words, specific action with time window and owner role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financial_impact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String — dollar value or qualitative range in plain English</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compounding_risks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Array of strings — additional risk factors beyond the primary exception signal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planner_brief</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String — exactly 2 sentences, no jargon, immediately actionable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missing_data_flags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Array of field names — fields that were null and reduced confidence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reasoning_trace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String — optional, full chain-of-thought when reasoning_trace toggle is enabled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pattern_analysis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Object — populated once per batch, lists cross-exception patterns detected</w:t>
            </w:r>
          </w:p>
        </w:tc>
      </w:tr>
    </w:tbl>
    <w:p>
      <w:pPr>
        <w:spacing w:before="80" w:after="0"/>
      </w:pPr>
      <w:r>
        <w:t xml:space="preserve"/>
      </w:r>
    </w:p>
    <w:p>
      <w:pPr>
        <w:pStyle w:val="Heading2"/>
        <w:spacing w:before="280" w:after="100"/>
      </w:pPr>
      <w:r>
        <w:rPr>
          <w:rFonts w:ascii="Arial" w:cs="Arial" w:eastAsia="Arial" w:hAnsi="Arial"/>
          <w:b/>
          <w:bCs/>
          <w:color w:val="2E75B6"/>
          <w:sz w:val="26"/>
          <w:szCs w:val="26"/>
        </w:rPr>
        <w:t xml:space="preserve">7.6 Pattern Detection — Two-Pass Design</w:t>
      </w:r>
    </w:p>
    <w:p>
      <w:pPr>
        <w:spacing w:before="80" w:after="80"/>
      </w:pPr>
      <w:r>
        <w:rPr>
          <w:rFonts w:ascii="Arial" w:cs="Arial" w:eastAsia="Arial" w:hAnsi="Arial"/>
          <w:color w:val="444444"/>
          <w:sz w:val="20"/>
          <w:szCs w:val="20"/>
        </w:rPr>
        <w:t xml:space="preserve">Individual batch processing (Pass 1) evaluates each exception independently within its batch context of 25–50 records. This catches patterns within a batch but cannot detect patterns that span batches — for example, a vendor constraint that manifests as 3 exceptions in batch 1, 4 in batch 2, and 5 in batch 3.</w:t>
      </w:r>
    </w:p>
    <w:p>
      <w:pPr>
        <w:spacing w:before="80" w:after="0"/>
      </w:pPr>
      <w:r>
        <w:t xml:space="preserve"/>
      </w:r>
    </w:p>
    <w:p>
      <w:pPr>
        <w:spacing w:before="80" w:after="80"/>
      </w:pPr>
      <w:r>
        <w:rPr>
          <w:rFonts w:ascii="Arial" w:cs="Arial" w:eastAsia="Arial" w:hAnsi="Arial"/>
          <w:color w:val="444444"/>
          <w:sz w:val="20"/>
          <w:szCs w:val="20"/>
        </w:rPr>
        <w:t xml:space="preserve">The macro pattern pass (Pass 2) runs after all batches complete. It submits an aggregated summary to Claude: total exceptions by vendor, DC lane, category, and region — with counts and CRITICAL/HIGH exception percentages per group. Claude identifies which groupings represent systemic events and generates a macro pattern report that is prepended to the morning briefing. This two-pass design provides both granular per-exception accuracy and supply chain-level situational awareness in a single daily run.</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7.7 Cross-Agent Collaboration — Agent Mesh</w:t>
      </w:r>
    </w:p>
    <w:p>
      <w:pPr>
        <w:spacing w:before="80" w:after="80"/>
      </w:pPr>
      <w:r>
        <w:rPr>
          <w:rFonts w:ascii="Arial" w:cs="Arial" w:eastAsia="Arial" w:hAnsi="Arial"/>
          <w:color w:val="444444"/>
          <w:sz w:val="20"/>
          <w:szCs w:val="20"/>
        </w:rPr>
        <w:t xml:space="preserve">The Triage Agent is designed to interoperate with peer AI agents in the supply planning intelligence platform. A verification webhook in Layer 3 enables cross-agent queries at triage time.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5E8F0" w:val="clear"/>
            <w:tcMar>
              <w:top w:type="dxa" w:w="160"/>
              <w:left w:type="dxa" w:w="200"/>
              <w:bottom w:type="dxa" w:w="160"/>
              <w:right w:type="dxa" w:w="200"/>
            </w:tcMar>
          </w:tcPr>
          <w:p>
            <w:pPr>
              <w:spacing w:before="0" w:after="60"/>
            </w:pPr>
            <w:r>
              <w:rPr>
                <w:rFonts w:ascii="Arial" w:cs="Arial" w:eastAsia="Arial" w:hAnsi="Arial"/>
                <w:b/>
                <w:bCs/>
                <w:color w:val="1E3A5F"/>
                <w:sz w:val="20"/>
                <w:szCs w:val="20"/>
              </w:rPr>
              <w:t xml:space="preserve">Phantom Inventory Verification Webhook</w:t>
            </w:r>
          </w:p>
          <w:p>
            <w:pPr>
              <w:spacing w:before="0" w:after="0"/>
            </w:pPr>
            <w:r>
              <w:rPr>
                <w:rFonts w:ascii="Arial" w:cs="Arial" w:eastAsia="Arial" w:hAnsi="Arial"/>
                <w:color w:val="1A1A1A"/>
                <w:sz w:val="20"/>
                <w:szCs w:val="20"/>
              </w:rPr>
              <w:t xml:space="preserve">When Claude identifies a LOW_STOCK exception for a high-velocity item that should realistically be in stock, the agent triggers a sub-routine query to the Phantom Inventory Hunter. If the Hunter returns a likely system discrepancy (scan failure, receiving error, shrink), the exception is re-classified as a DATA_INTEGRITY issue rather than a replenishment failure — preventing unnecessary emergency orders on stock that physically exists.</w:t>
            </w:r>
          </w:p>
        </w:tc>
      </w:tr>
    </w:tbl>
    <w:p>
      <w:pPr>
        <w:spacing w:before="80" w:after="0"/>
      </w:pPr>
      <w:r>
        <w:t xml:space="preserve"/>
      </w:r>
    </w:p>
    <w:p>
      <w:pPr>
        <w:pStyle w:val="Heading2"/>
        <w:spacing w:before="280" w:after="100"/>
      </w:pPr>
      <w:r>
        <w:rPr>
          <w:rFonts w:ascii="Arial" w:cs="Arial" w:eastAsia="Arial" w:hAnsi="Arial"/>
          <w:b/>
          <w:bCs/>
          <w:color w:val="2E75B6"/>
          <w:sz w:val="26"/>
          <w:szCs w:val="26"/>
        </w:rPr>
        <w:t xml:space="preserve">7.8 Epistemic Honesty Protocol</w:t>
      </w:r>
    </w:p>
    <w:p>
      <w:pPr>
        <w:spacing w:before="80" w:after="80"/>
      </w:pPr>
      <w:r>
        <w:rPr>
          <w:rFonts w:ascii="Arial" w:cs="Arial" w:eastAsia="Arial" w:hAnsi="Arial"/>
          <w:color w:val="444444"/>
          <w:sz w:val="20"/>
          <w:szCs w:val="20"/>
        </w:rPr>
        <w:t xml:space="preserve">The prompt instructs Claude to explicitly flag when its recommendation depends on data it does not have — for example, whether a vendor has an in-transit shipment not yet reflected in the exception feed. The missing_data_flags field in the output schema surfaces this programmatically so the routing layer can apply a confidence-adjusted priority rather than silently treating a low-confidence CRITICAL the same as a high-confidence one.</w:t>
      </w:r>
    </w:p>
    <w:p>
      <w:pPr>
        <w:spacing w:before="80" w:after="0"/>
      </w:pPr>
      <w:r>
        <w:t xml:space="preserve"/>
      </w:r>
    </w:p>
    <w:p>
      <w:pPr>
        <w:spacing w:before="80" w:after="80"/>
      </w:pPr>
      <w:r>
        <w:rPr>
          <w:rFonts w:ascii="Arial" w:cs="Arial" w:eastAsia="Arial" w:hAnsi="Arial"/>
          <w:color w:val="444444"/>
          <w:sz w:val="20"/>
          <w:szCs w:val="20"/>
        </w:rPr>
        <w:t xml:space="preserve">The confidence field enables a graduated alerting model: a CRITICAL / HIGH confidence exception triggers an immediate alert; a CRITICAL / LOW confidence exception triggers an alert that includes a prominent verification caveat — directing the planner to confirm the missing data before acting. This prevents both the cost of false urgency and the risk of missed urgency in a single design pattern.</w:t>
      </w:r>
    </w:p>
    <w:p>
      <w:pPr>
        <w:pBdr>
          <w:bottom w:val="single" w:color="2E75B6" w:sz="4" w:space="1"/>
        </w:pBdr>
        <w:spacing w:before="160" w:after="160"/>
      </w:pPr>
      <w:r>
        <w:t xml:space="preserve"/>
      </w:r>
    </w:p>
    <w:p>
      <w:r>
        <w:br w:type="page"/>
      </w:r>
    </w:p>
    <w:p>
      <w:pPr>
        <w:pStyle w:val="Heading1"/>
        <w:spacing w:before="360" w:after="120"/>
      </w:pPr>
      <w:r>
        <w:rPr>
          <w:rFonts w:ascii="Arial" w:cs="Arial" w:eastAsia="Arial" w:hAnsi="Arial"/>
          <w:b/>
          <w:bCs/>
          <w:color w:val="1E3A5F"/>
          <w:sz w:val="32"/>
          <w:szCs w:val="32"/>
        </w:rPr>
        <w:t xml:space="preserve">8. AI Scope &amp; Value</w:t>
      </w:r>
    </w:p>
    <w:p>
      <w:pPr>
        <w:pStyle w:val="Heading2"/>
        <w:spacing w:before="280" w:after="100"/>
      </w:pPr>
      <w:r>
        <w:rPr>
          <w:rFonts w:ascii="Arial" w:cs="Arial" w:eastAsia="Arial" w:hAnsi="Arial"/>
          <w:b/>
          <w:bCs/>
          <w:color w:val="2E75B6"/>
          <w:sz w:val="26"/>
          <w:szCs w:val="26"/>
        </w:rPr>
        <w:t xml:space="preserve">8.1 Where AI Earns Its Keep</w:t>
      </w:r>
    </w:p>
    <w:p>
      <w:pPr>
        <w:spacing w:before="80" w:after="80"/>
      </w:pPr>
      <w:r>
        <w:rPr>
          <w:rFonts w:ascii="Arial" w:cs="Arial" w:eastAsia="Arial" w:hAnsi="Arial"/>
          <w:color w:val="444444"/>
          <w:sz w:val="20"/>
          <w:szCs w:val="20"/>
        </w:rPr>
        <w:t xml:space="preserve">Not every component of this system is genuinely AI. The ingestion pipeline is software engineering. The enrichment joins are data engineering. The alert routing is configuration. These components are necessary infrastructure — they are not differentiators.</w:t>
      </w:r>
    </w:p>
    <w:p>
      <w:pPr>
        <w:spacing w:before="80" w:after="0"/>
      </w:pPr>
      <w:r>
        <w:t xml:space="preserve"/>
      </w:r>
    </w:p>
    <w:p>
      <w:pPr>
        <w:spacing w:before="80" w:after="80"/>
      </w:pPr>
      <w:r>
        <w:rPr>
          <w:rFonts w:ascii="Arial" w:cs="Arial" w:eastAsia="Arial" w:hAnsi="Arial"/>
          <w:color w:val="444444"/>
          <w:sz w:val="20"/>
          <w:szCs w:val="20"/>
        </w:rPr>
        <w:t xml:space="preserve">The AI value is concentrated in three specific capabilities that no rule engine, BI tool, or SQL query can replicate: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AI Capability</w:t>
            </w:r>
          </w:p>
        </w:tc>
        <w:tc>
          <w:tcPr>
            <w:tcW w:type="dxa" w:w="62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Why It Cannot Be Replaced by Rules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Multi-signal judgment under ambiguity</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Claude weighs 13 enrichment fields simultaneously and produces a priority decision that reflects their interaction — not just their individual magnitudes. A promo flag alone is not CRITICAL. A promo flag + OOS + Tier 1 store + competitor proximity + low DC stock is CRITICAL. The compound logic is what makes this AI and not a scoring formula.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Natural language reasoning and explanation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Claude generates a two-sentence planner brief that explains the situation in plain English — not a dashboard metric, not a variance number, but a sentence a planner can read in 5 seconds and act on. This explainability is what makes the output usable and the system trustworthy.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Cross-exception pattern synthesis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Claude identifies that 12 exceptions across 12 stores are one vendor event. A rule engine creates 12 tickets. Claude creates one escalation with a root cause and a recommended action. This is the highest-leverage capability in the system — it collapses the complexity of the exception queue by an order of magnitude when systemic events occur.</w:t>
            </w:r>
          </w:p>
        </w:tc>
      </w:tr>
    </w:tbl>
    <w:p>
      <w:pPr>
        <w:spacing w:before="80" w:after="0"/>
      </w:pPr>
      <w:r>
        <w:t xml:space="preserve"/>
      </w:r>
    </w:p>
    <w:p>
      <w:pPr>
        <w:pStyle w:val="Heading2"/>
        <w:spacing w:before="280" w:after="100"/>
      </w:pPr>
      <w:r>
        <w:rPr>
          <w:rFonts w:ascii="Arial" w:cs="Arial" w:eastAsia="Arial" w:hAnsi="Arial"/>
          <w:b/>
          <w:bCs/>
          <w:color w:val="2E75B6"/>
          <w:sz w:val="26"/>
          <w:szCs w:val="26"/>
        </w:rPr>
        <w:t xml:space="preserve">8.2 The Four AI Moments — What Makes This Demo-Worthy</w:t>
      </w:r>
    </w:p>
    <w:p>
      <w:pPr>
        <w:spacing w:before="80" w:after="80"/>
      </w:pPr>
      <w:r>
        <w:rPr>
          <w:rFonts w:ascii="Arial" w:cs="Arial" w:eastAsia="Arial" w:hAnsi="Arial"/>
          <w:color w:val="444444"/>
          <w:sz w:val="20"/>
          <w:szCs w:val="20"/>
        </w:rPr>
        <w:t xml:space="preserve">When presenting this system to leadership or stakeholders, four specific moments make the AI value visceral and undeniable:</w:t>
      </w:r>
    </w:p>
    <w:p>
      <w:pPr>
        <w:spacing w:before="80" w:after="0"/>
      </w:pPr>
      <w:r>
        <w:t xml:space="preserve"/>
      </w:r>
    </w:p>
    <w:p>
      <w:pPr>
        <w:spacing w:before="200" w:after="80"/>
      </w:pPr>
      <w:r>
        <w:rPr>
          <w:rFonts w:ascii="Arial" w:cs="Arial" w:eastAsia="Arial" w:hAnsi="Arial"/>
          <w:b/>
          <w:bCs/>
          <w:color w:val="1A1A1A"/>
          <w:sz w:val="22"/>
          <w:szCs w:val="22"/>
        </w:rPr>
        <w:t xml:space="preserve">Moment 1 — The Inversion</w:t>
      </w:r>
    </w:p>
    <w:p>
      <w:pPr>
        <w:spacing w:before="80" w:after="80"/>
      </w:pPr>
      <w:r>
        <w:rPr>
          <w:rFonts w:ascii="Arial" w:cs="Arial" w:eastAsia="Arial" w:hAnsi="Arial"/>
          <w:color w:val="444444"/>
          <w:sz w:val="20"/>
          <w:szCs w:val="20"/>
        </w:rPr>
        <w:t xml:space="preserve">Show a side-by-side: the rule engine's top exception (highest variance, low-impact item at a small store) vs. Claude's top exception (low variance, high-impact item at a flagship store during a promo event). The inversion — where the rule engine's #1 is Claude's #47, and Claude's #1 would have been the rule engine's #340 — is immediately understood by any planning leader who has lived this problem.</w:t>
      </w:r>
    </w:p>
    <w:p>
      <w:pPr>
        <w:spacing w:before="80" w:after="0"/>
      </w:pPr>
      <w:r>
        <w:t xml:space="preserve"/>
      </w:r>
    </w:p>
    <w:p>
      <w:pPr>
        <w:spacing w:before="200" w:after="80"/>
      </w:pPr>
      <w:r>
        <w:rPr>
          <w:rFonts w:ascii="Arial" w:cs="Arial" w:eastAsia="Arial" w:hAnsi="Arial"/>
          <w:b/>
          <w:bCs/>
          <w:color w:val="1A1A1A"/>
          <w:sz w:val="22"/>
          <w:szCs w:val="22"/>
        </w:rPr>
        <w:t xml:space="preserve">Moment 2 — The Collapse</w:t>
      </w:r>
    </w:p>
    <w:p>
      <w:pPr>
        <w:spacing w:before="80" w:after="80"/>
      </w:pPr>
      <w:r>
        <w:rPr>
          <w:rFonts w:ascii="Arial" w:cs="Arial" w:eastAsia="Arial" w:hAnsi="Arial"/>
          <w:color w:val="444444"/>
          <w:sz w:val="20"/>
          <w:szCs w:val="20"/>
        </w:rPr>
        <w:t xml:space="preserve">Show 12 individual banana exceptions reduced to one vendor escalation event with a single recommended action and a dollar value at risk. The visual compression of 12 rows into 1 pattern flag, with a plain-English explanation of why, demonstrates the core value of AI pattern synthesis in a format any executive can grasp without domain expertise.</w:t>
      </w:r>
    </w:p>
    <w:p>
      <w:pPr>
        <w:spacing w:before="80" w:after="0"/>
      </w:pPr>
      <w:r>
        <w:t xml:space="preserve"/>
      </w:r>
    </w:p>
    <w:p>
      <w:pPr>
        <w:spacing w:before="200" w:after="80"/>
      </w:pPr>
      <w:r>
        <w:rPr>
          <w:rFonts w:ascii="Arial" w:cs="Arial" w:eastAsia="Arial" w:hAnsi="Arial"/>
          <w:b/>
          <w:bCs/>
          <w:color w:val="1A1A1A"/>
          <w:sz w:val="22"/>
          <w:szCs w:val="22"/>
        </w:rPr>
        <w:t xml:space="preserve">Moment 3 — The Brief</w:t>
      </w:r>
    </w:p>
    <w:p>
      <w:pPr>
        <w:spacing w:before="80" w:after="80"/>
      </w:pPr>
      <w:r>
        <w:rPr>
          <w:rFonts w:ascii="Arial" w:cs="Arial" w:eastAsia="Arial" w:hAnsi="Arial"/>
          <w:color w:val="444444"/>
          <w:sz w:val="20"/>
          <w:szCs w:val="20"/>
        </w:rPr>
        <w:t xml:space="preserve">Display the two-sentence planner brief for the top CRITICAL exception. It names the item, the store, the situation, the financial exposure, and the recommended action. Compare it to the raw exception record it was generated from — a row of numbers with no context. The brief is what a senior planner would write after 5 minutes of research. Claude wrote it in 3 seconds.</w:t>
      </w:r>
    </w:p>
    <w:p>
      <w:pPr>
        <w:spacing w:before="80" w:after="0"/>
      </w:pPr>
      <w:r>
        <w:t xml:space="preserve"/>
      </w:r>
    </w:p>
    <w:p>
      <w:pPr>
        <w:spacing w:before="200" w:after="80"/>
      </w:pPr>
      <w:r>
        <w:rPr>
          <w:rFonts w:ascii="Arial" w:cs="Arial" w:eastAsia="Arial" w:hAnsi="Arial"/>
          <w:b/>
          <w:bCs/>
          <w:color w:val="1A1A1A"/>
          <w:sz w:val="22"/>
          <w:szCs w:val="22"/>
        </w:rPr>
        <w:t xml:space="preserve">Moment 4 — The Honest Flag</w:t>
      </w:r>
    </w:p>
    <w:p>
      <w:pPr>
        <w:spacing w:before="80" w:after="80"/>
      </w:pPr>
      <w:r>
        <w:rPr>
          <w:rFonts w:ascii="Arial" w:cs="Arial" w:eastAsia="Arial" w:hAnsi="Arial"/>
          <w:color w:val="444444"/>
          <w:sz w:val="20"/>
          <w:szCs w:val="20"/>
        </w:rPr>
        <w:t xml:space="preserve">Show an exception where Claude outputs CRITICAL / LOW confidence with a missing_data_flags entry for open_po_status, and a planner_brief that says: 'This item is OOS at a flagship store during an active promo — recommend treating as CRITICAL, but verify with vendor whether an in-transit shipment is already in motion before placing a duplicate emergency order.' This moment demonstrates that the AI knows what it does not know — which is what builds planner trust faster than anything else.</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8.3 AI vs. Automation — The Distinction That Matters</w:t>
      </w:r>
    </w:p>
    <w:p>
      <w:pPr>
        <w:spacing w:before="80" w:after="80"/>
      </w:pPr>
      <w:r>
        <w:rPr>
          <w:rFonts w:ascii="Arial" w:cs="Arial" w:eastAsia="Arial" w:hAnsi="Arial"/>
          <w:color w:val="444444"/>
          <w:sz w:val="20"/>
          <w:szCs w:val="20"/>
        </w:rPr>
        <w:t xml:space="preserve">The Replenishment Exception Triage Agent is AI, not automation. The distinction is important for both technical design and stakeholder framing: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2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Characteristics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Automation</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Follows deterministic rules to execute a pre-defined action. Does not handle ambiguity. Cannot explain its reasoning. Cannot recognize novel patterns. Breaks when conditions change.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This system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Reasons about ambiguous multi-signal situations. Produces natural language explanations. Recognizes emergent patterns not encoded in its rules. Degrades gracefully (low confidence flags) rather than silently misclassifying when conditions are outside the expected range.</w:t>
            </w:r>
          </w:p>
        </w:tc>
      </w:tr>
    </w:tbl>
    <w:p>
      <w:pPr>
        <w:spacing w:before="80" w:after="0"/>
      </w:pPr>
      <w:r>
        <w:t xml:space="preserve"/>
      </w:r>
    </w:p>
    <w:p>
      <w:pPr>
        <w:spacing w:before="80" w:after="80"/>
      </w:pPr>
      <w:r>
        <w:rPr>
          <w:rFonts w:ascii="Arial" w:cs="Arial" w:eastAsia="Arial" w:hAnsi="Arial"/>
          <w:color w:val="444444"/>
          <w:sz w:val="20"/>
          <w:szCs w:val="20"/>
        </w:rPr>
        <w:t xml:space="preserve">The practical consequence: automation can be replaced by a well-designed SQL query. This system cannot. The value compounds over time as the few-shot library grows and the active learning loop encodes more planner judgment — it becomes more accurate the more it is used, which is the defining characteristic of AI, not automation.</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8.4 Human-in-the-Loop Design</w:t>
      </w:r>
    </w:p>
    <w:p>
      <w:pPr>
        <w:spacing w:before="80" w:after="80"/>
      </w:pPr>
      <w:r>
        <w:rPr>
          <w:rFonts w:ascii="Arial" w:cs="Arial" w:eastAsia="Arial" w:hAnsi="Arial"/>
          <w:color w:val="444444"/>
          <w:sz w:val="20"/>
          <w:szCs w:val="20"/>
        </w:rPr>
        <w:t xml:space="preserve">The system is explicitly designed to augment planners, not replace them. Claude recommends — humans decide. Every CRITICAL classification requires planner acknowledgment before any downstream action. The reasoning trace provides full auditability. The confidence field enables planners to apply appropriate skepticism to low-confidence outputs. The override capture mechanism treats every planner disagreement as a training signal rather than a system failure.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5E8F0" w:val="clear"/>
            <w:tcMar>
              <w:top w:type="dxa" w:w="160"/>
              <w:left w:type="dxa" w:w="200"/>
              <w:bottom w:type="dxa" w:w="160"/>
              <w:right w:type="dxa" w:w="200"/>
            </w:tcMar>
          </w:tcPr>
          <w:p>
            <w:pPr>
              <w:spacing w:before="0" w:after="60"/>
            </w:pPr>
            <w:r>
              <w:rPr>
                <w:rFonts w:ascii="Arial" w:cs="Arial" w:eastAsia="Arial" w:hAnsi="Arial"/>
                <w:b/>
                <w:bCs/>
                <w:color w:val="1E3A5F"/>
                <w:sz w:val="20"/>
                <w:szCs w:val="20"/>
              </w:rPr>
              <w:t xml:space="preserve">The Right Mental Model</w:t>
            </w:r>
          </w:p>
          <w:p>
            <w:pPr>
              <w:spacing w:before="0" w:after="0"/>
            </w:pPr>
            <w:r>
              <w:rPr>
                <w:rFonts w:ascii="Arial" w:cs="Arial" w:eastAsia="Arial" w:hAnsi="Arial"/>
                <w:color w:val="1A1A1A"/>
                <w:sz w:val="20"/>
                <w:szCs w:val="20"/>
              </w:rPr>
              <w:t xml:space="preserve">This system is a senior analyst who has already read every exception, cross-referenced every data source, and drafted a prioritized action list with full context — before the planner has finished their first cup of coffee. The planner's job is to review, refine, and act. Not to triage.</w:t>
            </w:r>
          </w:p>
        </w:tc>
      </w:tr>
    </w:tbl>
    <w:p>
      <w:pPr>
        <w:pBdr>
          <w:bottom w:val="single" w:color="2E75B6" w:sz="4" w:space="1"/>
        </w:pBdr>
        <w:spacing w:before="160" w:after="160"/>
      </w:pPr>
      <w:r>
        <w:t xml:space="preserve"/>
      </w:r>
    </w:p>
    <w:p>
      <w:r>
        <w:br w:type="page"/>
      </w:r>
    </w:p>
    <w:p>
      <w:pPr>
        <w:pStyle w:val="Heading1"/>
        <w:spacing w:before="360" w:after="120"/>
      </w:pPr>
      <w:r>
        <w:rPr>
          <w:rFonts w:ascii="Arial" w:cs="Arial" w:eastAsia="Arial" w:hAnsi="Arial"/>
          <w:b/>
          <w:bCs/>
          <w:color w:val="1E3A5F"/>
          <w:sz w:val="32"/>
          <w:szCs w:val="32"/>
        </w:rPr>
        <w:t xml:space="preserve">9. Build Phases &amp;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Phase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Timeline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Name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Deliverables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8"/>
                <w:szCs w:val="18"/>
              </w:rPr>
              <w:t xml:space="preserve">Phase 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8"/>
                <w:szCs w:val="18"/>
              </w:rPr>
              <w:t xml:space="preserve">Weeks 1–2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8"/>
                <w:szCs w:val="18"/>
              </w:rPr>
              <w:t xml:space="preserve">Data Foundation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8"/>
                <w:szCs w:val="18"/>
              </w:rPr>
              <w:t xml:space="preserve">Define canonical schema. Identify exception export format from source system. Map enrichment fields to available data sources. Stand up enrichment pipeline skeleton.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8"/>
                <w:szCs w:val="18"/>
              </w:rPr>
              <w:t xml:space="preserve">Phase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8"/>
                <w:szCs w:val="18"/>
              </w:rPr>
              <w:t xml:space="preserve">Weeks 3–4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8"/>
                <w:szCs w:val="18"/>
              </w:rPr>
              <w:t xml:space="preserve">Enrichment Pipeline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8"/>
                <w:szCs w:val="18"/>
              </w:rPr>
              <w:t xml:space="preserve">Build and test enrichment joins. Validate data quality. Produce sample enriched exception objects for prompt testing.</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8"/>
                <w:szCs w:val="18"/>
              </w:rPr>
              <w:t xml:space="preserve">Phase 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8"/>
                <w:szCs w:val="18"/>
              </w:rPr>
              <w:t xml:space="preserve">Weeks 5–6</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8"/>
                <w:szCs w:val="18"/>
              </w:rPr>
              <w:t xml:space="preserve">Claude Reasoning Layer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8"/>
                <w:szCs w:val="18"/>
              </w:rPr>
              <w:t xml:space="preserve">Develop system prompt. Test against manually curated exception batches. Iterate on output structure and priority calibration.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8"/>
                <w:szCs w:val="18"/>
              </w:rPr>
              <w:t xml:space="preserve">Phase 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8"/>
                <w:szCs w:val="18"/>
              </w:rPr>
              <w:t xml:space="preserve">Week 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8"/>
                <w:szCs w:val="18"/>
              </w:rPr>
              <w:t xml:space="preserve">Routing &amp; Output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8"/>
                <w:szCs w:val="18"/>
              </w:rPr>
              <w:t xml:space="preserve">Build priority queue logic. Generate morning briefing format. Wire alert mechanism for CRITICAL tier.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8"/>
                <w:szCs w:val="18"/>
              </w:rPr>
              <w:t xml:space="preserve">Phase 5</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8"/>
                <w:szCs w:val="18"/>
              </w:rPr>
              <w:t xml:space="preserve">Week 8</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8"/>
                <w:szCs w:val="18"/>
              </w:rPr>
              <w:t xml:space="preserve">Pilot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8"/>
                <w:szCs w:val="18"/>
              </w:rPr>
              <w:t xml:space="preserve">Run with 1 planner, 1 category. Collect feedback. Measure time-to-action improvement.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8"/>
                <w:szCs w:val="18"/>
              </w:rPr>
              <w:t xml:space="preserve">Phase 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8"/>
                <w:szCs w:val="18"/>
              </w:rPr>
              <w:t xml:space="preserve">Weeks 9–10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8"/>
                <w:szCs w:val="18"/>
              </w:rPr>
              <w:t xml:space="preserve">Active Learning Loop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8"/>
                <w:szCs w:val="18"/>
              </w:rPr>
              <w:t xml:space="preserve">Compare triage recommendations to actual outcomes at W4 and W8. When a planner overrides a CRITICAL flag, system prompts for a brief reason. Override reasons are structured as few-shot examples and fed back into the system prompt — enabling continuous improvement grounded in real planner judgment.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5E8F0" w:val="clear"/>
            <w:tcMar>
              <w:top w:type="dxa" w:w="160"/>
              <w:left w:type="dxa" w:w="200"/>
              <w:bottom w:type="dxa" w:w="160"/>
              <w:right w:type="dxa" w:w="200"/>
            </w:tcMar>
          </w:tcPr>
          <w:p>
            <w:pPr>
              <w:spacing w:before="0" w:after="60"/>
            </w:pPr>
            <w:r>
              <w:rPr>
                <w:rFonts w:ascii="Arial" w:cs="Arial" w:eastAsia="Arial" w:hAnsi="Arial"/>
                <w:b/>
                <w:bCs/>
                <w:color w:val="1E3A5F"/>
                <w:sz w:val="20"/>
                <w:szCs w:val="20"/>
              </w:rPr>
              <w:t xml:space="preserve">Earliest Demo Milestone</w:t>
            </w:r>
          </w:p>
          <w:p>
            <w:pPr>
              <w:spacing w:before="0" w:after="0"/>
            </w:pPr>
            <w:r>
              <w:rPr>
                <w:rFonts w:ascii="Arial" w:cs="Arial" w:eastAsia="Arial" w:hAnsi="Arial"/>
                <w:color w:val="1A1A1A"/>
                <w:sz w:val="20"/>
                <w:szCs w:val="20"/>
              </w:rPr>
              <w:t xml:space="preserve">Week 5 — Claude triage output against manually constructed enriched exceptions. No production pipeline required. This is sufficient for a compelling leadership demonstration.</w:t>
            </w:r>
          </w:p>
        </w:tc>
      </w:tr>
    </w:tbl>
    <w:p>
      <w:pPr>
        <w:pBdr>
          <w:bottom w:val="single" w:color="2E75B6" w:sz="4" w:space="1"/>
        </w:pBdr>
        <w:spacing w:before="160" w:after="160"/>
      </w:pPr>
      <w:r>
        <w:t xml:space="preserve"/>
      </w:r>
    </w:p>
    <w:p>
      <w:r>
        <w:br w:type="page"/>
      </w:r>
    </w:p>
    <w:p>
      <w:pPr>
        <w:pStyle w:val="Heading1"/>
        <w:spacing w:before="360" w:after="120"/>
      </w:pPr>
      <w:r>
        <w:rPr>
          <w:rFonts w:ascii="Arial" w:cs="Arial" w:eastAsia="Arial" w:hAnsi="Arial"/>
          <w:b/>
          <w:bCs/>
          <w:color w:val="1E3A5F"/>
          <w:sz w:val="32"/>
          <w:szCs w:val="32"/>
        </w:rPr>
        <w:t xml:space="preserve">10. Success Metrics</w:t>
      </w:r>
    </w:p>
    <w:p>
      <w:pPr>
        <w:pStyle w:val="Heading2"/>
        <w:spacing w:before="280" w:after="100"/>
      </w:pPr>
      <w:r>
        <w:rPr>
          <w:rFonts w:ascii="Arial" w:cs="Arial" w:eastAsia="Arial" w:hAnsi="Arial"/>
          <w:b/>
          <w:bCs/>
          <w:color w:val="2E75B6"/>
          <w:sz w:val="26"/>
          <w:szCs w:val="26"/>
        </w:rPr>
        <w:t xml:space="preserve">10.1 Measurement Philosophy</w:t>
      </w:r>
    </w:p>
    <w:p>
      <w:pPr>
        <w:spacing w:before="80" w:after="80"/>
      </w:pPr>
      <w:r>
        <w:rPr>
          <w:rFonts w:ascii="Arial" w:cs="Arial" w:eastAsia="Arial" w:hAnsi="Arial"/>
          <w:color w:val="444444"/>
          <w:sz w:val="20"/>
          <w:szCs w:val="20"/>
        </w:rPr>
        <w:t xml:space="preserve">Metrics for an AI triage system must be organized across three horizons: leading indicators (are planners using the output?), quality indicators (is the AI reasoning accurate?), and lagging indicators (is the business getting better?). Measuring only lagging indicators tells you the outcome but not the cause. Measuring only quality indicators tells you the AI is accurate but not whether it is driving decisions.</w:t>
      </w:r>
    </w:p>
    <w:p>
      <w:pPr>
        <w:spacing w:before="80" w:after="0"/>
      </w:pPr>
      <w:r>
        <w:t xml:space="preserve"/>
      </w:r>
    </w:p>
    <w:p>
      <w:pPr>
        <w:spacing w:before="80" w:after="80"/>
      </w:pPr>
      <w:r>
        <w:rPr>
          <w:rFonts w:ascii="Arial" w:cs="Arial" w:eastAsia="Arial" w:hAnsi="Arial"/>
          <w:color w:val="444444"/>
          <w:sz w:val="20"/>
          <w:szCs w:val="20"/>
        </w:rPr>
        <w:t xml:space="preserve">All metrics are baselined in the Phase 5 pilot before targets are set. Baseline measurement requires 4 weeks of parallel running — the agent produces its output daily alongside the existing planner workflow, with planners logging their actual triage decisions independently. This parallel run produces the data needed to calculate planner consensus rate, override rate, and time-to-action delta before the system is fully adopted.</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10.2 Leading Indicators — Adoption &amp;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Metric</w:t>
            </w:r>
          </w:p>
        </w:tc>
        <w:tc>
          <w:tcPr>
            <w:tcW w:type="dxa" w:w="234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Definition</w:t>
            </w:r>
          </w:p>
        </w:tc>
        <w:tc>
          <w:tcPr>
            <w:tcW w:type="dxa" w:w="234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Baseline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Target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8"/>
                <w:szCs w:val="18"/>
              </w:rPr>
              <w:t xml:space="preserve">Morning briefing open rate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8"/>
                <w:szCs w:val="18"/>
              </w:rPr>
              <w:t xml:space="preserve">% of days the briefing is opened by the assigned planner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8"/>
                <w:szCs w:val="18"/>
              </w:rPr>
              <w:t xml:space="preserve">Establish in Week 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8"/>
                <w:szCs w:val="18"/>
              </w:rPr>
              <w:t xml:space="preserve">&gt; 90% of business days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8"/>
                <w:szCs w:val="18"/>
              </w:rPr>
              <w:t xml:space="preserve">CRITICAL alert acknowledgment rate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8"/>
                <w:szCs w:val="18"/>
              </w:rPr>
              <w:t xml:space="preserve">% of CRITICAL alerts acknowledged within SLA window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8"/>
                <w:szCs w:val="18"/>
              </w:rPr>
              <w:t xml:space="preserve">Establish baseline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8"/>
                <w:szCs w:val="18"/>
              </w:rPr>
              <w:t xml:space="preserve">&gt; 95%</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8"/>
                <w:szCs w:val="18"/>
              </w:rPr>
              <w:t xml:space="preserve">Override capture rate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8"/>
                <w:szCs w:val="18"/>
              </w:rPr>
              <w:t xml:space="preserve">% of planner overrides where a reason was provided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8"/>
                <w:szCs w:val="18"/>
              </w:rPr>
              <w:t xml:space="preserve">0% (feature not live)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8"/>
                <w:szCs w:val="18"/>
              </w:rPr>
              <w:t xml:space="preserve">&gt; 80% of overrides captured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8"/>
                <w:szCs w:val="18"/>
              </w:rPr>
              <w:t xml:space="preserve">Active learning promotions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8"/>
                <w:szCs w:val="18"/>
              </w:rPr>
              <w:t xml:space="preserve"># of override reasons promoted to few-shot library per month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8"/>
                <w:szCs w:val="18"/>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8"/>
                <w:szCs w:val="18"/>
              </w:rPr>
              <w:t xml:space="preserve">&gt; 2 per month after Week 10</w:t>
            </w:r>
          </w:p>
        </w:tc>
      </w:tr>
    </w:tbl>
    <w:p>
      <w:pPr>
        <w:spacing w:before="80" w:after="0"/>
      </w:pPr>
      <w:r>
        <w:t xml:space="preserve"/>
      </w:r>
    </w:p>
    <w:p>
      <w:pPr>
        <w:pStyle w:val="Heading2"/>
        <w:spacing w:before="280" w:after="100"/>
      </w:pPr>
      <w:r>
        <w:rPr>
          <w:rFonts w:ascii="Arial" w:cs="Arial" w:eastAsia="Arial" w:hAnsi="Arial"/>
          <w:b/>
          <w:bCs/>
          <w:color w:val="2E75B6"/>
          <w:sz w:val="26"/>
          <w:szCs w:val="26"/>
        </w:rPr>
        <w:t xml:space="preserve">10.3 AI Quality Indicators — Reasoning Accuracy</w:t>
      </w:r>
    </w:p>
    <w:p>
      <w:pPr>
        <w:spacing w:before="80" w:after="80"/>
      </w:pPr>
      <w:r>
        <w:rPr>
          <w:rFonts w:ascii="Arial" w:cs="Arial" w:eastAsia="Arial" w:hAnsi="Arial"/>
          <w:color w:val="444444"/>
          <w:sz w:val="20"/>
          <w:szCs w:val="20"/>
        </w:rPr>
        <w:t xml:space="preserve">Quality metrics measure whether Claude's reasoning matches the judgment of experienced planners. These are measured through the parallel run baseline and ongoing spot-checks: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Metric</w:t>
            </w:r>
          </w:p>
        </w:tc>
        <w:tc>
          <w:tcPr>
            <w:tcW w:type="dxa" w:w="234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Definition</w:t>
            </w:r>
          </w:p>
        </w:tc>
        <w:tc>
          <w:tcPr>
            <w:tcW w:type="dxa" w:w="234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Baseline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Target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8"/>
                <w:szCs w:val="18"/>
              </w:rPr>
              <w:t xml:space="preserve">Planner consensus rate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8"/>
                <w:szCs w:val="18"/>
              </w:rPr>
              <w:t xml:space="preserve">% of exceptions where AI priority tier matches an independent senior planner's tier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8"/>
                <w:szCs w:val="18"/>
              </w:rPr>
              <w:t xml:space="preserve">Measure in parallel run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8"/>
                <w:szCs w:val="18"/>
              </w:rPr>
              <w:t xml:space="preserve">&gt; 85% agreement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8"/>
                <w:szCs w:val="18"/>
              </w:rPr>
              <w:t xml:space="preserve">CRITICAL precision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8"/>
                <w:szCs w:val="18"/>
              </w:rPr>
              <w:t xml:space="preserve">% of CRITICAL classifications that genuinely required urgent action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8"/>
                <w:szCs w:val="18"/>
              </w:rPr>
              <w:t xml:space="preserve">Measure in parallel run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8"/>
                <w:szCs w:val="18"/>
              </w:rPr>
              <w:t xml:space="preserve">&gt; 90%</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8"/>
                <w:szCs w:val="18"/>
              </w:rPr>
              <w:t xml:space="preserve">CRITICAL recall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8"/>
                <w:szCs w:val="18"/>
              </w:rPr>
              <w:t xml:space="preserve">% of genuinely urgent exceptions that Claude classified as CRITICAL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8"/>
                <w:szCs w:val="18"/>
              </w:rPr>
              <w:t xml:space="preserve">Measure in parallel run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8"/>
                <w:szCs w:val="18"/>
              </w:rPr>
              <w:t xml:space="preserve">&gt; 95% (recall &gt; precision)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8"/>
                <w:szCs w:val="18"/>
              </w:rPr>
              <w:t xml:space="preserve">Pattern detection precision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8"/>
                <w:szCs w:val="18"/>
              </w:rPr>
              <w:t xml:space="preserve">% of flagged cross-exception patterns confirmed as genuine systemic events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8"/>
                <w:szCs w:val="18"/>
              </w:rPr>
              <w:t xml:space="preserve">Establish baseline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8"/>
                <w:szCs w:val="18"/>
              </w:rPr>
              <w:t xml:space="preserve">&gt; 80%</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8"/>
                <w:szCs w:val="18"/>
              </w:rPr>
              <w:t xml:space="preserve">False urgency rate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8"/>
                <w:szCs w:val="18"/>
              </w:rPr>
              <w:t xml:space="preserve">% of HIGH/CRITICAL flags that required no action and consumed planner time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8"/>
                <w:szCs w:val="18"/>
              </w:rPr>
              <w:t xml:space="preserve">Establish baseline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8"/>
                <w:szCs w:val="18"/>
              </w:rPr>
              <w:t xml:space="preserve">&lt; 10%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8"/>
                <w:szCs w:val="18"/>
              </w:rPr>
              <w:t xml:space="preserve">Confidence calibration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8"/>
                <w:szCs w:val="18"/>
              </w:rPr>
              <w:t xml:space="preserve">% of HIGH confidence outputs that were correct vs. LOW confidence outputs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8"/>
                <w:szCs w:val="18"/>
              </w:rPr>
              <w:t xml:space="preserve">Establish baseline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8"/>
                <w:szCs w:val="18"/>
              </w:rPr>
              <w:t xml:space="preserve">HIGH conf &gt; 90%, LOW conf flagged for review</w:t>
            </w:r>
          </w:p>
        </w:tc>
      </w:tr>
    </w:tbl>
    <w:p>
      <w:pPr>
        <w:spacing w:before="80" w:after="0"/>
      </w:pPr>
      <w:r>
        <w:t xml:space="preserve"/>
      </w:r>
    </w:p>
    <w:p>
      <w:pPr>
        <w:pStyle w:val="Heading2"/>
        <w:spacing w:before="280" w:after="100"/>
      </w:pPr>
      <w:r>
        <w:rPr>
          <w:rFonts w:ascii="Arial" w:cs="Arial" w:eastAsia="Arial" w:hAnsi="Arial"/>
          <w:b/>
          <w:bCs/>
          <w:color w:val="2E75B6"/>
          <w:sz w:val="26"/>
          <w:szCs w:val="26"/>
        </w:rPr>
        <w:t xml:space="preserve">10.4 Lagging Indicators — Business Outcomes</w:t>
      </w:r>
    </w:p>
    <w:p>
      <w:pPr>
        <w:spacing w:before="80" w:after="80"/>
      </w:pPr>
      <w:r>
        <w:rPr>
          <w:rFonts w:ascii="Arial" w:cs="Arial" w:eastAsia="Arial" w:hAnsi="Arial"/>
          <w:color w:val="444444"/>
          <w:sz w:val="20"/>
          <w:szCs w:val="20"/>
        </w:rPr>
        <w:t xml:space="preserve">Business outcome metrics are measured at 30-day intervals. They are directional indicators — influenced by the agent but not exclusively caused by it. Context changes (new vendors, seasonal shifts, category resets) should be noted when interpreting trends: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Metric</w:t>
            </w:r>
          </w:p>
        </w:tc>
        <w:tc>
          <w:tcPr>
            <w:tcW w:type="dxa" w:w="234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Definition</w:t>
            </w:r>
          </w:p>
        </w:tc>
        <w:tc>
          <w:tcPr>
            <w:tcW w:type="dxa" w:w="234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Baseline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Target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8"/>
                <w:szCs w:val="18"/>
              </w:rPr>
              <w:t xml:space="preserve">Promo OOS rate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8"/>
                <w:szCs w:val="18"/>
              </w:rPr>
              <w:t xml:space="preserve">% of TPR events where OOS was recorded at any point during the promo window</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8"/>
                <w:szCs w:val="18"/>
              </w:rPr>
              <w:t xml:space="preserve">Establish baseline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8"/>
                <w:szCs w:val="18"/>
              </w:rPr>
              <w:t xml:space="preserve">–20% vs. baseline at 90 days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8"/>
                <w:szCs w:val="18"/>
              </w:rPr>
              <w:t xml:space="preserve">CRITICAL exception cycle time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8"/>
                <w:szCs w:val="18"/>
              </w:rPr>
              <w:t xml:space="preserve">Average hours from CRITICAL exception generated to resolution confirmed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8"/>
                <w:szCs w:val="18"/>
              </w:rPr>
              <w:t xml:space="preserve">4–6 hours (estimated)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8"/>
                <w:szCs w:val="18"/>
              </w:rPr>
              <w:t xml:space="preserve">&lt; 2 hours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8"/>
                <w:szCs w:val="18"/>
              </w:rPr>
              <w:t xml:space="preserve">Planner triage time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8"/>
                <w:szCs w:val="18"/>
              </w:rPr>
              <w:t xml:space="preserve">Daily hours spent by planner on exception sorting and prioritization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8"/>
                <w:szCs w:val="18"/>
              </w:rPr>
              <w:t xml:space="preserve">Establish in parallel run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8"/>
                <w:szCs w:val="18"/>
              </w:rPr>
              <w:t xml:space="preserve">–50% vs. baseline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8"/>
                <w:szCs w:val="18"/>
              </w:rPr>
              <w:t xml:space="preserve">Exceptions reviewed per planner per day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8"/>
                <w:szCs w:val="18"/>
              </w:rPr>
              <w:t xml:space="preserve">Total exceptions actioned, not just opened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8"/>
                <w:szCs w:val="18"/>
              </w:rPr>
              <w:t xml:space="preserve">80–120 (estimated)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8"/>
                <w:szCs w:val="18"/>
              </w:rPr>
              <w:t xml:space="preserve">&gt; 200</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8"/>
                <w:szCs w:val="18"/>
              </w:rPr>
              <w:t xml:space="preserve">Vendor escalation lead time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8"/>
                <w:szCs w:val="18"/>
              </w:rPr>
              <w:t xml:space="preserve">Hours between vendor supply constraint identification and buyer notification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8"/>
                <w:szCs w:val="18"/>
              </w:rPr>
              <w:t xml:space="preserve">Same-day or next-day (estimated)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8"/>
                <w:szCs w:val="18"/>
              </w:rPr>
              <w:t xml:space="preserve">&lt; 3 hours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8"/>
                <w:szCs w:val="18"/>
              </w:rPr>
              <w:t xml:space="preserve">New planner time-to-effectiveness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8"/>
                <w:szCs w:val="18"/>
              </w:rPr>
              <w:t xml:space="preserve">Weeks until a new planner's triage decisions match a senior planner's at &gt; 80% consensus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8"/>
                <w:szCs w:val="18"/>
              </w:rPr>
              <w:t xml:space="preserve">6–9 months (estimated)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8"/>
                <w:szCs w:val="18"/>
              </w:rPr>
              <w:t xml:space="preserve">&lt; 8 weeks with agent support</w:t>
            </w:r>
          </w:p>
        </w:tc>
      </w:tr>
    </w:tbl>
    <w:p>
      <w:pPr>
        <w:spacing w:before="80" w:after="0"/>
      </w:pPr>
      <w:r>
        <w:t xml:space="preserve"/>
      </w:r>
    </w:p>
    <w:p>
      <w:pPr>
        <w:pStyle w:val="Heading2"/>
        <w:spacing w:before="280" w:after="100"/>
      </w:pPr>
      <w:r>
        <w:rPr>
          <w:rFonts w:ascii="Arial" w:cs="Arial" w:eastAsia="Arial" w:hAnsi="Arial"/>
          <w:b/>
          <w:bCs/>
          <w:color w:val="2E75B6"/>
          <w:sz w:val="26"/>
          <w:szCs w:val="26"/>
        </w:rPr>
        <w:t xml:space="preserve">10.5 Backtesting Methodology</w:t>
      </w:r>
    </w:p>
    <w:p>
      <w:pPr>
        <w:spacing w:before="80" w:after="80"/>
      </w:pPr>
      <w:r>
        <w:rPr>
          <w:rFonts w:ascii="Arial" w:cs="Arial" w:eastAsia="Arial" w:hAnsi="Arial"/>
          <w:color w:val="444444"/>
          <w:sz w:val="20"/>
          <w:szCs w:val="20"/>
        </w:rPr>
        <w:t xml:space="preserve">Every exception processed by the agent is logged with its full enriched context, AI classification, and recommended action. At Week 4 and Week 8 after each exception date, an outcome lookup is performed against the POS and inventory systems to determine what actually happened at that store and item. This produces three outcome labels per exception: RESOLVED (stock was restored without incident), MISS (OOS occurred and was not prevented), and FALSE_ALARM (agent flagged urgency but situation self-corrected).</w:t>
      </w:r>
    </w:p>
    <w:p>
      <w:pPr>
        <w:spacing w:before="80" w:after="0"/>
      </w:pPr>
      <w:r>
        <w:t xml:space="preserve"/>
      </w:r>
    </w:p>
    <w:p>
      <w:pPr>
        <w:spacing w:before="80" w:after="80"/>
      </w:pPr>
      <w:r>
        <w:rPr>
          <w:rFonts w:ascii="Arial" w:cs="Arial" w:eastAsia="Arial" w:hAnsi="Arial"/>
          <w:color w:val="444444"/>
          <w:sz w:val="20"/>
          <w:szCs w:val="20"/>
        </w:rPr>
        <w:t xml:space="preserve">Backtesting results feed two downstream processes: (1) prompt calibration review — any CRITICAL exception that resolved as MISS or FALSE_ALARM is reviewed by the prompt engineering team for potential system prompt adjustments; (2) active learning pipeline — MISS exceptions where a planner override occurred are prioritized for few-shot library consideration.</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10.6 Escalation SLA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SLA Type</w:t>
            </w:r>
          </w:p>
        </w:tc>
        <w:tc>
          <w:tcPr>
            <w:tcW w:type="dxa" w:w="62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 &amp; Escalation Path</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CRITICAL acknowledgment SLA</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60 minutes from alert dispatch — if unacknowledged, secondary alert fires to Category Manager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HIGH acknowledgment SLA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4 hours — queued for same-day action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CRITICAL resolution SLA</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Same business day — exception resolved or formally escalated to leadership with a documented reason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Secondary escalation SLA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30 minutes after primary SLA breach — Category Manager alert with full exception context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Agent mesh query latency</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&lt; 5 seconds — Phantom Inventory webhook must not block main triage output generation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Pipeline completion SLA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Triage output available to planners by 7:00 AM daily — triggered from overnight batch completion</w:t>
            </w:r>
          </w:p>
        </w:tc>
      </w:tr>
    </w:tbl>
    <w:p>
      <w:pPr>
        <w:pBdr>
          <w:bottom w:val="single" w:color="2E75B6" w:sz="4" w:space="1"/>
        </w:pBdr>
        <w:spacing w:before="160" w:after="160"/>
      </w:pPr>
      <w:r>
        <w:t xml:space="preserve"/>
      </w:r>
    </w:p>
    <w:p>
      <w:r>
        <w:br w:type="page"/>
      </w:r>
    </w:p>
    <w:p>
      <w:pPr>
        <w:pStyle w:val="Heading1"/>
        <w:spacing w:before="360" w:after="120"/>
      </w:pPr>
      <w:r>
        <w:rPr>
          <w:rFonts w:ascii="Arial" w:cs="Arial" w:eastAsia="Arial" w:hAnsi="Arial"/>
          <w:b/>
          <w:bCs/>
          <w:color w:val="1E3A5F"/>
          <w:sz w:val="32"/>
          <w:szCs w:val="32"/>
        </w:rP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62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Enrichment data gaps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Enrich with available fields first; prompt Claude to flag low-confidence outputs when key fields are missing rather than generating false confidence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Planner skepticism of AI recommendations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Frame as 'second opinion' not 'replacement.' Show override tracking and use planner feedback to visibly improve the system.</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LLM hallucination on factual fields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All factual data (units, dates, vendor rates) comes from structured enrichment layer — Claude only reasons on structured inputs, never generates facts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Source system format changes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Abstract ingestion behind a normalization layer; format changes require only adapter updates, not core logic changes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Prompt drift over time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Version-control all prompts. Run backtesting suite before any prompt change goes to production.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Over-reliance by planners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System explicitly flags uncertainty and requires human sign-off on all CRITICAL actions. Build review workflow into output design.</w:t>
            </w:r>
          </w:p>
        </w:tc>
      </w:tr>
    </w:tbl>
    <w:p>
      <w:pPr>
        <w:pBdr>
          <w:bottom w:val="single" w:color="2E75B6" w:sz="4" w:space="1"/>
        </w:pBdr>
        <w:spacing w:before="160" w:after="160"/>
      </w:pPr>
      <w:r>
        <w:t xml:space="preserve"/>
      </w:r>
    </w:p>
    <w:p>
      <w:pPr>
        <w:pStyle w:val="Heading1"/>
        <w:spacing w:before="360" w:after="120"/>
      </w:pPr>
      <w:r>
        <w:rPr>
          <w:rFonts w:ascii="Arial" w:cs="Arial" w:eastAsia="Arial" w:hAnsi="Arial"/>
          <w:b/>
          <w:bCs/>
          <w:color w:val="1E3A5F"/>
          <w:sz w:val="32"/>
          <w:szCs w:val="32"/>
        </w:rPr>
        <w:t xml:space="preserve">12. Configurability &amp; Generalization</w:t>
      </w:r>
    </w:p>
    <w:p>
      <w:pPr>
        <w:spacing w:before="80" w:after="80"/>
      </w:pPr>
      <w:r>
        <w:rPr>
          <w:rFonts w:ascii="Arial" w:cs="Arial" w:eastAsia="Arial" w:hAnsi="Arial"/>
          <w:color w:val="444444"/>
          <w:sz w:val="20"/>
          <w:szCs w:val="20"/>
        </w:rPr>
        <w:t xml:space="preserve">This system is designed to be retailer-agnostic and planning-system-agnostic. All environment-specific logic is isolated in configuration, not hardcoded in the core agent.</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11.1 YAML Configuration Controls</w:t>
      </w:r>
    </w:p>
    <w:p>
      <w:pPr>
        <w:pStyle w:val="ListParagraph"/>
        <w:numPr>
          <w:ilvl w:val="0"/>
          <w:numId w:val="2"/>
        </w:numPr>
        <w:spacing w:before="60" w:after="60"/>
      </w:pPr>
      <w:r>
        <w:rPr>
          <w:rFonts w:ascii="Arial" w:cs="Arial" w:eastAsia="Arial" w:hAnsi="Arial"/>
          <w:b w:val="false"/>
          <w:bCs w:val="false"/>
          <w:color w:val="444444"/>
          <w:sz w:val="20"/>
          <w:szCs w:val="20"/>
        </w:rPr>
        <w:t xml:space="preserve">Exception source adapter: specify file path, API endpoint, or database query</w:t>
      </w:r>
    </w:p>
    <w:p>
      <w:pPr>
        <w:pStyle w:val="ListParagraph"/>
        <w:numPr>
          <w:ilvl w:val="0"/>
          <w:numId w:val="2"/>
        </w:numPr>
        <w:spacing w:before="60" w:after="60"/>
      </w:pPr>
      <w:r>
        <w:rPr>
          <w:rFonts w:ascii="Arial" w:cs="Arial" w:eastAsia="Arial" w:hAnsi="Arial"/>
          <w:b w:val="false"/>
          <w:bCs w:val="false"/>
          <w:color w:val="444444"/>
          <w:sz w:val="20"/>
          <w:szCs w:val="20"/>
        </w:rPr>
        <w:t xml:space="preserve">Enrichment field weights: adjust how heavily each signal influences priority scoring</w:t>
      </w:r>
    </w:p>
    <w:p>
      <w:pPr>
        <w:pStyle w:val="ListParagraph"/>
        <w:numPr>
          <w:ilvl w:val="0"/>
          <w:numId w:val="2"/>
        </w:numPr>
        <w:spacing w:before="60" w:after="60"/>
      </w:pPr>
      <w:r>
        <w:rPr>
          <w:rFonts w:ascii="Arial" w:cs="Arial" w:eastAsia="Arial" w:hAnsi="Arial"/>
          <w:b w:val="false"/>
          <w:bCs w:val="false"/>
          <w:color w:val="444444"/>
          <w:sz w:val="20"/>
          <w:szCs w:val="20"/>
        </w:rPr>
        <w:t xml:space="preserve">Store tier definitions: define volume thresholds for Tier 1 / 2 / 3 classification</w:t>
      </w:r>
    </w:p>
    <w:p>
      <w:pPr>
        <w:pStyle w:val="ListParagraph"/>
        <w:numPr>
          <w:ilvl w:val="0"/>
          <w:numId w:val="2"/>
        </w:numPr>
        <w:spacing w:before="60" w:after="60"/>
      </w:pPr>
      <w:r>
        <w:rPr>
          <w:rFonts w:ascii="Arial" w:cs="Arial" w:eastAsia="Arial" w:hAnsi="Arial"/>
          <w:b w:val="false"/>
          <w:bCs w:val="false"/>
          <w:color w:val="444444"/>
          <w:sz w:val="20"/>
          <w:szCs w:val="20"/>
        </w:rPr>
        <w:t xml:space="preserve">Category rules: mark categories as perishable, promo-sensitive, or competitor-exposed</w:t>
      </w:r>
    </w:p>
    <w:p>
      <w:pPr>
        <w:pStyle w:val="ListParagraph"/>
        <w:numPr>
          <w:ilvl w:val="0"/>
          <w:numId w:val="2"/>
        </w:numPr>
        <w:spacing w:before="60" w:after="60"/>
      </w:pPr>
      <w:r>
        <w:rPr>
          <w:rFonts w:ascii="Arial" w:cs="Arial" w:eastAsia="Arial" w:hAnsi="Arial"/>
          <w:b w:val="false"/>
          <w:bCs w:val="false"/>
          <w:color w:val="444444"/>
          <w:sz w:val="20"/>
          <w:szCs w:val="20"/>
        </w:rPr>
        <w:t xml:space="preserve">Vendor risk thresholds: configure what fill rate triggers a vendor-risk flag</w:t>
      </w:r>
    </w:p>
    <w:p>
      <w:pPr>
        <w:pStyle w:val="ListParagraph"/>
        <w:numPr>
          <w:ilvl w:val="0"/>
          <w:numId w:val="2"/>
        </w:numPr>
        <w:spacing w:before="60" w:after="60"/>
      </w:pPr>
      <w:r>
        <w:rPr>
          <w:rFonts w:ascii="Arial" w:cs="Arial" w:eastAsia="Arial" w:hAnsi="Arial"/>
          <w:b w:val="false"/>
          <w:bCs w:val="false"/>
          <w:color w:val="444444"/>
          <w:sz w:val="20"/>
          <w:szCs w:val="20"/>
        </w:rPr>
        <w:t xml:space="preserve">Alert routing: configure where CRITICAL alerts are sent (email, Slack, Teams, webhook)</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11.2 Supported Source System Formats</w:t>
      </w:r>
    </w:p>
    <w:p>
      <w:pPr>
        <w:pStyle w:val="ListParagraph"/>
        <w:numPr>
          <w:ilvl w:val="0"/>
          <w:numId w:val="2"/>
        </w:numPr>
        <w:spacing w:before="60" w:after="60"/>
      </w:pPr>
      <w:r>
        <w:rPr>
          <w:rFonts w:ascii="Arial" w:cs="Arial" w:eastAsia="Arial" w:hAnsi="Arial"/>
          <w:b w:val="false"/>
          <w:bCs w:val="false"/>
          <w:color w:val="444444"/>
          <w:sz w:val="20"/>
          <w:szCs w:val="20"/>
        </w:rPr>
        <w:t xml:space="preserve">CSV / Excel flat file export (any planning system batch output)</w:t>
      </w:r>
    </w:p>
    <w:p>
      <w:pPr>
        <w:pStyle w:val="ListParagraph"/>
        <w:numPr>
          <w:ilvl w:val="0"/>
          <w:numId w:val="2"/>
        </w:numPr>
        <w:spacing w:before="60" w:after="60"/>
      </w:pPr>
      <w:r>
        <w:rPr>
          <w:rFonts w:ascii="Arial" w:cs="Arial" w:eastAsia="Arial" w:hAnsi="Arial"/>
          <w:b w:val="false"/>
          <w:bCs w:val="false"/>
          <w:color w:val="444444"/>
          <w:sz w:val="20"/>
          <w:szCs w:val="20"/>
        </w:rPr>
        <w:t xml:space="preserve">REST API with JSON payload</w:t>
      </w:r>
    </w:p>
    <w:p>
      <w:pPr>
        <w:pStyle w:val="ListParagraph"/>
        <w:numPr>
          <w:ilvl w:val="0"/>
          <w:numId w:val="2"/>
        </w:numPr>
        <w:spacing w:before="60" w:after="60"/>
      </w:pPr>
      <w:r>
        <w:rPr>
          <w:rFonts w:ascii="Arial" w:cs="Arial" w:eastAsia="Arial" w:hAnsi="Arial"/>
          <w:b w:val="false"/>
          <w:bCs w:val="false"/>
          <w:color w:val="444444"/>
          <w:sz w:val="20"/>
          <w:szCs w:val="20"/>
        </w:rPr>
        <w:t xml:space="preserve">Direct database query (PostgreSQL, SQL Server, Snowflake, BigQuery)</w:t>
      </w:r>
    </w:p>
    <w:p>
      <w:pPr>
        <w:pStyle w:val="ListParagraph"/>
        <w:numPr>
          <w:ilvl w:val="0"/>
          <w:numId w:val="2"/>
        </w:numPr>
        <w:spacing w:before="60" w:after="60"/>
      </w:pPr>
      <w:r>
        <w:rPr>
          <w:rFonts w:ascii="Arial" w:cs="Arial" w:eastAsia="Arial" w:hAnsi="Arial"/>
          <w:b w:val="false"/>
          <w:bCs w:val="false"/>
          <w:color w:val="444444"/>
          <w:sz w:val="20"/>
          <w:szCs w:val="20"/>
        </w:rPr>
        <w:t xml:space="preserve">Webhook / event-driven trigger for near-real-time operation</w:t>
      </w:r>
    </w:p>
    <w:p>
      <w:pPr>
        <w:pBdr>
          <w:bottom w:val="single" w:color="2E75B6" w:sz="4" w:space="1"/>
        </w:pBdr>
        <w:spacing w:before="160" w:after="160"/>
      </w:pPr>
      <w:r>
        <w:t xml:space="preserve"/>
      </w:r>
    </w:p>
    <w:p>
      <w:r>
        <w:br w:type="page"/>
      </w:r>
    </w:p>
    <w:p>
      <w:pPr>
        <w:pStyle w:val="Heading1"/>
        <w:spacing w:before="360" w:after="120"/>
      </w:pPr>
      <w:r>
        <w:rPr>
          <w:rFonts w:ascii="Arial" w:cs="Arial" w:eastAsia="Arial" w:hAnsi="Arial"/>
          <w:b/>
          <w:bCs/>
          <w:color w:val="1E3A5F"/>
          <w:sz w:val="32"/>
          <w:szCs w:val="32"/>
        </w:rPr>
        <w:t xml:space="preserve">13. Appendix</w:t>
      </w:r>
    </w:p>
    <w:p>
      <w:pPr>
        <w:pStyle w:val="Heading2"/>
        <w:spacing w:before="280" w:after="100"/>
      </w:pPr>
      <w:r>
        <w:rPr>
          <w:rFonts w:ascii="Arial" w:cs="Arial" w:eastAsia="Arial" w:hAnsi="Arial"/>
          <w:b/>
          <w:bCs/>
          <w:color w:val="2E75B6"/>
          <w:sz w:val="26"/>
          <w:szCs w:val="26"/>
        </w:rPr>
        <w:t xml:space="preserve">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2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Exception</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 flag generated by a planning system indicating a deviation from expected replenishment state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Triage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The process of prioritizing exceptions by consequence rather than magnitude or arrival order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Enrichment</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The process of joining raw exception data with contextual signals to enable AI reasoning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CRITICAL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An exception requiring planner action within 2 hours to prevent material business impact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Pattern Flag</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Claude's identification that multiple exceptions share a single root cause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Analog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 comparable historical item used as a reference for new item forecasting (referenced in related projects)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DC</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Distribution Center — the intermediate inventory node between vendor and store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TPR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Temporary Price Reduction — a promotional price event typically featured in retailer circulars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DOH</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Days on Hand — the number of days current inventory is expected to cover at current demand velocity</w:t>
            </w:r>
          </w:p>
        </w:tc>
      </w:tr>
    </w:tbl>
    <w:p>
      <w:pPr>
        <w:spacing w:before="80" w:after="0"/>
      </w:pPr>
      <w:r>
        <w:t xml:space="preserve"/>
      </w:r>
    </w:p>
    <w:p>
      <w:pPr>
        <w:pStyle w:val="Heading2"/>
        <w:spacing w:before="280" w:after="100"/>
      </w:pPr>
      <w:r>
        <w:rPr>
          <w:rFonts w:ascii="Arial" w:cs="Arial" w:eastAsia="Arial" w:hAnsi="Arial"/>
          <w:b/>
          <w:bCs/>
          <w:color w:val="2E75B6"/>
          <w:sz w:val="26"/>
          <w:szCs w:val="26"/>
        </w:rPr>
        <w:t xml:space="preserve">B. Related Projects</w:t>
      </w:r>
    </w:p>
    <w:p>
      <w:pPr>
        <w:pStyle w:val="ListParagraph"/>
        <w:numPr>
          <w:ilvl w:val="0"/>
          <w:numId w:val="2"/>
        </w:numPr>
        <w:spacing w:before="60" w:after="60"/>
      </w:pPr>
      <w:r>
        <w:rPr>
          <w:rFonts w:ascii="Arial" w:cs="Arial" w:eastAsia="Arial" w:hAnsi="Arial"/>
          <w:b w:val="false"/>
          <w:bCs w:val="false"/>
          <w:color w:val="444444"/>
          <w:sz w:val="20"/>
          <w:szCs w:val="20"/>
        </w:rPr>
        <w:t xml:space="preserve">New Item Ramp Forecaster — AI-powered analog selection and week-by-week demand curve generation for new item launches</w:t>
      </w:r>
    </w:p>
    <w:p>
      <w:pPr>
        <w:pStyle w:val="ListParagraph"/>
        <w:numPr>
          <w:ilvl w:val="0"/>
          <w:numId w:val="2"/>
        </w:numPr>
        <w:spacing w:before="60" w:after="60"/>
      </w:pPr>
      <w:r>
        <w:rPr>
          <w:rFonts w:ascii="Arial" w:cs="Arial" w:eastAsia="Arial" w:hAnsi="Arial"/>
          <w:b w:val="false"/>
          <w:bCs w:val="false"/>
          <w:color w:val="444444"/>
          <w:sz w:val="20"/>
          <w:szCs w:val="20"/>
        </w:rPr>
        <w:t xml:space="preserve">Demand Signal Fusion Engine — multi-source demand signal synthesis combining POS, weather, events, and promo data</w:t>
      </w:r>
    </w:p>
    <w:p>
      <w:pPr>
        <w:pStyle w:val="ListParagraph"/>
        <w:numPr>
          <w:ilvl w:val="0"/>
          <w:numId w:val="2"/>
        </w:numPr>
        <w:spacing w:before="60" w:after="60"/>
      </w:pPr>
      <w:r>
        <w:rPr>
          <w:rFonts w:ascii="Arial" w:cs="Arial" w:eastAsia="Arial" w:hAnsi="Arial"/>
          <w:b w:val="false"/>
          <w:bCs w:val="false"/>
          <w:color w:val="444444"/>
          <w:sz w:val="20"/>
          <w:szCs w:val="20"/>
        </w:rPr>
        <w:t xml:space="preserve">Phantom Inventory Hunter — detection and root-cause classification of inventory discrepancies between system and physical counts</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D. License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5E8F0" w:val="clear"/>
            <w:tcMar>
              <w:top w:type="dxa" w:w="160"/>
              <w:left w:type="dxa" w:w="200"/>
              <w:bottom w:type="dxa" w:w="160"/>
              <w:right w:type="dxa" w:w="200"/>
            </w:tcMar>
          </w:tcPr>
          <w:p>
            <w:pPr>
              <w:spacing w:before="0" w:after="60"/>
            </w:pPr>
            <w:r>
              <w:rPr>
                <w:rFonts w:ascii="Arial" w:cs="Arial" w:eastAsia="Arial" w:hAnsi="Arial"/>
                <w:b/>
                <w:bCs/>
                <w:color w:val="1E3A5F"/>
                <w:sz w:val="20"/>
                <w:szCs w:val="20"/>
              </w:rPr>
              <w:t xml:space="preserve">MIT License</w:t>
            </w:r>
          </w:p>
          <w:p>
            <w:pPr>
              <w:spacing w:before="0" w:after="0"/>
            </w:pPr>
            <w:r>
              <w:rPr>
                <w:rFonts w:ascii="Arial" w:cs="Arial" w:eastAsia="Arial" w:hAnsi="Arial"/>
                <w:color w:val="1A1A1A"/>
                <w:sz w:val="20"/>
                <w:szCs w:val="20"/>
              </w:rPr>
              <w:t xml:space="preserve">Copyright (c) 2026 Mohith Kunta (github.com/m-kunta)
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
The above copyright notice and this permission notice shall be included in all copies or substantial portions of the Software.
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tc>
      </w:tr>
    </w:tbl>
    <w:p>
      <w:pPr>
        <w:spacing w:before="80" w:after="0"/>
      </w:pPr>
      <w:r>
        <w:t xml:space="preserve"/>
      </w:r>
    </w:p>
    <w:p>
      <w:pPr>
        <w:pStyle w:val="Heading2"/>
        <w:spacing w:before="280" w:after="100"/>
      </w:pPr>
      <w:r>
        <w:rPr>
          <w:rFonts w:ascii="Arial" w:cs="Arial" w:eastAsia="Arial" w:hAnsi="Arial"/>
          <w:b/>
          <w:bCs/>
          <w:color w:val="2E75B6"/>
          <w:sz w:val="26"/>
          <w:szCs w:val="26"/>
        </w:rPr>
        <w:t xml:space="preserve">C. 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62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1.0 — March 2026</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Initial draft. Full scope, architecture, and phase plan defined.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1.2 — March 2026</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Major expansion: core problem depth, triage definition, full layer architecture, complete prompt structure with all 6 blocks, AI Scope &amp; Value section, three-horizon metrics framework with backtesting methodology. Renumbered to 13 sections.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160" w:after="0"/>
    </w:pPr>
    <w:r>
      <w:rPr>
        <w:rFonts w:ascii="Arial" w:cs="Arial" w:eastAsia="Arial" w:hAnsi="Arial"/>
        <w:color w:val="444444"/>
        <w:sz w:val="16"/>
        <w:szCs w:val="16"/>
      </w:rPr>
      <w:t xml:space="preserve">Confidential — Supply Planning Technology</w:t>
    </w:r>
    <w:r>
      <w:rPr>
        <w:rFonts w:ascii="Arial" w:cs="Arial" w:eastAsia="Arial" w:hAnsi="Arial"/>
        <w:color w:val="444444"/>
        <w:sz w:val="16"/>
        <w:szCs w:val="16"/>
      </w:rPr>
      <w:t xml:space="preserve">	Page </w:t>
    </w:r>
    <w:r>
      <w:rPr>
        <w:rFonts w:ascii="Arial" w:cs="Arial" w:eastAsia="Arial" w:hAnsi="Arial"/>
        <w:color w:val="44444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before="0" w:after="160"/>
    </w:pPr>
    <w:r>
      <w:rPr>
        <w:rFonts w:ascii="Arial" w:cs="Arial" w:eastAsia="Arial" w:hAnsi="Arial"/>
        <w:b/>
        <w:bCs/>
        <w:color w:val="1E3A5F"/>
        <w:sz w:val="18"/>
        <w:szCs w:val="18"/>
      </w:rPr>
      <w:t xml:space="preserve">Replenishment Exception Triage Agent</w:t>
    </w:r>
    <w:r>
      <w:rPr>
        <w:rFonts w:ascii="Arial" w:cs="Arial" w:eastAsia="Arial" w:hAnsi="Arial"/>
        <w:color w:val="444444"/>
        <w:sz w:val="18"/>
        <w:szCs w:val="18"/>
      </w:rPr>
      <w:t xml:space="preserve">	Project Scope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3A5F"/>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2026-03-13T23:00:28.342Z</dcterms:created>
  <dcterms:modified xsi:type="dcterms:W3CDTF">2026-03-13T23:00:28.343Z</dcterms:modified>
</cp:coreProperties>
</file>

<file path=docProps/custom.xml><?xml version="1.0" encoding="utf-8"?>
<Properties xmlns="http://schemas.openxmlformats.org/officeDocument/2006/custom-properties" xmlns:vt="http://schemas.openxmlformats.org/officeDocument/2006/docPropsVTypes"/>
</file>